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styles.xml" ContentType="application/vnd.openxmlformats-officedocument.wordprocessingml.styles+xml"/>
  <Override PartName="/word/header8.xml" ContentType="application/vnd.openxmlformats-officedocument.wordprocessingml.header+xml"/>
  <Override PartName="/word/footer7.xml" ContentType="application/vnd.openxmlformats-officedocument.wordprocessingml.footer+xml"/>
  <Override PartName="/word/footer5.xml" ContentType="application/vnd.openxmlformats-officedocument.wordprocessingml.footer+xml"/>
  <Override PartName="/docProps/core.xml" ContentType="application/vnd.openxmlformats-package.core-properties+xml"/>
  <Override PartName="/word/footer4.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footer3.xml" ContentType="application/vnd.openxmlformats-officedocument.wordprocessingml.footer+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157"/>
        <w:jc w:val="center"/>
        <w:rPr>
          <w:b/>
          <w:sz w:val="22"/>
          <w:szCs w:val="22"/>
        </w:rPr>
      </w:pPr>
      <w:bookmarkStart w:id="0" w:name="_GoBack"/>
      <w:bookmarkStart w:id="1" w:name="_Toc70427054"/>
      <w:bookmarkStart w:id="2" w:name="_Toc82597187"/>
      <w:bookmarkEnd w:id="0"/>
      <w:r>
        <w:rPr>
          <w:b/>
          <w:sz w:val="22"/>
          <w:szCs w:val="22"/>
        </w:rPr>
        <w:t>BURKINA FASO</w:t>
      </w:r>
    </w:p>
    <w:p>
      <w:pPr>
        <w:pStyle w:val="style157"/>
        <w:jc w:val="center"/>
        <w:rPr>
          <w:sz w:val="22"/>
          <w:szCs w:val="22"/>
        </w:rPr>
      </w:pPr>
      <w:r>
        <w:rPr>
          <w:sz w:val="22"/>
          <w:szCs w:val="22"/>
        </w:rPr>
        <w:t>-------</w:t>
      </w:r>
    </w:p>
    <w:p>
      <w:pPr>
        <w:pStyle w:val="style157"/>
        <w:jc w:val="center"/>
        <w:rPr>
          <w:b/>
          <w:sz w:val="22"/>
          <w:szCs w:val="22"/>
        </w:rPr>
      </w:pPr>
      <w:r>
        <w:rPr>
          <w:b/>
          <w:sz w:val="22"/>
          <w:szCs w:val="22"/>
        </w:rPr>
        <w:t>Unité - Progrès - Justice</w:t>
      </w:r>
    </w:p>
    <w:p>
      <w:pPr>
        <w:pStyle w:val="style0"/>
        <w:jc w:val="center"/>
        <w:rPr>
          <w:sz w:val="22"/>
          <w:szCs w:val="22"/>
        </w:rPr>
      </w:pPr>
    </w:p>
    <w:p>
      <w:pPr>
        <w:pStyle w:val="style0"/>
        <w:jc w:val="center"/>
        <w:rPr>
          <w:sz w:val="22"/>
          <w:szCs w:val="22"/>
        </w:rPr>
      </w:pPr>
      <w:r>
        <w:rPr>
          <w:rFonts w:eastAsia="Microsoft JhengHei"/>
          <w:b/>
          <w:noProof/>
          <w:sz w:val="22"/>
          <w:szCs w:val="22"/>
          <w:lang w:eastAsia="fr-FR"/>
        </w:rPr>
        <w:drawing>
          <wp:inline distT="0" distR="0" distL="0" distB="0">
            <wp:extent cx="960119" cy="1016901"/>
            <wp:effectExtent l="0" t="0" r="0" b="0"/>
            <wp:docPr id="1026" name="Imag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 cstate="print"/>
                    <a:srcRect l="0" t="0" r="0" b="0"/>
                    <a:stretch/>
                  </pic:blipFill>
                  <pic:spPr>
                    <a:xfrm rot="0">
                      <a:off x="0" y="0"/>
                      <a:ext cx="960119" cy="1016901"/>
                    </a:xfrm>
                    <a:prstGeom prst="rect"/>
                    <a:ln>
                      <a:noFill/>
                    </a:ln>
                  </pic:spPr>
                </pic:pic>
              </a:graphicData>
            </a:graphic>
          </wp:inline>
        </w:drawing>
      </w:r>
    </w:p>
    <w:p>
      <w:pPr>
        <w:pStyle w:val="style0"/>
        <w:spacing w:after="179"/>
        <w:ind w:left="67"/>
        <w:jc w:val="center"/>
        <w:rPr>
          <w:b/>
          <w:sz w:val="22"/>
          <w:szCs w:val="22"/>
        </w:rPr>
      </w:pPr>
    </w:p>
    <w:p>
      <w:pPr>
        <w:pStyle w:val="style0"/>
        <w:spacing w:after="44"/>
        <w:ind w:left="10"/>
        <w:jc w:val="right"/>
        <w:rPr>
          <w:sz w:val="22"/>
          <w:szCs w:val="22"/>
        </w:rPr>
      </w:pPr>
      <w:r>
        <w:rPr>
          <w:b/>
          <w:sz w:val="22"/>
          <w:szCs w:val="22"/>
        </w:rPr>
        <w:tab/>
      </w:r>
    </w:p>
    <w:p>
      <w:pPr>
        <w:pStyle w:val="style0"/>
        <w:spacing w:after="52"/>
        <w:jc w:val="center"/>
        <w:rPr>
          <w:sz w:val="22"/>
          <w:szCs w:val="22"/>
        </w:rPr>
      </w:pPr>
      <w:r>
        <w:rPr>
          <w:b/>
          <w:sz w:val="22"/>
          <w:szCs w:val="22"/>
        </w:rPr>
        <w:t xml:space="preserve"> </w:t>
      </w:r>
    </w:p>
    <w:bookmarkStart w:id="3" w:name="_Hlk528746989"/>
    <w:p>
      <w:pPr>
        <w:pStyle w:val="style0"/>
        <w:spacing w:after="52"/>
        <w:jc w:val="center"/>
        <w:rPr>
          <w:sz w:val="22"/>
          <w:szCs w:val="22"/>
        </w:rPr>
      </w:pPr>
      <w:r>
        <w:rPr>
          <w:b/>
          <w:sz w:val="22"/>
          <w:szCs w:val="22"/>
        </w:rPr>
        <w:t>PROGRAMME DE DEVELOPPEMENT ET DE COMPETITIVITE AGRICOLE (PDCA)</w:t>
      </w:r>
    </w:p>
    <w:bookmarkEnd w:id="3"/>
    <w:p>
      <w:pPr>
        <w:pStyle w:val="style0"/>
        <w:spacing w:after="43"/>
        <w:jc w:val="center"/>
        <w:rPr>
          <w:b/>
          <w:sz w:val="22"/>
          <w:szCs w:val="22"/>
        </w:rPr>
      </w:pPr>
      <w:r>
        <w:rPr>
          <w:b/>
          <w:sz w:val="22"/>
          <w:szCs w:val="22"/>
        </w:rPr>
        <w:t xml:space="preserve"> </w:t>
      </w:r>
    </w:p>
    <w:p>
      <w:pPr>
        <w:pStyle w:val="style0"/>
        <w:spacing w:after="43"/>
        <w:jc w:val="center"/>
        <w:rPr>
          <w:b/>
          <w:sz w:val="22"/>
          <w:szCs w:val="22"/>
        </w:rPr>
      </w:pPr>
    </w:p>
    <w:p>
      <w:pPr>
        <w:pStyle w:val="style0"/>
        <w:spacing w:after="43"/>
        <w:jc w:val="center"/>
        <w:rPr>
          <w:b/>
          <w:sz w:val="22"/>
          <w:szCs w:val="22"/>
        </w:rPr>
      </w:pPr>
    </w:p>
    <w:p>
      <w:pPr>
        <w:pStyle w:val="style0"/>
        <w:spacing w:after="43"/>
        <w:jc w:val="center"/>
        <w:rPr>
          <w:sz w:val="22"/>
          <w:szCs w:val="22"/>
        </w:rPr>
      </w:pPr>
    </w:p>
    <w:p>
      <w:pPr>
        <w:pStyle w:val="style0"/>
        <w:rPr>
          <w:sz w:val="22"/>
          <w:szCs w:val="22"/>
        </w:rPr>
      </w:pPr>
    </w:p>
    <w:p>
      <w:pPr>
        <w:pStyle w:val="style90"/>
        <w:pBdr>
          <w:left w:val="single" w:sz="36" w:space="4" w:color="auto"/>
          <w:right w:val="single" w:sz="36" w:space="4" w:color="auto"/>
          <w:top w:val="single" w:sz="36" w:space="1" w:color="auto"/>
          <w:bottom w:val="single" w:sz="36" w:space="1" w:color="auto"/>
        </w:pBdr>
        <w:jc w:val="center"/>
        <w:rPr>
          <w:rFonts w:ascii="Times New Roman" w:eastAsia="Helvetica" w:hAnsi="Times New Roman"/>
          <w:b/>
          <w:sz w:val="44"/>
          <w:szCs w:val="24"/>
        </w:rPr>
      </w:pPr>
      <w:r>
        <w:rPr>
          <w:rFonts w:ascii="Times New Roman" w:eastAsia="Helvetica" w:hAnsi="Times New Roman"/>
          <w:b/>
          <w:sz w:val="44"/>
          <w:szCs w:val="24"/>
        </w:rPr>
        <w:t>PLAN DE GESTION DES PESTES</w:t>
      </w:r>
      <w:r>
        <w:rPr>
          <w:rFonts w:ascii="Times New Roman" w:eastAsia="Helvetica" w:hAnsi="Times New Roman"/>
          <w:b/>
          <w:sz w:val="44"/>
          <w:szCs w:val="24"/>
        </w:rPr>
        <w:t xml:space="preserve"> (PGP)</w:t>
      </w:r>
      <w:r>
        <w:rPr>
          <w:rFonts w:ascii="Times New Roman" w:eastAsia="Helvetica" w:hAnsi="Times New Roman"/>
          <w:b/>
          <w:sz w:val="44"/>
          <w:szCs w:val="24"/>
        </w:rPr>
        <w:t xml:space="preserve"> </w:t>
      </w:r>
    </w:p>
    <w:p>
      <w:pPr>
        <w:pStyle w:val="style90"/>
        <w:rPr>
          <w:rFonts w:ascii="Times New Roman" w:hAnsi="Times New Roman"/>
          <w:sz w:val="22"/>
          <w:szCs w:val="22"/>
        </w:rPr>
      </w:pPr>
    </w:p>
    <w:p>
      <w:pPr>
        <w:pStyle w:val="style90"/>
        <w:rPr>
          <w:rFonts w:ascii="Times New Roman" w:hAnsi="Times New Roman"/>
          <w:sz w:val="22"/>
          <w:szCs w:val="22"/>
        </w:rPr>
      </w:pPr>
    </w:p>
    <w:p>
      <w:pPr>
        <w:pStyle w:val="style90"/>
        <w:rPr>
          <w:rFonts w:ascii="Times New Roman" w:hAnsi="Times New Roman"/>
          <w:sz w:val="22"/>
          <w:szCs w:val="22"/>
        </w:rPr>
      </w:pPr>
    </w:p>
    <w:p>
      <w:pPr>
        <w:pStyle w:val="style90"/>
        <w:jc w:val="center"/>
        <w:rPr>
          <w:rFonts w:ascii="Times New Roman" w:hAnsi="Times New Roman"/>
          <w:sz w:val="22"/>
          <w:szCs w:val="22"/>
        </w:rPr>
      </w:pPr>
      <w:r>
        <w:rPr>
          <w:rFonts w:ascii="Times New Roman" w:eastAsia="Helvetica" w:hAnsi="Times New Roman"/>
          <w:b/>
          <w:sz w:val="32"/>
          <w:szCs w:val="24"/>
        </w:rPr>
        <w:t xml:space="preserve">Rapport </w:t>
      </w:r>
      <w:r>
        <w:rPr>
          <w:rFonts w:ascii="Times New Roman" w:eastAsia="Helvetica" w:hAnsi="Times New Roman"/>
          <w:b/>
          <w:sz w:val="32"/>
          <w:szCs w:val="24"/>
        </w:rPr>
        <w:t>Final</w:t>
      </w:r>
    </w:p>
    <w:p>
      <w:pPr>
        <w:pStyle w:val="style90"/>
        <w:jc w:val="center"/>
        <w:rPr>
          <w:rFonts w:ascii="Times New Roman" w:hAnsi="Times New Roman"/>
          <w:sz w:val="22"/>
          <w:szCs w:val="22"/>
        </w:rPr>
      </w:pPr>
    </w:p>
    <w:p>
      <w:pPr>
        <w:pStyle w:val="style90"/>
        <w:jc w:val="center"/>
        <w:rPr>
          <w:rFonts w:ascii="Times New Roman" w:hAnsi="Times New Roman"/>
          <w:sz w:val="22"/>
          <w:szCs w:val="22"/>
        </w:rPr>
      </w:pPr>
    </w:p>
    <w:p>
      <w:pPr>
        <w:pStyle w:val="style90"/>
        <w:rPr>
          <w:rFonts w:ascii="Times New Roman" w:hAnsi="Times New Roman"/>
          <w:sz w:val="22"/>
          <w:szCs w:val="22"/>
        </w:rPr>
      </w:pPr>
    </w:p>
    <w:p>
      <w:pPr>
        <w:pStyle w:val="style90"/>
        <w:jc w:val="right"/>
        <w:rPr>
          <w:rFonts w:ascii="Times New Roman" w:hAnsi="Times New Roman"/>
          <w:b/>
          <w:bCs/>
          <w:i/>
          <w:iCs/>
          <w:sz w:val="22"/>
          <w:szCs w:val="22"/>
        </w:rPr>
      </w:pPr>
    </w:p>
    <w:p>
      <w:pPr>
        <w:pStyle w:val="style90"/>
        <w:jc w:val="right"/>
        <w:rPr>
          <w:rFonts w:ascii="Times New Roman" w:hAnsi="Times New Roman"/>
          <w:b/>
          <w:bCs/>
          <w:i/>
          <w:iCs/>
          <w:sz w:val="22"/>
          <w:szCs w:val="22"/>
        </w:rPr>
      </w:pPr>
    </w:p>
    <w:p>
      <w:pPr>
        <w:pStyle w:val="style90"/>
        <w:jc w:val="right"/>
        <w:rPr>
          <w:rFonts w:ascii="Times New Roman" w:hAnsi="Times New Roman"/>
          <w:b/>
          <w:bCs/>
          <w:i/>
          <w:iCs/>
          <w:sz w:val="22"/>
          <w:szCs w:val="22"/>
        </w:rPr>
      </w:pPr>
    </w:p>
    <w:p>
      <w:pPr>
        <w:pStyle w:val="style90"/>
        <w:jc w:val="right"/>
        <w:rPr>
          <w:rFonts w:ascii="Times New Roman" w:hAnsi="Times New Roman"/>
          <w:b/>
          <w:bCs/>
          <w:i/>
          <w:iCs/>
          <w:sz w:val="22"/>
          <w:szCs w:val="22"/>
        </w:rPr>
      </w:pPr>
    </w:p>
    <w:p>
      <w:pPr>
        <w:pStyle w:val="style90"/>
        <w:jc w:val="right"/>
        <w:rPr>
          <w:rFonts w:ascii="Times New Roman" w:hAnsi="Times New Roman"/>
          <w:b/>
          <w:bCs/>
          <w:i/>
          <w:iCs/>
          <w:sz w:val="22"/>
          <w:szCs w:val="22"/>
        </w:rPr>
      </w:pPr>
    </w:p>
    <w:p>
      <w:pPr>
        <w:pStyle w:val="style90"/>
        <w:jc w:val="right"/>
        <w:rPr>
          <w:rFonts w:ascii="Times New Roman" w:hAnsi="Times New Roman"/>
          <w:b/>
          <w:bCs/>
          <w:i/>
          <w:iCs/>
          <w:sz w:val="22"/>
          <w:szCs w:val="22"/>
        </w:rPr>
      </w:pPr>
      <w:r>
        <w:rPr>
          <w:rFonts w:ascii="Times New Roman" w:hAnsi="Times New Roman"/>
          <w:b/>
          <w:bCs/>
          <w:i/>
          <w:iCs/>
          <w:sz w:val="22"/>
          <w:szCs w:val="22"/>
        </w:rPr>
        <w:t>Février</w:t>
      </w:r>
      <w:r>
        <w:rPr>
          <w:rFonts w:ascii="Times New Roman" w:hAnsi="Times New Roman"/>
          <w:b/>
          <w:bCs/>
          <w:i/>
          <w:iCs/>
          <w:sz w:val="22"/>
          <w:szCs w:val="22"/>
        </w:rPr>
        <w:t xml:space="preserve"> 2019</w:t>
      </w:r>
    </w:p>
    <w:p>
      <w:pPr>
        <w:pStyle w:val="style90"/>
        <w:rPr>
          <w:rFonts w:ascii="Times New Roman" w:hAnsi="Times New Roman"/>
          <w:b/>
          <w:bCs/>
          <w:iCs/>
          <w:sz w:val="22"/>
          <w:szCs w:val="22"/>
          <w:u w:val="single"/>
        </w:rPr>
      </w:pPr>
    </w:p>
    <w:p>
      <w:pPr>
        <w:pStyle w:val="style90"/>
        <w:rPr>
          <w:rFonts w:ascii="Times New Roman" w:hAnsi="Times New Roman"/>
          <w:b/>
          <w:bCs/>
          <w:iCs/>
          <w:sz w:val="22"/>
          <w:szCs w:val="22"/>
          <w:u w:val="single"/>
        </w:rPr>
      </w:pPr>
    </w:p>
    <w:p>
      <w:pPr>
        <w:pStyle w:val="style90"/>
        <w:rPr>
          <w:rFonts w:ascii="Times New Roman" w:hAnsi="Times New Roman"/>
          <w:b/>
          <w:bCs/>
          <w:iCs/>
          <w:sz w:val="22"/>
          <w:szCs w:val="22"/>
          <w:u w:val="single"/>
        </w:rPr>
      </w:pPr>
    </w:p>
    <w:p>
      <w:pPr>
        <w:pStyle w:val="style90"/>
        <w:rPr>
          <w:rFonts w:ascii="Times New Roman" w:hAnsi="Times New Roman"/>
          <w:b/>
          <w:bCs/>
          <w:iCs/>
          <w:sz w:val="22"/>
          <w:szCs w:val="22"/>
          <w:u w:val="single"/>
        </w:rPr>
      </w:pPr>
    </w:p>
    <w:p>
      <w:pPr>
        <w:pStyle w:val="style90"/>
        <w:rPr>
          <w:rFonts w:ascii="Times New Roman" w:hAnsi="Times New Roman"/>
          <w:b/>
          <w:bCs/>
          <w:iCs/>
          <w:sz w:val="22"/>
          <w:szCs w:val="22"/>
          <w:u w:val="single"/>
        </w:rPr>
      </w:pPr>
    </w:p>
    <w:p>
      <w:pPr>
        <w:pStyle w:val="style90"/>
        <w:rPr>
          <w:rFonts w:ascii="Times New Roman" w:hAnsi="Times New Roman"/>
          <w:b/>
          <w:bCs/>
          <w:iCs/>
          <w:sz w:val="22"/>
          <w:szCs w:val="22"/>
          <w:u w:val="single"/>
        </w:rPr>
      </w:pPr>
    </w:p>
    <w:p>
      <w:pPr>
        <w:pStyle w:val="style0"/>
        <w:spacing w:before="0"/>
        <w:jc w:val="center"/>
        <w:rPr>
          <w:b/>
          <w:sz w:val="22"/>
          <w:szCs w:val="22"/>
        </w:rPr>
        <w:sectPr>
          <w:headerReference w:type="even" r:id="rId3"/>
          <w:headerReference w:type="default" r:id="rId4"/>
          <w:footerReference w:type="default" r:id="rId5"/>
          <w:pgSz w:w="11907" w:h="16840" w:orient="portrait" w:code="9"/>
          <w:pgMar w:top="1134" w:right="1134" w:bottom="1134" w:left="1134" w:header="720" w:footer="720" w:gutter="0"/>
          <w:pgNumType w:fmt="lowerRoman" w:start="1"/>
          <w:cols w:space="720"/>
          <w:titlePg/>
        </w:sectPr>
      </w:pPr>
    </w:p>
    <w:p>
      <w:pPr>
        <w:pStyle w:val="style0"/>
        <w:spacing w:before="0"/>
        <w:jc w:val="left"/>
        <w:rPr>
          <w:rFonts w:ascii="Arial" w:cs="Arial" w:hAnsi="Arial"/>
          <w:b/>
          <w:bCs/>
          <w:sz w:val="20"/>
        </w:rPr>
      </w:pPr>
      <w:r>
        <w:rPr>
          <w:b/>
          <w:sz w:val="22"/>
          <w:szCs w:val="22"/>
        </w:rPr>
        <w:t>TABLE DES MATIERES</w:t>
      </w:r>
    </w:p>
    <w:p>
      <w:pPr>
        <w:pStyle w:val="style19"/>
        <w:rPr>
          <w:rFonts w:ascii="Calibri" w:cs="宋体" w:eastAsia="宋体" w:hAnsi="Calibri"/>
          <w:b w:val="false"/>
          <w:bCs w:val="false"/>
          <w:caps w:val="false"/>
          <w:sz w:val="24"/>
          <w:lang w:eastAsia="fr-FR"/>
        </w:rPr>
      </w:pPr>
      <w:r>
        <w:rPr>
          <w:b w:val="false"/>
          <w:sz w:val="22"/>
          <w:szCs w:val="22"/>
        </w:rPr>
        <w:fldChar w:fldCharType="begin"/>
      </w:r>
      <w:r>
        <w:rPr>
          <w:b w:val="false"/>
          <w:sz w:val="22"/>
          <w:szCs w:val="22"/>
        </w:rPr>
        <w:instrText xml:space="preserve"> </w:instrText>
      </w:r>
      <w:r>
        <w:rPr>
          <w:b w:val="false"/>
          <w:sz w:val="22"/>
          <w:szCs w:val="22"/>
        </w:rPr>
        <w:instrText>TOC</w:instrText>
      </w:r>
      <w:r>
        <w:rPr>
          <w:b w:val="false"/>
          <w:sz w:val="22"/>
          <w:szCs w:val="22"/>
        </w:rPr>
        <w:instrText xml:space="preserve"> \o "1-3" \h \z \u </w:instrText>
      </w:r>
      <w:r>
        <w:rPr>
          <w:b w:val="false"/>
          <w:sz w:val="22"/>
          <w:szCs w:val="22"/>
        </w:rPr>
        <w:fldChar w:fldCharType="separate"/>
      </w:r>
      <w:r>
        <w:rPr/>
        <w:fldChar w:fldCharType="begin"/>
      </w:r>
      <w:r>
        <w:instrText xml:space="preserve"> HYPERLINK \l "_Toc2831168" </w:instrText>
      </w:r>
      <w:r>
        <w:rPr/>
        <w:fldChar w:fldCharType="separate"/>
      </w:r>
      <w:r>
        <w:rPr>
          <w:rStyle w:val="style85"/>
        </w:rPr>
        <w:t>LISTE DES TABLEAUX</w:t>
      </w:r>
      <w:r>
        <w:rPr>
          <w:webHidden/>
        </w:rPr>
        <w:tab/>
      </w:r>
      <w:r>
        <w:rPr>
          <w:webHidden/>
        </w:rPr>
        <w:fldChar w:fldCharType="begin"/>
      </w:r>
      <w:r>
        <w:rPr>
          <w:webHidden/>
        </w:rPr>
        <w:instrText xml:space="preserve"> PAGEREF _Toc2831168 \h </w:instrText>
      </w:r>
      <w:r>
        <w:rPr>
          <w:webHidden/>
        </w:rPr>
        <w:fldChar w:fldCharType="separate"/>
      </w:r>
      <w:r>
        <w:rPr>
          <w:webHidden/>
        </w:rPr>
        <w:t>iii</w:t>
      </w:r>
      <w:r>
        <w:rPr>
          <w:webHidden/>
        </w:rPr>
        <w:fldChar w:fldCharType="end"/>
      </w:r>
      <w:r>
        <w:rPr/>
        <w:fldChar w:fldCharType="end"/>
      </w:r>
    </w:p>
    <w:p>
      <w:pPr>
        <w:pStyle w:val="style19"/>
        <w:rPr>
          <w:rFonts w:ascii="Calibri" w:cs="宋体" w:eastAsia="宋体" w:hAnsi="Calibri"/>
          <w:b w:val="false"/>
          <w:bCs w:val="false"/>
          <w:caps w:val="false"/>
          <w:sz w:val="24"/>
          <w:lang w:eastAsia="fr-FR"/>
        </w:rPr>
      </w:pPr>
      <w:r>
        <w:rPr/>
        <w:fldChar w:fldCharType="begin"/>
      </w:r>
      <w:r>
        <w:instrText xml:space="preserve"> HYPERLINK \l "_Toc2831169" </w:instrText>
      </w:r>
      <w:r>
        <w:rPr/>
        <w:fldChar w:fldCharType="separate"/>
      </w:r>
      <w:r>
        <w:rPr>
          <w:rStyle w:val="style85"/>
        </w:rPr>
        <w:t>LISTE DES PHOTOS</w:t>
      </w:r>
      <w:r>
        <w:rPr>
          <w:webHidden/>
        </w:rPr>
        <w:tab/>
      </w:r>
      <w:r>
        <w:rPr>
          <w:webHidden/>
        </w:rPr>
        <w:fldChar w:fldCharType="begin"/>
      </w:r>
      <w:r>
        <w:rPr>
          <w:webHidden/>
        </w:rPr>
        <w:instrText xml:space="preserve"> PAGEREF _Toc2831169 \h </w:instrText>
      </w:r>
      <w:r>
        <w:rPr>
          <w:webHidden/>
        </w:rPr>
        <w:fldChar w:fldCharType="separate"/>
      </w:r>
      <w:r>
        <w:rPr>
          <w:webHidden/>
        </w:rPr>
        <w:t>iv</w:t>
      </w:r>
      <w:r>
        <w:rPr>
          <w:webHidden/>
        </w:rPr>
        <w:fldChar w:fldCharType="end"/>
      </w:r>
      <w:r>
        <w:rPr/>
        <w:fldChar w:fldCharType="end"/>
      </w:r>
    </w:p>
    <w:p>
      <w:pPr>
        <w:pStyle w:val="style19"/>
        <w:rPr>
          <w:rFonts w:ascii="Calibri" w:cs="宋体" w:eastAsia="宋体" w:hAnsi="Calibri"/>
          <w:b w:val="false"/>
          <w:bCs w:val="false"/>
          <w:caps w:val="false"/>
          <w:sz w:val="24"/>
          <w:lang w:eastAsia="fr-FR"/>
        </w:rPr>
      </w:pPr>
      <w:r>
        <w:rPr/>
        <w:fldChar w:fldCharType="begin"/>
      </w:r>
      <w:r>
        <w:instrText xml:space="preserve"> HYPERLINK \l "_Toc2831170" </w:instrText>
      </w:r>
      <w:r>
        <w:rPr/>
        <w:fldChar w:fldCharType="separate"/>
      </w:r>
      <w:r>
        <w:rPr>
          <w:rStyle w:val="style85"/>
        </w:rPr>
        <w:t>LISTE DES ACRONYMES ET SIGLES</w:t>
      </w:r>
      <w:r>
        <w:rPr>
          <w:webHidden/>
        </w:rPr>
        <w:tab/>
      </w:r>
      <w:r>
        <w:rPr>
          <w:webHidden/>
        </w:rPr>
        <w:fldChar w:fldCharType="begin"/>
      </w:r>
      <w:r>
        <w:rPr>
          <w:webHidden/>
        </w:rPr>
        <w:instrText xml:space="preserve"> PAGEREF _Toc2831170 \h </w:instrText>
      </w:r>
      <w:r>
        <w:rPr>
          <w:webHidden/>
        </w:rPr>
        <w:fldChar w:fldCharType="separate"/>
      </w:r>
      <w:r>
        <w:rPr>
          <w:webHidden/>
        </w:rPr>
        <w:t>v</w:t>
      </w:r>
      <w:r>
        <w:rPr>
          <w:webHidden/>
        </w:rPr>
        <w:fldChar w:fldCharType="end"/>
      </w:r>
      <w:r>
        <w:rPr/>
        <w:fldChar w:fldCharType="end"/>
      </w:r>
    </w:p>
    <w:p>
      <w:pPr>
        <w:pStyle w:val="style19"/>
        <w:rPr>
          <w:rFonts w:ascii="Calibri" w:cs="宋体" w:eastAsia="宋体" w:hAnsi="Calibri"/>
          <w:b w:val="false"/>
          <w:bCs w:val="false"/>
          <w:caps w:val="false"/>
          <w:sz w:val="24"/>
          <w:lang w:eastAsia="fr-FR"/>
        </w:rPr>
      </w:pPr>
      <w:r>
        <w:rPr/>
        <w:fldChar w:fldCharType="begin"/>
      </w:r>
      <w:r>
        <w:instrText xml:space="preserve"> HYPERLINK \l "_Toc2831171" </w:instrText>
      </w:r>
      <w:r>
        <w:rPr/>
        <w:fldChar w:fldCharType="separate"/>
      </w:r>
      <w:r>
        <w:rPr>
          <w:rStyle w:val="style85"/>
        </w:rPr>
        <w:t>Resume executif</w:t>
      </w:r>
      <w:r>
        <w:rPr>
          <w:webHidden/>
        </w:rPr>
        <w:tab/>
      </w:r>
      <w:r>
        <w:rPr>
          <w:webHidden/>
        </w:rPr>
        <w:fldChar w:fldCharType="begin"/>
      </w:r>
      <w:r>
        <w:rPr>
          <w:webHidden/>
        </w:rPr>
        <w:instrText xml:space="preserve"> PAGEREF _Toc2831171 \h </w:instrText>
      </w:r>
      <w:r>
        <w:rPr>
          <w:webHidden/>
        </w:rPr>
        <w:fldChar w:fldCharType="separate"/>
      </w:r>
      <w:r>
        <w:rPr>
          <w:webHidden/>
        </w:rPr>
        <w:t>vii</w:t>
      </w:r>
      <w:r>
        <w:rPr>
          <w:webHidden/>
        </w:rPr>
        <w:fldChar w:fldCharType="end"/>
      </w:r>
      <w:r>
        <w:rPr/>
        <w:fldChar w:fldCharType="end"/>
      </w:r>
    </w:p>
    <w:p>
      <w:pPr>
        <w:pStyle w:val="style19"/>
        <w:rPr>
          <w:rFonts w:ascii="Calibri" w:cs="宋体" w:eastAsia="宋体" w:hAnsi="Calibri"/>
          <w:b w:val="false"/>
          <w:bCs w:val="false"/>
          <w:caps w:val="false"/>
          <w:sz w:val="24"/>
          <w:lang w:eastAsia="fr-FR"/>
        </w:rPr>
      </w:pPr>
      <w:r>
        <w:rPr/>
        <w:fldChar w:fldCharType="begin"/>
      </w:r>
      <w:r>
        <w:instrText xml:space="preserve"> HYPERLINK \l "_Toc2831172" </w:instrText>
      </w:r>
      <w:r>
        <w:rPr/>
        <w:fldChar w:fldCharType="separate"/>
      </w:r>
      <w:r>
        <w:rPr>
          <w:rStyle w:val="style85"/>
          <w:lang w:val="en-US"/>
        </w:rPr>
        <w:t>EXECUTIVE SUMMARY</w:t>
      </w:r>
      <w:r>
        <w:rPr>
          <w:webHidden/>
        </w:rPr>
        <w:tab/>
      </w:r>
      <w:r>
        <w:rPr>
          <w:webHidden/>
        </w:rPr>
        <w:fldChar w:fldCharType="begin"/>
      </w:r>
      <w:r>
        <w:rPr>
          <w:webHidden/>
        </w:rPr>
        <w:instrText xml:space="preserve"> PAGEREF _Toc2831172 \h </w:instrText>
      </w:r>
      <w:r>
        <w:rPr>
          <w:webHidden/>
        </w:rPr>
        <w:fldChar w:fldCharType="separate"/>
      </w:r>
      <w:r>
        <w:rPr>
          <w:webHidden/>
        </w:rPr>
        <w:t>xii</w:t>
      </w:r>
      <w:r>
        <w:rPr>
          <w:webHidden/>
        </w:rPr>
        <w:fldChar w:fldCharType="end"/>
      </w:r>
      <w:r>
        <w:rPr/>
        <w:fldChar w:fldCharType="end"/>
      </w:r>
    </w:p>
    <w:p>
      <w:pPr>
        <w:pStyle w:val="style19"/>
        <w:tabs>
          <w:tab w:val="left" w:leader="none" w:pos="720"/>
        </w:tabs>
        <w:rPr>
          <w:rFonts w:ascii="Calibri" w:cs="宋体" w:eastAsia="宋体" w:hAnsi="Calibri"/>
          <w:b w:val="false"/>
          <w:bCs w:val="false"/>
          <w:caps w:val="false"/>
          <w:sz w:val="24"/>
          <w:lang w:eastAsia="fr-FR"/>
        </w:rPr>
      </w:pPr>
      <w:r>
        <w:rPr/>
        <w:fldChar w:fldCharType="begin"/>
      </w:r>
      <w:r>
        <w:instrText xml:space="preserve"> HYPERLINK \l "_Toc2831173" </w:instrText>
      </w:r>
      <w:r>
        <w:rPr/>
        <w:fldChar w:fldCharType="separate"/>
      </w:r>
      <w:r>
        <w:rPr>
          <w:rStyle w:val="style85"/>
        </w:rPr>
        <w:t>A.</w:t>
      </w:r>
      <w:r>
        <w:rPr>
          <w:rFonts w:ascii="Calibri" w:cs="宋体" w:eastAsia="宋体" w:hAnsi="Calibri"/>
          <w:b w:val="false"/>
          <w:bCs w:val="false"/>
          <w:caps w:val="false"/>
          <w:sz w:val="24"/>
          <w:lang w:eastAsia="fr-FR"/>
        </w:rPr>
        <w:tab/>
      </w:r>
      <w:r>
        <w:rPr>
          <w:rStyle w:val="style85"/>
        </w:rPr>
        <w:t>INTRODUCTION</w:t>
      </w:r>
      <w:r>
        <w:rPr>
          <w:webHidden/>
        </w:rPr>
        <w:tab/>
      </w:r>
      <w:r>
        <w:rPr>
          <w:webHidden/>
        </w:rPr>
        <w:fldChar w:fldCharType="begin"/>
      </w:r>
      <w:r>
        <w:rPr>
          <w:webHidden/>
        </w:rPr>
        <w:instrText xml:space="preserve"> PAGEREF _Toc2831173 \h </w:instrText>
      </w:r>
      <w:r>
        <w:rPr>
          <w:webHidden/>
        </w:rPr>
        <w:fldChar w:fldCharType="separate"/>
      </w:r>
      <w:r>
        <w:rPr>
          <w:webHidden/>
        </w:rPr>
        <w:t>1</w:t>
      </w:r>
      <w:r>
        <w:rPr>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"_Toc2831174" </w:instrText>
      </w:r>
      <w:r>
        <w:rPr/>
        <w:fldChar w:fldCharType="separate"/>
      </w:r>
      <w:r>
        <w:rPr>
          <w:rStyle w:val="style85"/>
        </w:rPr>
        <w:t>1.1.</w:t>
      </w:r>
      <w:r>
        <w:rPr>
          <w:rFonts w:ascii="Calibri" w:cs="宋体" w:eastAsia="宋体" w:hAnsi="Calibri"/>
          <w:b w:val="false"/>
          <w:iCs w:val="false"/>
          <w:smallCaps w:val="false"/>
          <w:sz w:val="24"/>
          <w:lang w:eastAsia="fr-FR"/>
        </w:rPr>
        <w:tab/>
      </w:r>
      <w:r>
        <w:rPr>
          <w:rStyle w:val="style85"/>
        </w:rPr>
        <w:t>Contexte  du programme et justification de l’étude</w:t>
      </w:r>
      <w:r>
        <w:rPr>
          <w:webHidden/>
        </w:rPr>
        <w:tab/>
      </w:r>
      <w:r>
        <w:rPr>
          <w:webHidden/>
        </w:rPr>
        <w:fldChar w:fldCharType="begin"/>
      </w:r>
      <w:r>
        <w:rPr>
          <w:webHidden/>
        </w:rPr>
        <w:instrText xml:space="preserve"> PAGEREF _Toc2831174 \h </w:instrText>
      </w:r>
      <w:r>
        <w:rPr>
          <w:webHidden/>
        </w:rPr>
        <w:fldChar w:fldCharType="separate"/>
      </w:r>
      <w:r>
        <w:rPr>
          <w:webHidden/>
        </w:rPr>
        <w:t>1</w:t>
      </w:r>
      <w:r>
        <w:rPr>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"_Toc2831175" </w:instrText>
      </w:r>
      <w:r>
        <w:rPr/>
        <w:fldChar w:fldCharType="separate"/>
      </w:r>
      <w:r>
        <w:rPr>
          <w:rStyle w:val="style85"/>
        </w:rPr>
        <w:t>1.2.</w:t>
      </w:r>
      <w:r>
        <w:rPr>
          <w:rFonts w:ascii="Calibri" w:cs="宋体" w:eastAsia="宋体" w:hAnsi="Calibri"/>
          <w:b w:val="false"/>
          <w:iCs w:val="false"/>
          <w:smallCaps w:val="false"/>
          <w:sz w:val="24"/>
          <w:lang w:eastAsia="fr-FR"/>
        </w:rPr>
        <w:tab/>
      </w:r>
      <w:r>
        <w:rPr>
          <w:rStyle w:val="style85"/>
        </w:rPr>
        <w:t>Objectif du Plan de Gestion des Pestes (PGP)</w:t>
      </w:r>
      <w:r>
        <w:rPr>
          <w:webHidden/>
        </w:rPr>
        <w:tab/>
      </w:r>
      <w:r>
        <w:rPr>
          <w:webHidden/>
        </w:rPr>
        <w:fldChar w:fldCharType="begin"/>
      </w:r>
      <w:r>
        <w:rPr>
          <w:webHidden/>
        </w:rPr>
        <w:instrText xml:space="preserve"> PAGEREF _Toc2831175 \h </w:instrText>
      </w:r>
      <w:r>
        <w:rPr>
          <w:webHidden/>
        </w:rPr>
        <w:fldChar w:fldCharType="separate"/>
      </w:r>
      <w:r>
        <w:rPr>
          <w:webHidden/>
        </w:rPr>
        <w:t>2</w:t>
      </w:r>
      <w:r>
        <w:rPr>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"_Toc2831176" </w:instrText>
      </w:r>
      <w:r>
        <w:rPr/>
        <w:fldChar w:fldCharType="separate"/>
      </w:r>
      <w:r>
        <w:rPr>
          <w:rStyle w:val="style85"/>
        </w:rPr>
        <w:t>1.3.</w:t>
      </w:r>
      <w:r>
        <w:rPr>
          <w:rFonts w:ascii="Calibri" w:cs="宋体" w:eastAsia="宋体" w:hAnsi="Calibri"/>
          <w:b w:val="false"/>
          <w:iCs w:val="false"/>
          <w:smallCaps w:val="false"/>
          <w:sz w:val="24"/>
          <w:lang w:eastAsia="fr-FR"/>
        </w:rPr>
        <w:tab/>
      </w:r>
      <w:r>
        <w:rPr>
          <w:rStyle w:val="style85"/>
        </w:rPr>
        <w:t>Méthodologie de l’élaboration du PGP</w:t>
      </w:r>
      <w:r>
        <w:rPr>
          <w:webHidden/>
        </w:rPr>
        <w:tab/>
      </w:r>
      <w:r>
        <w:rPr>
          <w:webHidden/>
        </w:rPr>
        <w:fldChar w:fldCharType="begin"/>
      </w:r>
      <w:r>
        <w:rPr>
          <w:webHidden/>
        </w:rPr>
        <w:instrText xml:space="preserve"> PAGEREF _Toc2831176 \h </w:instrText>
      </w:r>
      <w:r>
        <w:rPr>
          <w:webHidden/>
        </w:rPr>
        <w:fldChar w:fldCharType="separate"/>
      </w:r>
      <w:r>
        <w:rPr>
          <w:webHidden/>
        </w:rPr>
        <w:t>2</w:t>
      </w:r>
      <w:r>
        <w:rPr>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"_Toc2831177" </w:instrText>
      </w:r>
      <w:r>
        <w:rPr/>
        <w:fldChar w:fldCharType="separate"/>
      </w:r>
      <w:r>
        <w:rPr>
          <w:rStyle w:val="style85"/>
        </w:rPr>
        <w:t>1.4.</w:t>
      </w:r>
      <w:r>
        <w:rPr>
          <w:rFonts w:ascii="Calibri" w:cs="宋体" w:eastAsia="宋体" w:hAnsi="Calibri"/>
          <w:b w:val="false"/>
          <w:iCs w:val="false"/>
          <w:smallCaps w:val="false"/>
          <w:sz w:val="24"/>
          <w:lang w:eastAsia="fr-FR"/>
        </w:rPr>
        <w:tab/>
      </w:r>
      <w:r>
        <w:rPr>
          <w:rStyle w:val="style85"/>
        </w:rPr>
        <w:t>Résultat attendu</w:t>
      </w:r>
      <w:r>
        <w:rPr>
          <w:webHidden/>
        </w:rPr>
        <w:tab/>
      </w:r>
      <w:r>
        <w:rPr>
          <w:webHidden/>
        </w:rPr>
        <w:fldChar w:fldCharType="begin"/>
      </w:r>
      <w:r>
        <w:rPr>
          <w:webHidden/>
        </w:rPr>
        <w:instrText xml:space="preserve"> PAGEREF _Toc2831177 \h </w:instrText>
      </w:r>
      <w:r>
        <w:rPr>
          <w:webHidden/>
        </w:rPr>
        <w:fldChar w:fldCharType="separate"/>
      </w:r>
      <w:r>
        <w:rPr>
          <w:webHidden/>
        </w:rPr>
        <w:t>3</w:t>
      </w:r>
      <w:r>
        <w:rPr>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"_Toc2831178" </w:instrText>
      </w:r>
      <w:r>
        <w:rPr/>
        <w:fldChar w:fldCharType="separate"/>
      </w:r>
      <w:r>
        <w:rPr>
          <w:rStyle w:val="style85"/>
        </w:rPr>
        <w:t>1.5.</w:t>
      </w:r>
      <w:r>
        <w:rPr>
          <w:rFonts w:ascii="Calibri" w:cs="宋体" w:eastAsia="宋体" w:hAnsi="Calibri"/>
          <w:b w:val="false"/>
          <w:iCs w:val="false"/>
          <w:smallCaps w:val="false"/>
          <w:sz w:val="24"/>
          <w:lang w:eastAsia="fr-FR"/>
        </w:rPr>
        <w:tab/>
      </w:r>
      <w:r>
        <w:rPr>
          <w:rStyle w:val="style85"/>
        </w:rPr>
        <w:t>Structuration du PGP</w:t>
      </w:r>
      <w:r>
        <w:rPr>
          <w:webHidden/>
        </w:rPr>
        <w:tab/>
      </w:r>
      <w:r>
        <w:rPr>
          <w:webHidden/>
        </w:rPr>
        <w:fldChar w:fldCharType="begin"/>
      </w:r>
      <w:r>
        <w:rPr>
          <w:webHidden/>
        </w:rPr>
        <w:instrText xml:space="preserve"> PAGEREF _Toc2831178 \h </w:instrText>
      </w:r>
      <w:r>
        <w:rPr>
          <w:webHidden/>
        </w:rPr>
        <w:fldChar w:fldCharType="separate"/>
      </w:r>
      <w:r>
        <w:rPr>
          <w:webHidden/>
        </w:rPr>
        <w:t>3</w:t>
      </w:r>
      <w:r>
        <w:rPr>
          <w:webHidden/>
        </w:rPr>
        <w:fldChar w:fldCharType="end"/>
      </w:r>
      <w:r>
        <w:rPr/>
        <w:fldChar w:fldCharType="end"/>
      </w:r>
    </w:p>
    <w:p>
      <w:pPr>
        <w:pStyle w:val="style19"/>
        <w:tabs>
          <w:tab w:val="left" w:leader="none" w:pos="720"/>
        </w:tabs>
        <w:rPr>
          <w:rFonts w:ascii="Calibri" w:cs="宋体" w:eastAsia="宋体" w:hAnsi="Calibri"/>
          <w:b w:val="false"/>
          <w:bCs w:val="false"/>
          <w:caps w:val="false"/>
          <w:sz w:val="24"/>
          <w:lang w:eastAsia="fr-FR"/>
        </w:rPr>
      </w:pPr>
      <w:r>
        <w:rPr/>
        <w:fldChar w:fldCharType="begin"/>
      </w:r>
      <w:r>
        <w:instrText xml:space="preserve"> HYPERLINK \l "_Toc2831179" </w:instrText>
      </w:r>
      <w:r>
        <w:rPr/>
        <w:fldChar w:fldCharType="separate"/>
      </w:r>
      <w:r>
        <w:rPr>
          <w:rStyle w:val="style85"/>
        </w:rPr>
        <w:t>B.</w:t>
      </w:r>
      <w:r>
        <w:rPr>
          <w:rFonts w:ascii="Calibri" w:cs="宋体" w:eastAsia="宋体" w:hAnsi="Calibri"/>
          <w:b w:val="false"/>
          <w:bCs w:val="false"/>
          <w:caps w:val="false"/>
          <w:sz w:val="24"/>
          <w:lang w:eastAsia="fr-FR"/>
        </w:rPr>
        <w:tab/>
      </w:r>
      <w:r>
        <w:rPr>
          <w:rStyle w:val="style85"/>
        </w:rPr>
        <w:t>DESCRIPTION DU PROGRAMME</w:t>
      </w:r>
      <w:r>
        <w:rPr>
          <w:webHidden/>
        </w:rPr>
        <w:tab/>
      </w:r>
      <w:r>
        <w:rPr>
          <w:webHidden/>
        </w:rPr>
        <w:fldChar w:fldCharType="begin"/>
      </w:r>
      <w:r>
        <w:rPr>
          <w:webHidden/>
        </w:rPr>
        <w:instrText xml:space="preserve"> PAGEREF _Toc2831179 \h </w:instrText>
      </w:r>
      <w:r>
        <w:rPr>
          <w:webHidden/>
        </w:rPr>
        <w:fldChar w:fldCharType="separate"/>
      </w:r>
      <w:r>
        <w:rPr>
          <w:webHidden/>
        </w:rPr>
        <w:t>4</w:t>
      </w:r>
      <w:r>
        <w:rPr>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"_Toc2831180" </w:instrText>
      </w:r>
      <w:r>
        <w:rPr/>
        <w:fldChar w:fldCharType="separate"/>
      </w:r>
      <w:r>
        <w:rPr>
          <w:rStyle w:val="style85"/>
        </w:rPr>
        <w:t>2.1.</w:t>
      </w:r>
      <w:r>
        <w:rPr>
          <w:rFonts w:ascii="Calibri" w:cs="宋体" w:eastAsia="宋体" w:hAnsi="Calibri"/>
          <w:b w:val="false"/>
          <w:iCs w:val="false"/>
          <w:smallCaps w:val="false"/>
          <w:sz w:val="24"/>
          <w:lang w:eastAsia="fr-FR"/>
        </w:rPr>
        <w:tab/>
      </w:r>
      <w:r>
        <w:rPr>
          <w:rStyle w:val="style85"/>
        </w:rPr>
        <w:t>Objectif de programme</w:t>
      </w:r>
      <w:r>
        <w:rPr>
          <w:webHidden/>
        </w:rPr>
        <w:tab/>
      </w:r>
      <w:r>
        <w:rPr>
          <w:webHidden/>
        </w:rPr>
        <w:fldChar w:fldCharType="begin"/>
      </w:r>
      <w:r>
        <w:rPr>
          <w:webHidden/>
        </w:rPr>
        <w:instrText xml:space="preserve"> PAGEREF _Toc2831180 \h </w:instrText>
      </w:r>
      <w:r>
        <w:rPr>
          <w:webHidden/>
        </w:rPr>
        <w:fldChar w:fldCharType="separate"/>
      </w:r>
      <w:r>
        <w:rPr>
          <w:webHidden/>
        </w:rPr>
        <w:t>4</w:t>
      </w:r>
      <w:r>
        <w:rPr>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"_Toc2831181" </w:instrText>
      </w:r>
      <w:r>
        <w:rPr/>
        <w:fldChar w:fldCharType="separate"/>
      </w:r>
      <w:r>
        <w:rPr>
          <w:rStyle w:val="style85"/>
        </w:rPr>
        <w:t>2.2.</w:t>
      </w:r>
      <w:r>
        <w:rPr>
          <w:rFonts w:ascii="Calibri" w:cs="宋体" w:eastAsia="宋体" w:hAnsi="Calibri"/>
          <w:b w:val="false"/>
          <w:iCs w:val="false"/>
          <w:smallCaps w:val="false"/>
          <w:sz w:val="24"/>
          <w:lang w:eastAsia="fr-FR"/>
        </w:rPr>
        <w:tab/>
      </w:r>
      <w:r>
        <w:rPr>
          <w:rStyle w:val="style85"/>
          <w:lang w:val="en-US"/>
        </w:rPr>
        <w:t>C</w:t>
      </w:r>
      <w:r>
        <w:rPr>
          <w:rStyle w:val="style85"/>
        </w:rPr>
        <w:t>omposantes du programme</w:t>
      </w:r>
      <w:r>
        <w:rPr>
          <w:webHidden/>
        </w:rPr>
        <w:tab/>
      </w:r>
      <w:r>
        <w:rPr>
          <w:webHidden/>
        </w:rPr>
        <w:fldChar w:fldCharType="begin"/>
      </w:r>
      <w:r>
        <w:rPr>
          <w:webHidden/>
        </w:rPr>
        <w:instrText xml:space="preserve"> PAGEREF _Toc2831181 \h </w:instrText>
      </w:r>
      <w:r>
        <w:rPr>
          <w:webHidden/>
        </w:rPr>
        <w:fldChar w:fldCharType="separate"/>
      </w:r>
      <w:r>
        <w:rPr>
          <w:webHidden/>
        </w:rPr>
        <w:t>5</w:t>
      </w:r>
      <w:r>
        <w:rPr>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"_Toc2831182" </w:instrText>
      </w:r>
      <w:r>
        <w:rPr/>
        <w:fldChar w:fldCharType="separate"/>
      </w:r>
      <w:r>
        <w:rPr>
          <w:rStyle w:val="style85"/>
          <w:noProof/>
        </w:rPr>
        <w:t>2.1.1.</w:t>
      </w:r>
      <w:r>
        <w:rPr>
          <w:rFonts w:ascii="Calibri" w:cs="宋体" w:eastAsia="宋体" w:hAnsi="Calibri"/>
          <w:i w:val="false"/>
          <w:iCs w:val="false"/>
          <w:noProof/>
          <w:sz w:val="24"/>
          <w:lang w:eastAsia="fr-FR"/>
        </w:rPr>
        <w:tab/>
      </w:r>
      <w:r>
        <w:rPr>
          <w:rStyle w:val="style85"/>
          <w:noProof/>
        </w:rPr>
        <w:t>Composante 1 : appui à l’amélioration de la productivité agricole</w:t>
      </w:r>
      <w:r>
        <w:rPr>
          <w:noProof/>
          <w:webHidden/>
        </w:rPr>
        <w:tab/>
      </w:r>
      <w:r>
        <w:rPr>
          <w:noProof/>
          <w:webHidden/>
        </w:rPr>
        <w:fldChar w:fldCharType="begin"/>
      </w:r>
      <w:r>
        <w:rPr>
          <w:noProof/>
          <w:webHidden/>
        </w:rPr>
        <w:instrText xml:space="preserve"> PAGEREF _Toc2831182 \h </w:instrText>
      </w:r>
      <w:r>
        <w:rPr>
          <w:noProof/>
          <w:webHidden/>
        </w:rPr>
        <w:fldChar w:fldCharType="separate"/>
      </w:r>
      <w:r>
        <w:rPr>
          <w:noProof/>
          <w:webHidden/>
        </w:rPr>
        <w:t>5</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"_Toc2831183" </w:instrText>
      </w:r>
      <w:r>
        <w:rPr/>
        <w:fldChar w:fldCharType="separate"/>
      </w:r>
      <w:r>
        <w:rPr>
          <w:rStyle w:val="style85"/>
          <w:noProof/>
        </w:rPr>
        <w:t>2.1.2.</w:t>
      </w:r>
      <w:r>
        <w:rPr>
          <w:rFonts w:ascii="Calibri" w:cs="宋体" w:eastAsia="宋体" w:hAnsi="Calibri"/>
          <w:i w:val="false"/>
          <w:iCs w:val="false"/>
          <w:noProof/>
          <w:sz w:val="24"/>
          <w:lang w:eastAsia="fr-FR"/>
        </w:rPr>
        <w:tab/>
      </w:r>
      <w:r>
        <w:rPr>
          <w:rStyle w:val="style85"/>
          <w:noProof/>
        </w:rPr>
        <w:t>Composante 2 : amélioration de l’accès au marché</w:t>
      </w:r>
      <w:r>
        <w:rPr>
          <w:noProof/>
          <w:webHidden/>
        </w:rPr>
        <w:tab/>
      </w:r>
      <w:r>
        <w:rPr>
          <w:noProof/>
          <w:webHidden/>
        </w:rPr>
        <w:fldChar w:fldCharType="begin"/>
      </w:r>
      <w:r>
        <w:rPr>
          <w:noProof/>
          <w:webHidden/>
        </w:rPr>
        <w:instrText xml:space="preserve"> PAGEREF _Toc2831183 \h </w:instrText>
      </w:r>
      <w:r>
        <w:rPr>
          <w:noProof/>
          <w:webHidden/>
        </w:rPr>
        <w:fldChar w:fldCharType="separate"/>
      </w:r>
      <w:r>
        <w:rPr>
          <w:noProof/>
          <w:webHidden/>
        </w:rPr>
        <w:t>7</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"_Toc2831184" </w:instrText>
      </w:r>
      <w:r>
        <w:rPr/>
        <w:fldChar w:fldCharType="separate"/>
      </w:r>
      <w:r>
        <w:rPr>
          <w:rStyle w:val="style85"/>
          <w:noProof/>
        </w:rPr>
        <w:t>2.1.3.</w:t>
      </w:r>
      <w:r>
        <w:rPr>
          <w:rFonts w:ascii="Calibri" w:cs="宋体" w:eastAsia="宋体" w:hAnsi="Calibri"/>
          <w:i w:val="false"/>
          <w:iCs w:val="false"/>
          <w:noProof/>
          <w:sz w:val="24"/>
          <w:lang w:eastAsia="fr-FR"/>
        </w:rPr>
        <w:tab/>
      </w:r>
      <w:r>
        <w:rPr>
          <w:rStyle w:val="style85"/>
          <w:noProof/>
        </w:rPr>
        <w:t>Composante 3 : Soutien au financement du secteur privé</w:t>
      </w:r>
      <w:r>
        <w:rPr>
          <w:noProof/>
          <w:webHidden/>
        </w:rPr>
        <w:tab/>
      </w:r>
      <w:r>
        <w:rPr>
          <w:noProof/>
          <w:webHidden/>
        </w:rPr>
        <w:fldChar w:fldCharType="begin"/>
      </w:r>
      <w:r>
        <w:rPr>
          <w:noProof/>
          <w:webHidden/>
        </w:rPr>
        <w:instrText xml:space="preserve"> PAGEREF _Toc2831184 \h </w:instrText>
      </w:r>
      <w:r>
        <w:rPr>
          <w:noProof/>
          <w:webHidden/>
        </w:rPr>
        <w:fldChar w:fldCharType="separate"/>
      </w:r>
      <w:r>
        <w:rPr>
          <w:noProof/>
          <w:webHidden/>
        </w:rPr>
        <w:t>8</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"_Toc2831185" </w:instrText>
      </w:r>
      <w:r>
        <w:rPr/>
        <w:fldChar w:fldCharType="separate"/>
      </w:r>
      <w:r>
        <w:rPr>
          <w:rStyle w:val="style85"/>
          <w:noProof/>
        </w:rPr>
        <w:t>2.1.4.</w:t>
      </w:r>
      <w:r>
        <w:rPr>
          <w:rFonts w:ascii="Calibri" w:cs="宋体" w:eastAsia="宋体" w:hAnsi="Calibri"/>
          <w:i w:val="false"/>
          <w:iCs w:val="false"/>
          <w:noProof/>
          <w:sz w:val="24"/>
          <w:lang w:eastAsia="fr-FR"/>
        </w:rPr>
        <w:tab/>
      </w:r>
      <w:r>
        <w:rPr>
          <w:rStyle w:val="style85"/>
          <w:noProof/>
        </w:rPr>
        <w:t>Composante 4 : prévention des crises, coordination et gestion du programme</w:t>
      </w:r>
      <w:r>
        <w:rPr>
          <w:noProof/>
          <w:webHidden/>
        </w:rPr>
        <w:tab/>
      </w:r>
      <w:r>
        <w:rPr>
          <w:noProof/>
          <w:webHidden/>
        </w:rPr>
        <w:fldChar w:fldCharType="begin"/>
      </w:r>
      <w:r>
        <w:rPr>
          <w:noProof/>
          <w:webHidden/>
        </w:rPr>
        <w:instrText xml:space="preserve"> PAGEREF _Toc2831185 \h </w:instrText>
      </w:r>
      <w:r>
        <w:rPr>
          <w:noProof/>
          <w:webHidden/>
        </w:rPr>
        <w:fldChar w:fldCharType="separate"/>
      </w:r>
      <w:r>
        <w:rPr>
          <w:noProof/>
          <w:webHidden/>
        </w:rPr>
        <w:t>8</w:t>
      </w:r>
      <w:r>
        <w:rPr>
          <w:noProof/>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"_Toc2831186" </w:instrText>
      </w:r>
      <w:r>
        <w:rPr/>
        <w:fldChar w:fldCharType="separate"/>
      </w:r>
      <w:r>
        <w:rPr>
          <w:rStyle w:val="style85"/>
        </w:rPr>
        <w:t>2.3.</w:t>
      </w:r>
      <w:r>
        <w:rPr>
          <w:rFonts w:ascii="Calibri" w:cs="宋体" w:eastAsia="宋体" w:hAnsi="Calibri"/>
          <w:b w:val="false"/>
          <w:iCs w:val="false"/>
          <w:smallCaps w:val="false"/>
          <w:sz w:val="24"/>
          <w:lang w:eastAsia="fr-FR"/>
        </w:rPr>
        <w:tab/>
      </w:r>
      <w:r>
        <w:rPr>
          <w:rStyle w:val="style85"/>
        </w:rPr>
        <w:t>Zone d’implantation du programme</w:t>
      </w:r>
      <w:r>
        <w:rPr>
          <w:webHidden/>
        </w:rPr>
        <w:tab/>
      </w:r>
      <w:r>
        <w:rPr>
          <w:webHidden/>
        </w:rPr>
        <w:fldChar w:fldCharType="begin"/>
      </w:r>
      <w:r>
        <w:rPr>
          <w:webHidden/>
        </w:rPr>
        <w:instrText xml:space="preserve"> PAGEREF _Toc2831186 \h </w:instrText>
      </w:r>
      <w:r>
        <w:rPr>
          <w:webHidden/>
        </w:rPr>
        <w:fldChar w:fldCharType="separate"/>
      </w:r>
      <w:r>
        <w:rPr>
          <w:webHidden/>
        </w:rPr>
        <w:t>9</w:t>
      </w:r>
      <w:r>
        <w:rPr>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"_Toc2831187" </w:instrText>
      </w:r>
      <w:r>
        <w:rPr/>
        <w:fldChar w:fldCharType="separate"/>
      </w:r>
      <w:r>
        <w:rPr>
          <w:rStyle w:val="style85"/>
          <w:noProof/>
        </w:rPr>
        <w:t>2.3.1.</w:t>
      </w:r>
      <w:r>
        <w:rPr>
          <w:rFonts w:ascii="Calibri" w:cs="宋体" w:eastAsia="宋体" w:hAnsi="Calibri"/>
          <w:i w:val="false"/>
          <w:iCs w:val="false"/>
          <w:noProof/>
          <w:sz w:val="24"/>
          <w:lang w:eastAsia="fr-FR"/>
        </w:rPr>
        <w:tab/>
      </w:r>
      <w:r>
        <w:rPr>
          <w:rStyle w:val="style85"/>
          <w:noProof/>
        </w:rPr>
        <w:t>Milieu Physique</w:t>
      </w:r>
      <w:r>
        <w:rPr>
          <w:noProof/>
          <w:webHidden/>
        </w:rPr>
        <w:tab/>
      </w:r>
      <w:r>
        <w:rPr>
          <w:noProof/>
          <w:webHidden/>
        </w:rPr>
        <w:fldChar w:fldCharType="begin"/>
      </w:r>
      <w:r>
        <w:rPr>
          <w:noProof/>
          <w:webHidden/>
        </w:rPr>
        <w:instrText xml:space="preserve"> PAGEREF _Toc2831187 \h </w:instrText>
      </w:r>
      <w:r>
        <w:rPr>
          <w:noProof/>
          <w:webHidden/>
        </w:rPr>
        <w:fldChar w:fldCharType="separate"/>
      </w:r>
      <w:r>
        <w:rPr>
          <w:noProof/>
          <w:webHidden/>
        </w:rPr>
        <w:t>10</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"_Toc2831188" </w:instrText>
      </w:r>
      <w:r>
        <w:rPr/>
        <w:fldChar w:fldCharType="separate"/>
      </w:r>
      <w:r>
        <w:rPr>
          <w:rStyle w:val="style85"/>
          <w:noProof/>
        </w:rPr>
        <w:t>2.3.2.</w:t>
      </w:r>
      <w:r>
        <w:rPr>
          <w:rFonts w:ascii="Calibri" w:cs="宋体" w:eastAsia="宋体" w:hAnsi="Calibri"/>
          <w:i w:val="false"/>
          <w:iCs w:val="false"/>
          <w:noProof/>
          <w:sz w:val="24"/>
          <w:lang w:eastAsia="fr-FR"/>
        </w:rPr>
        <w:tab/>
      </w:r>
      <w:r>
        <w:rPr>
          <w:rStyle w:val="style85"/>
          <w:noProof/>
        </w:rPr>
        <w:t>Caractéristiques socio-économiques</w:t>
      </w:r>
      <w:r>
        <w:rPr>
          <w:noProof/>
          <w:webHidden/>
        </w:rPr>
        <w:tab/>
      </w:r>
      <w:r>
        <w:rPr>
          <w:noProof/>
          <w:webHidden/>
        </w:rPr>
        <w:fldChar w:fldCharType="begin"/>
      </w:r>
      <w:r>
        <w:rPr>
          <w:noProof/>
          <w:webHidden/>
        </w:rPr>
        <w:instrText xml:space="preserve"> PAGEREF _Toc2831188 \h </w:instrText>
      </w:r>
      <w:r>
        <w:rPr>
          <w:noProof/>
          <w:webHidden/>
        </w:rPr>
        <w:fldChar w:fldCharType="separate"/>
      </w:r>
      <w:r>
        <w:rPr>
          <w:noProof/>
          <w:webHidden/>
        </w:rPr>
        <w:t>12</w:t>
      </w:r>
      <w:r>
        <w:rPr>
          <w:noProof/>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"_Toc2831189" </w:instrText>
      </w:r>
      <w:r>
        <w:rPr/>
        <w:fldChar w:fldCharType="separate"/>
      </w:r>
      <w:r>
        <w:rPr>
          <w:rStyle w:val="style85"/>
        </w:rPr>
        <w:t>2.4.</w:t>
      </w:r>
      <w:r>
        <w:rPr>
          <w:rFonts w:ascii="Calibri" w:cs="宋体" w:eastAsia="宋体" w:hAnsi="Calibri"/>
          <w:b w:val="false"/>
          <w:iCs w:val="false"/>
          <w:smallCaps w:val="false"/>
          <w:sz w:val="24"/>
          <w:lang w:eastAsia="fr-FR"/>
        </w:rPr>
        <w:tab/>
      </w:r>
      <w:r>
        <w:rPr>
          <w:rStyle w:val="style85"/>
        </w:rPr>
        <w:t>Données spécifiques aux zones d’intervention du programme</w:t>
      </w:r>
      <w:r>
        <w:rPr>
          <w:webHidden/>
        </w:rPr>
        <w:tab/>
      </w:r>
      <w:r>
        <w:rPr>
          <w:webHidden/>
        </w:rPr>
        <w:fldChar w:fldCharType="begin"/>
      </w:r>
      <w:r>
        <w:rPr>
          <w:webHidden/>
        </w:rPr>
        <w:instrText xml:space="preserve"> PAGEREF _Toc2831189 \h </w:instrText>
      </w:r>
      <w:r>
        <w:rPr>
          <w:webHidden/>
        </w:rPr>
        <w:fldChar w:fldCharType="separate"/>
      </w:r>
      <w:r>
        <w:rPr>
          <w:webHidden/>
        </w:rPr>
        <w:t>14</w:t>
      </w:r>
      <w:r>
        <w:rPr>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"_Toc2831190" </w:instrText>
      </w:r>
      <w:r>
        <w:rPr/>
        <w:fldChar w:fldCharType="separate"/>
      </w:r>
      <w:r>
        <w:rPr>
          <w:rStyle w:val="style85"/>
          <w:noProof/>
        </w:rPr>
        <w:t>2.4.1.</w:t>
      </w:r>
      <w:r>
        <w:rPr>
          <w:rFonts w:ascii="Calibri" w:cs="宋体" w:eastAsia="宋体" w:hAnsi="Calibri"/>
          <w:i w:val="false"/>
          <w:iCs w:val="false"/>
          <w:noProof/>
          <w:sz w:val="24"/>
          <w:lang w:eastAsia="fr-FR"/>
        </w:rPr>
        <w:tab/>
      </w:r>
      <w:r>
        <w:rPr>
          <w:rStyle w:val="style85"/>
          <w:noProof/>
        </w:rPr>
        <w:t>Région du Nord</w:t>
      </w:r>
      <w:r>
        <w:rPr>
          <w:noProof/>
          <w:webHidden/>
        </w:rPr>
        <w:tab/>
      </w:r>
      <w:r>
        <w:rPr>
          <w:noProof/>
          <w:webHidden/>
        </w:rPr>
        <w:fldChar w:fldCharType="begin"/>
      </w:r>
      <w:r>
        <w:rPr>
          <w:noProof/>
          <w:webHidden/>
        </w:rPr>
        <w:instrText xml:space="preserve"> PAGEREF _Toc2831190 \h </w:instrText>
      </w:r>
      <w:r>
        <w:rPr>
          <w:noProof/>
          <w:webHidden/>
        </w:rPr>
        <w:fldChar w:fldCharType="separate"/>
      </w:r>
      <w:r>
        <w:rPr>
          <w:noProof/>
          <w:webHidden/>
        </w:rPr>
        <w:t>14</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"_Toc2831191" </w:instrText>
      </w:r>
      <w:r>
        <w:rPr/>
        <w:fldChar w:fldCharType="separate"/>
      </w:r>
      <w:r>
        <w:rPr>
          <w:rStyle w:val="style85"/>
          <w:noProof/>
        </w:rPr>
        <w:t>2.4.2.</w:t>
      </w:r>
      <w:r>
        <w:rPr>
          <w:rFonts w:ascii="Calibri" w:cs="宋体" w:eastAsia="宋体" w:hAnsi="Calibri"/>
          <w:i w:val="false"/>
          <w:iCs w:val="false"/>
          <w:noProof/>
          <w:sz w:val="24"/>
          <w:lang w:eastAsia="fr-FR"/>
        </w:rPr>
        <w:tab/>
      </w:r>
      <w:r>
        <w:rPr>
          <w:rStyle w:val="style85"/>
          <w:noProof/>
        </w:rPr>
        <w:t>Région des Cascades</w:t>
      </w:r>
      <w:r>
        <w:rPr>
          <w:noProof/>
          <w:webHidden/>
        </w:rPr>
        <w:tab/>
      </w:r>
      <w:r>
        <w:rPr>
          <w:noProof/>
          <w:webHidden/>
        </w:rPr>
        <w:fldChar w:fldCharType="begin"/>
      </w:r>
      <w:r>
        <w:rPr>
          <w:noProof/>
          <w:webHidden/>
        </w:rPr>
        <w:instrText xml:space="preserve"> PAGEREF _Toc2831191 \h </w:instrText>
      </w:r>
      <w:r>
        <w:rPr>
          <w:noProof/>
          <w:webHidden/>
        </w:rPr>
        <w:fldChar w:fldCharType="separate"/>
      </w:r>
      <w:r>
        <w:rPr>
          <w:noProof/>
          <w:webHidden/>
        </w:rPr>
        <w:t>15</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"_Toc2831192" </w:instrText>
      </w:r>
      <w:r>
        <w:rPr/>
        <w:fldChar w:fldCharType="separate"/>
      </w:r>
      <w:r>
        <w:rPr>
          <w:rStyle w:val="style85"/>
          <w:noProof/>
        </w:rPr>
        <w:t>2.4.3.</w:t>
      </w:r>
      <w:r>
        <w:rPr>
          <w:rFonts w:ascii="Calibri" w:cs="宋体" w:eastAsia="宋体" w:hAnsi="Calibri"/>
          <w:i w:val="false"/>
          <w:iCs w:val="false"/>
          <w:noProof/>
          <w:sz w:val="24"/>
          <w:lang w:eastAsia="fr-FR"/>
        </w:rPr>
        <w:tab/>
      </w:r>
      <w:r>
        <w:rPr>
          <w:rStyle w:val="style85"/>
          <w:noProof/>
        </w:rPr>
        <w:t>Région de la Boucle du Mouhoun</w:t>
      </w:r>
      <w:r>
        <w:rPr>
          <w:noProof/>
          <w:webHidden/>
        </w:rPr>
        <w:tab/>
      </w:r>
      <w:r>
        <w:rPr>
          <w:noProof/>
          <w:webHidden/>
        </w:rPr>
        <w:fldChar w:fldCharType="begin"/>
      </w:r>
      <w:r>
        <w:rPr>
          <w:noProof/>
          <w:webHidden/>
        </w:rPr>
        <w:instrText xml:space="preserve"> PAGEREF _Toc2831192 \h </w:instrText>
      </w:r>
      <w:r>
        <w:rPr>
          <w:noProof/>
          <w:webHidden/>
        </w:rPr>
        <w:fldChar w:fldCharType="separate"/>
      </w:r>
      <w:r>
        <w:rPr>
          <w:noProof/>
          <w:webHidden/>
        </w:rPr>
        <w:t>16</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"_Toc2831193" </w:instrText>
      </w:r>
      <w:r>
        <w:rPr/>
        <w:fldChar w:fldCharType="separate"/>
      </w:r>
      <w:r>
        <w:rPr>
          <w:rStyle w:val="style85"/>
          <w:noProof/>
        </w:rPr>
        <w:t>2.4.4.</w:t>
      </w:r>
      <w:r>
        <w:rPr>
          <w:rFonts w:ascii="Calibri" w:cs="宋体" w:eastAsia="宋体" w:hAnsi="Calibri"/>
          <w:i w:val="false"/>
          <w:iCs w:val="false"/>
          <w:noProof/>
          <w:sz w:val="24"/>
          <w:lang w:eastAsia="fr-FR"/>
        </w:rPr>
        <w:tab/>
      </w:r>
      <w:r>
        <w:rPr>
          <w:rStyle w:val="style85"/>
          <w:noProof/>
        </w:rPr>
        <w:t>Région des Hauts Bassins</w:t>
      </w:r>
      <w:r>
        <w:rPr>
          <w:noProof/>
          <w:webHidden/>
        </w:rPr>
        <w:tab/>
      </w:r>
      <w:r>
        <w:rPr>
          <w:noProof/>
          <w:webHidden/>
        </w:rPr>
        <w:fldChar w:fldCharType="begin"/>
      </w:r>
      <w:r>
        <w:rPr>
          <w:noProof/>
          <w:webHidden/>
        </w:rPr>
        <w:instrText xml:space="preserve"> PAGEREF _Toc2831193 \h </w:instrText>
      </w:r>
      <w:r>
        <w:rPr>
          <w:noProof/>
          <w:webHidden/>
        </w:rPr>
        <w:fldChar w:fldCharType="separate"/>
      </w:r>
      <w:r>
        <w:rPr>
          <w:noProof/>
          <w:webHidden/>
        </w:rPr>
        <w:t>17</w:t>
      </w:r>
      <w:r>
        <w:rPr>
          <w:noProof/>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"_Toc2831194" </w:instrText>
      </w:r>
      <w:r>
        <w:rPr/>
        <w:fldChar w:fldCharType="separate"/>
      </w:r>
      <w:r>
        <w:rPr>
          <w:rStyle w:val="style85"/>
        </w:rPr>
        <w:t>2.5.</w:t>
      </w:r>
      <w:r>
        <w:rPr>
          <w:rFonts w:ascii="Calibri" w:cs="宋体" w:eastAsia="宋体" w:hAnsi="Calibri"/>
          <w:b w:val="false"/>
          <w:iCs w:val="false"/>
          <w:smallCaps w:val="false"/>
          <w:sz w:val="24"/>
          <w:lang w:eastAsia="fr-FR"/>
        </w:rPr>
        <w:tab/>
      </w:r>
      <w:r>
        <w:rPr>
          <w:rStyle w:val="style85"/>
        </w:rPr>
        <w:t>Arrangements institutionnels pour la mise en œuvre du programme</w:t>
      </w:r>
      <w:r>
        <w:rPr>
          <w:webHidden/>
        </w:rPr>
        <w:tab/>
      </w:r>
      <w:r>
        <w:rPr>
          <w:webHidden/>
        </w:rPr>
        <w:fldChar w:fldCharType="begin"/>
      </w:r>
      <w:r>
        <w:rPr>
          <w:webHidden/>
        </w:rPr>
        <w:instrText xml:space="preserve"> PAGEREF _Toc2831194 \h </w:instrText>
      </w:r>
      <w:r>
        <w:rPr>
          <w:webHidden/>
        </w:rPr>
        <w:fldChar w:fldCharType="separate"/>
      </w:r>
      <w:r>
        <w:rPr>
          <w:webHidden/>
        </w:rPr>
        <w:t>18</w:t>
      </w:r>
      <w:r>
        <w:rPr>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"_Toc2831195" </w:instrText>
      </w:r>
      <w:r>
        <w:rPr/>
        <w:fldChar w:fldCharType="separate"/>
      </w:r>
      <w:r>
        <w:rPr>
          <w:rStyle w:val="style85"/>
          <w:noProof/>
        </w:rPr>
        <w:t>2.5.1.</w:t>
      </w:r>
      <w:r>
        <w:rPr>
          <w:rFonts w:ascii="Calibri" w:cs="宋体" w:eastAsia="宋体" w:hAnsi="Calibri"/>
          <w:i w:val="false"/>
          <w:iCs w:val="false"/>
          <w:noProof/>
          <w:sz w:val="24"/>
          <w:lang w:eastAsia="fr-FR"/>
        </w:rPr>
        <w:tab/>
      </w:r>
      <w:r>
        <w:rPr>
          <w:rStyle w:val="style85"/>
          <w:noProof/>
        </w:rPr>
        <w:t>Le comité de pilotage</w:t>
      </w:r>
      <w:r>
        <w:rPr>
          <w:noProof/>
          <w:webHidden/>
        </w:rPr>
        <w:tab/>
      </w:r>
      <w:r>
        <w:rPr>
          <w:noProof/>
          <w:webHidden/>
        </w:rPr>
        <w:fldChar w:fldCharType="begin"/>
      </w:r>
      <w:r>
        <w:rPr>
          <w:noProof/>
          <w:webHidden/>
        </w:rPr>
        <w:instrText xml:space="preserve"> PAGEREF _Toc2831195 \h </w:instrText>
      </w:r>
      <w:r>
        <w:rPr>
          <w:noProof/>
          <w:webHidden/>
        </w:rPr>
        <w:fldChar w:fldCharType="separate"/>
      </w:r>
      <w:r>
        <w:rPr>
          <w:noProof/>
          <w:webHidden/>
        </w:rPr>
        <w:t>18</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"_Toc2831196" </w:instrText>
      </w:r>
      <w:r>
        <w:rPr/>
        <w:fldChar w:fldCharType="separate"/>
      </w:r>
      <w:r>
        <w:rPr>
          <w:rStyle w:val="style85"/>
          <w:noProof/>
        </w:rPr>
        <w:t>2.5.2.</w:t>
      </w:r>
      <w:r>
        <w:rPr>
          <w:rFonts w:ascii="Calibri" w:cs="宋体" w:eastAsia="宋体" w:hAnsi="Calibri"/>
          <w:i w:val="false"/>
          <w:iCs w:val="false"/>
          <w:noProof/>
          <w:sz w:val="24"/>
          <w:lang w:eastAsia="fr-FR"/>
        </w:rPr>
        <w:tab/>
      </w:r>
      <w:r>
        <w:rPr>
          <w:rStyle w:val="style85"/>
          <w:noProof/>
        </w:rPr>
        <w:t>Coordination du programme</w:t>
      </w:r>
      <w:r>
        <w:rPr>
          <w:noProof/>
          <w:webHidden/>
        </w:rPr>
        <w:tab/>
      </w:r>
      <w:r>
        <w:rPr>
          <w:noProof/>
          <w:webHidden/>
        </w:rPr>
        <w:fldChar w:fldCharType="begin"/>
      </w:r>
      <w:r>
        <w:rPr>
          <w:noProof/>
          <w:webHidden/>
        </w:rPr>
        <w:instrText xml:space="preserve"> PAGEREF _Toc2831196 \h </w:instrText>
      </w:r>
      <w:r>
        <w:rPr>
          <w:noProof/>
          <w:webHidden/>
        </w:rPr>
        <w:fldChar w:fldCharType="separate"/>
      </w:r>
      <w:r>
        <w:rPr>
          <w:noProof/>
          <w:webHidden/>
        </w:rPr>
        <w:t>18</w:t>
      </w:r>
      <w:r>
        <w:rPr>
          <w:noProof/>
          <w:webHidden/>
        </w:rPr>
        <w:fldChar w:fldCharType="end"/>
      </w:r>
      <w:r>
        <w:rPr/>
        <w:fldChar w:fldCharType="end"/>
      </w:r>
    </w:p>
    <w:p>
      <w:pPr>
        <w:pStyle w:val="style19"/>
        <w:rPr>
          <w:rFonts w:ascii="Calibri" w:cs="宋体" w:eastAsia="宋体" w:hAnsi="Calibri"/>
          <w:b w:val="false"/>
          <w:bCs w:val="false"/>
          <w:caps w:val="false"/>
          <w:sz w:val="24"/>
          <w:lang w:eastAsia="fr-FR"/>
        </w:rPr>
      </w:pPr>
      <w:r>
        <w:rPr/>
        <w:fldChar w:fldCharType="begin"/>
      </w:r>
      <w:r>
        <w:instrText xml:space="preserve"> HYPERLINK \l "_Toc2831197" </w:instrText>
      </w:r>
      <w:r>
        <w:rPr/>
        <w:fldChar w:fldCharType="separate"/>
      </w:r>
      <w:r>
        <w:rPr>
          <w:rStyle w:val="style85"/>
        </w:rPr>
        <w:t>C. Approches actuelles de la lutte antiparasitaire dans le secteur du proGRAMME dans le pays</w:t>
      </w:r>
      <w:r>
        <w:rPr>
          <w:webHidden/>
        </w:rPr>
        <w:tab/>
      </w:r>
      <w:r>
        <w:rPr>
          <w:webHidden/>
        </w:rPr>
        <w:fldChar w:fldCharType="begin"/>
      </w:r>
      <w:r>
        <w:rPr>
          <w:webHidden/>
        </w:rPr>
        <w:instrText xml:space="preserve"> PAGEREF _Toc2831197 \h </w:instrText>
      </w:r>
      <w:r>
        <w:rPr>
          <w:webHidden/>
        </w:rPr>
        <w:fldChar w:fldCharType="separate"/>
      </w:r>
      <w:r>
        <w:rPr>
          <w:webHidden/>
        </w:rPr>
        <w:t>20</w:t>
      </w:r>
      <w:r>
        <w:rPr>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"_Toc2831198" </w:instrText>
      </w:r>
      <w:r>
        <w:rPr/>
        <w:fldChar w:fldCharType="separate"/>
      </w:r>
      <w:r>
        <w:rPr>
          <w:rStyle w:val="style85"/>
          <w:caps/>
        </w:rPr>
        <w:t>3.1.</w:t>
      </w:r>
      <w:r>
        <w:rPr>
          <w:rFonts w:ascii="Calibri" w:cs="宋体" w:eastAsia="宋体" w:hAnsi="Calibri"/>
          <w:b w:val="false"/>
          <w:iCs w:val="false"/>
          <w:smallCaps w:val="false"/>
          <w:sz w:val="24"/>
          <w:lang w:eastAsia="fr-FR"/>
        </w:rPr>
        <w:tab/>
      </w:r>
      <w:r>
        <w:rPr>
          <w:rStyle w:val="style85"/>
        </w:rPr>
        <w:t>Aperçu des cultures cibles et des problèmes de ravageurs associés</w:t>
      </w:r>
      <w:r>
        <w:rPr>
          <w:webHidden/>
        </w:rPr>
        <w:tab/>
      </w:r>
      <w:r>
        <w:rPr>
          <w:webHidden/>
        </w:rPr>
        <w:fldChar w:fldCharType="begin"/>
      </w:r>
      <w:r>
        <w:rPr>
          <w:webHidden/>
        </w:rPr>
        <w:instrText xml:space="preserve"> PAGEREF _Toc2831198 \h </w:instrText>
      </w:r>
      <w:r>
        <w:rPr>
          <w:webHidden/>
        </w:rPr>
        <w:fldChar w:fldCharType="separate"/>
      </w:r>
      <w:r>
        <w:rPr>
          <w:webHidden/>
        </w:rPr>
        <w:t>20</w:t>
      </w:r>
      <w:r>
        <w:rPr>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"_Toc2831199" </w:instrText>
      </w:r>
      <w:r>
        <w:rPr/>
        <w:fldChar w:fldCharType="separate"/>
      </w:r>
      <w:r>
        <w:rPr>
          <w:rStyle w:val="style85"/>
          <w:caps/>
        </w:rPr>
        <w:t>3.2.</w:t>
      </w:r>
      <w:r>
        <w:rPr>
          <w:rFonts w:ascii="Calibri" w:cs="宋体" w:eastAsia="宋体" w:hAnsi="Calibri"/>
          <w:b w:val="false"/>
          <w:iCs w:val="false"/>
          <w:smallCaps w:val="false"/>
          <w:sz w:val="24"/>
          <w:lang w:eastAsia="fr-FR"/>
        </w:rPr>
        <w:tab/>
      </w:r>
      <w:r>
        <w:rPr>
          <w:rStyle w:val="style85"/>
        </w:rPr>
        <w:t>Approches actuelles de gestion des pestes</w:t>
      </w:r>
      <w:r>
        <w:rPr>
          <w:webHidden/>
        </w:rPr>
        <w:tab/>
      </w:r>
      <w:r>
        <w:rPr>
          <w:webHidden/>
        </w:rPr>
        <w:fldChar w:fldCharType="begin"/>
      </w:r>
      <w:r>
        <w:rPr>
          <w:webHidden/>
        </w:rPr>
        <w:instrText xml:space="preserve"> PAGEREF _Toc2831199 \h </w:instrText>
      </w:r>
      <w:r>
        <w:rPr>
          <w:webHidden/>
        </w:rPr>
        <w:fldChar w:fldCharType="separate"/>
      </w:r>
      <w:r>
        <w:rPr>
          <w:webHidden/>
        </w:rPr>
        <w:t>27</w:t>
      </w:r>
      <w:r>
        <w:rPr>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"_Toc2831200" </w:instrText>
      </w:r>
      <w:r>
        <w:rPr/>
        <w:fldChar w:fldCharType="separate"/>
      </w:r>
      <w:r>
        <w:rPr>
          <w:rStyle w:val="style85"/>
          <w:bCs/>
          <w:caps/>
        </w:rPr>
        <w:t>3.3.</w:t>
      </w:r>
      <w:r>
        <w:rPr>
          <w:rFonts w:ascii="Calibri" w:cs="宋体" w:eastAsia="宋体" w:hAnsi="Calibri"/>
          <w:b w:val="false"/>
          <w:iCs w:val="false"/>
          <w:smallCaps w:val="false"/>
          <w:sz w:val="24"/>
          <w:lang w:eastAsia="fr-FR"/>
        </w:rPr>
        <w:tab/>
      </w:r>
      <w:r>
        <w:rPr>
          <w:rStyle w:val="style85"/>
        </w:rPr>
        <w:t>Expériences pratiques de gestion intégrée dans le pays</w:t>
      </w:r>
      <w:r>
        <w:rPr>
          <w:webHidden/>
        </w:rPr>
        <w:tab/>
      </w:r>
      <w:r>
        <w:rPr>
          <w:webHidden/>
        </w:rPr>
        <w:fldChar w:fldCharType="begin"/>
      </w:r>
      <w:r>
        <w:rPr>
          <w:webHidden/>
        </w:rPr>
        <w:instrText xml:space="preserve"> PAGEREF _Toc2831200 \h </w:instrText>
      </w:r>
      <w:r>
        <w:rPr>
          <w:webHidden/>
        </w:rPr>
        <w:fldChar w:fldCharType="separate"/>
      </w:r>
      <w:r>
        <w:rPr>
          <w:webHidden/>
        </w:rPr>
        <w:t>31</w:t>
      </w:r>
      <w:r>
        <w:rPr>
          <w:webHidden/>
        </w:rPr>
        <w:fldChar w:fldCharType="end"/>
      </w:r>
      <w:r>
        <w:rPr/>
        <w:fldChar w:fldCharType="end"/>
      </w:r>
    </w:p>
    <w:p>
      <w:pPr>
        <w:pStyle w:val="style19"/>
        <w:rPr>
          <w:rFonts w:ascii="Calibri" w:cs="宋体" w:eastAsia="宋体" w:hAnsi="Calibri"/>
          <w:b w:val="false"/>
          <w:bCs w:val="false"/>
          <w:caps w:val="false"/>
          <w:sz w:val="24"/>
          <w:lang w:eastAsia="fr-FR"/>
        </w:rPr>
      </w:pPr>
      <w:r>
        <w:rPr/>
        <w:fldChar w:fldCharType="begin"/>
      </w:r>
      <w:r>
        <w:instrText xml:space="preserve"> HYPERLINK \l "_Toc2831201" </w:instrText>
      </w:r>
      <w:r>
        <w:rPr/>
        <w:fldChar w:fldCharType="separate"/>
      </w:r>
      <w:r>
        <w:rPr>
          <w:rStyle w:val="style85"/>
        </w:rPr>
        <w:t>D. Problématique actuelle de l’utilisation et gestion des pesticides chimiques de synthèse dans le pays et le secteur du programme</w:t>
      </w:r>
      <w:r>
        <w:rPr>
          <w:webHidden/>
        </w:rPr>
        <w:tab/>
      </w:r>
      <w:r>
        <w:rPr>
          <w:webHidden/>
        </w:rPr>
        <w:fldChar w:fldCharType="begin"/>
      </w:r>
      <w:r>
        <w:rPr>
          <w:webHidden/>
        </w:rPr>
        <w:instrText xml:space="preserve"> PAGEREF _Toc2831201 \h </w:instrText>
      </w:r>
      <w:r>
        <w:rPr>
          <w:webHidden/>
        </w:rPr>
        <w:fldChar w:fldCharType="separate"/>
      </w:r>
      <w:r>
        <w:rPr>
          <w:webHidden/>
        </w:rPr>
        <w:t>32</w:t>
      </w:r>
      <w:r>
        <w:rPr>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"_Toc2831202" </w:instrText>
      </w:r>
      <w:r>
        <w:rPr/>
        <w:fldChar w:fldCharType="separate"/>
      </w:r>
      <w:r>
        <w:rPr>
          <w:rStyle w:val="style85"/>
        </w:rPr>
        <w:t>4.1.</w:t>
      </w:r>
      <w:r>
        <w:rPr>
          <w:rFonts w:ascii="Calibri" w:cs="宋体" w:eastAsia="宋体" w:hAnsi="Calibri"/>
          <w:b w:val="false"/>
          <w:iCs w:val="false"/>
          <w:smallCaps w:val="false"/>
          <w:sz w:val="24"/>
          <w:lang w:eastAsia="fr-FR"/>
        </w:rPr>
        <w:tab/>
      </w:r>
      <w:r>
        <w:rPr>
          <w:rStyle w:val="style85"/>
        </w:rPr>
        <w:t>Utilisation de pesticides dans le pays</w:t>
      </w:r>
      <w:r>
        <w:rPr>
          <w:webHidden/>
        </w:rPr>
        <w:tab/>
      </w:r>
      <w:r>
        <w:rPr>
          <w:webHidden/>
        </w:rPr>
        <w:fldChar w:fldCharType="begin"/>
      </w:r>
      <w:r>
        <w:rPr>
          <w:webHidden/>
        </w:rPr>
        <w:instrText xml:space="preserve"> PAGEREF _Toc2831202 \h </w:instrText>
      </w:r>
      <w:r>
        <w:rPr>
          <w:webHidden/>
        </w:rPr>
        <w:fldChar w:fldCharType="separate"/>
      </w:r>
      <w:r>
        <w:rPr>
          <w:webHidden/>
        </w:rPr>
        <w:t>32</w:t>
      </w:r>
      <w:r>
        <w:rPr>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"_Toc2831203" </w:instrText>
      </w:r>
      <w:r>
        <w:rPr/>
        <w:fldChar w:fldCharType="separate"/>
      </w:r>
      <w:r>
        <w:rPr>
          <w:rStyle w:val="style85"/>
          <w:rFonts w:ascii="Arial" w:cs="Arial" w:hAnsi="Arial"/>
          <w:bCs/>
          <w:noProof/>
          <w:lang w:eastAsia="fr-FR"/>
        </w:rPr>
        <w:t>4.1.1.</w:t>
      </w:r>
      <w:r>
        <w:rPr>
          <w:rFonts w:ascii="Calibri" w:cs="宋体" w:eastAsia="宋体" w:hAnsi="Calibri"/>
          <w:i w:val="false"/>
          <w:iCs w:val="false"/>
          <w:noProof/>
          <w:sz w:val="24"/>
          <w:lang w:eastAsia="fr-FR"/>
        </w:rPr>
        <w:tab/>
      </w:r>
      <w:r>
        <w:rPr>
          <w:rStyle w:val="style85"/>
          <w:noProof/>
        </w:rPr>
        <w:t>Distribution et utilisation des pesticides au Burkina Faso</w:t>
      </w:r>
      <w:r>
        <w:rPr>
          <w:noProof/>
          <w:webHidden/>
        </w:rPr>
        <w:tab/>
      </w:r>
      <w:r>
        <w:rPr>
          <w:noProof/>
          <w:webHidden/>
        </w:rPr>
        <w:fldChar w:fldCharType="begin"/>
      </w:r>
      <w:r>
        <w:rPr>
          <w:noProof/>
          <w:webHidden/>
        </w:rPr>
        <w:instrText xml:space="preserve"> PAGEREF _Toc2831203 \h </w:instrText>
      </w:r>
      <w:r>
        <w:rPr>
          <w:noProof/>
          <w:webHidden/>
        </w:rPr>
        <w:fldChar w:fldCharType="separate"/>
      </w:r>
      <w:r>
        <w:rPr>
          <w:noProof/>
          <w:webHidden/>
        </w:rPr>
        <w:t>32</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"_Toc2831204" </w:instrText>
      </w:r>
      <w:r>
        <w:rPr/>
        <w:fldChar w:fldCharType="separate"/>
      </w:r>
      <w:r>
        <w:rPr>
          <w:rStyle w:val="style85"/>
          <w:noProof/>
        </w:rPr>
        <w:t>4.1.2.</w:t>
      </w:r>
      <w:r>
        <w:rPr>
          <w:rFonts w:ascii="Calibri" w:cs="宋体" w:eastAsia="宋体" w:hAnsi="Calibri"/>
          <w:i w:val="false"/>
          <w:iCs w:val="false"/>
          <w:noProof/>
          <w:sz w:val="24"/>
          <w:lang w:eastAsia="fr-FR"/>
        </w:rPr>
        <w:tab/>
      </w:r>
      <w:r>
        <w:rPr>
          <w:rStyle w:val="style85"/>
          <w:noProof/>
        </w:rPr>
        <w:t>Acteurs intervenant dans la gestion des pesticides</w:t>
      </w:r>
      <w:r>
        <w:rPr>
          <w:noProof/>
          <w:webHidden/>
        </w:rPr>
        <w:tab/>
      </w:r>
      <w:r>
        <w:rPr>
          <w:noProof/>
          <w:webHidden/>
        </w:rPr>
        <w:fldChar w:fldCharType="begin"/>
      </w:r>
      <w:r>
        <w:rPr>
          <w:noProof/>
          <w:webHidden/>
        </w:rPr>
        <w:instrText xml:space="preserve"> PAGEREF _Toc2831204 \h </w:instrText>
      </w:r>
      <w:r>
        <w:rPr>
          <w:noProof/>
          <w:webHidden/>
        </w:rPr>
        <w:fldChar w:fldCharType="separate"/>
      </w:r>
      <w:r>
        <w:rPr>
          <w:noProof/>
          <w:webHidden/>
        </w:rPr>
        <w:t>32</w:t>
      </w:r>
      <w:r>
        <w:rPr>
          <w:noProof/>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"_Toc2831205" </w:instrText>
      </w:r>
      <w:r>
        <w:rPr/>
        <w:fldChar w:fldCharType="separate"/>
      </w:r>
      <w:r>
        <w:rPr>
          <w:rStyle w:val="style85"/>
          <w:bCs/>
        </w:rPr>
        <w:t>4.2.</w:t>
      </w:r>
      <w:r>
        <w:rPr>
          <w:rFonts w:ascii="Calibri" w:cs="宋体" w:eastAsia="宋体" w:hAnsi="Calibri"/>
          <w:b w:val="false"/>
          <w:iCs w:val="false"/>
          <w:smallCaps w:val="false"/>
          <w:sz w:val="24"/>
          <w:lang w:eastAsia="fr-FR"/>
        </w:rPr>
        <w:tab/>
      </w:r>
      <w:r>
        <w:rPr>
          <w:rStyle w:val="style85"/>
          <w:bCs/>
        </w:rPr>
        <w:t xml:space="preserve">Utilisation </w:t>
      </w:r>
      <w:r>
        <w:rPr>
          <w:rStyle w:val="style85"/>
        </w:rPr>
        <w:t>des pesticides dans les zones d’interventions du PDCA</w:t>
      </w:r>
      <w:r>
        <w:rPr>
          <w:webHidden/>
        </w:rPr>
        <w:tab/>
      </w:r>
      <w:r>
        <w:rPr>
          <w:webHidden/>
        </w:rPr>
        <w:fldChar w:fldCharType="begin"/>
      </w:r>
      <w:r>
        <w:rPr>
          <w:webHidden/>
        </w:rPr>
        <w:instrText xml:space="preserve"> PAGEREF _Toc2831205 \h </w:instrText>
      </w:r>
      <w:r>
        <w:rPr>
          <w:webHidden/>
        </w:rPr>
        <w:fldChar w:fldCharType="separate"/>
      </w:r>
      <w:r>
        <w:rPr>
          <w:webHidden/>
        </w:rPr>
        <w:t>37</w:t>
      </w:r>
      <w:r>
        <w:rPr>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"_Toc2831206" </w:instrText>
      </w:r>
      <w:r>
        <w:rPr/>
        <w:fldChar w:fldCharType="separate"/>
      </w:r>
      <w:r>
        <w:rPr>
          <w:rStyle w:val="style85"/>
          <w:bCs/>
        </w:rPr>
        <w:t>4.3.</w:t>
      </w:r>
      <w:r>
        <w:rPr>
          <w:rFonts w:ascii="Calibri" w:cs="宋体" w:eastAsia="宋体" w:hAnsi="Calibri"/>
          <w:b w:val="false"/>
          <w:iCs w:val="false"/>
          <w:smallCaps w:val="false"/>
          <w:sz w:val="24"/>
          <w:lang w:eastAsia="fr-FR"/>
        </w:rPr>
        <w:tab/>
      </w:r>
      <w:r>
        <w:rPr>
          <w:rStyle w:val="style85"/>
        </w:rPr>
        <w:t>Évaluation de l’efficacité des traitements</w:t>
      </w:r>
      <w:r>
        <w:rPr>
          <w:webHidden/>
        </w:rPr>
        <w:tab/>
      </w:r>
      <w:r>
        <w:rPr>
          <w:webHidden/>
        </w:rPr>
        <w:fldChar w:fldCharType="begin"/>
      </w:r>
      <w:r>
        <w:rPr>
          <w:webHidden/>
        </w:rPr>
        <w:instrText xml:space="preserve"> PAGEREF _Toc2831206 \h </w:instrText>
      </w:r>
      <w:r>
        <w:rPr>
          <w:webHidden/>
        </w:rPr>
        <w:fldChar w:fldCharType="separate"/>
      </w:r>
      <w:r>
        <w:rPr>
          <w:webHidden/>
        </w:rPr>
        <w:t>41</w:t>
      </w:r>
      <w:r>
        <w:rPr>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"_Toc2831207" </w:instrText>
      </w:r>
      <w:r>
        <w:rPr/>
        <w:fldChar w:fldCharType="separate"/>
      </w:r>
      <w:r>
        <w:rPr>
          <w:rStyle w:val="style85"/>
          <w:bCs/>
        </w:rPr>
        <w:t>4.4.</w:t>
      </w:r>
      <w:r>
        <w:rPr>
          <w:rFonts w:ascii="Calibri" w:cs="宋体" w:eastAsia="宋体" w:hAnsi="Calibri"/>
          <w:b w:val="false"/>
          <w:iCs w:val="false"/>
          <w:smallCaps w:val="false"/>
          <w:sz w:val="24"/>
          <w:lang w:eastAsia="fr-FR"/>
        </w:rPr>
        <w:tab/>
      </w:r>
      <w:r>
        <w:rPr>
          <w:rStyle w:val="style85"/>
          <w:rFonts w:cs="Arial" w:eastAsia="MS Mincho"/>
          <w:lang w:eastAsia="fr-FR"/>
        </w:rPr>
        <w:t>Evaluation des risques liés à l’utilisation des pesticides et à la gestion des pestes</w:t>
      </w:r>
      <w:r>
        <w:rPr>
          <w:webHidden/>
        </w:rPr>
        <w:tab/>
      </w:r>
      <w:r>
        <w:rPr>
          <w:webHidden/>
        </w:rPr>
        <w:fldChar w:fldCharType="begin"/>
      </w:r>
      <w:r>
        <w:rPr>
          <w:webHidden/>
        </w:rPr>
        <w:instrText xml:space="preserve"> PAGEREF _Toc2831207 \h </w:instrText>
      </w:r>
      <w:r>
        <w:rPr>
          <w:webHidden/>
        </w:rPr>
        <w:fldChar w:fldCharType="separate"/>
      </w:r>
      <w:r>
        <w:rPr>
          <w:webHidden/>
        </w:rPr>
        <w:t>41</w:t>
      </w:r>
      <w:r>
        <w:rPr>
          <w:webHidden/>
        </w:rPr>
        <w:fldChar w:fldCharType="end"/>
      </w:r>
      <w:r>
        <w:rPr/>
        <w:fldChar w:fldCharType="end"/>
      </w:r>
    </w:p>
    <w:p>
      <w:pPr>
        <w:pStyle w:val="style19"/>
        <w:rPr>
          <w:rFonts w:ascii="Calibri" w:cs="宋体" w:eastAsia="宋体" w:hAnsi="Calibri"/>
          <w:b w:val="false"/>
          <w:bCs w:val="false"/>
          <w:caps w:val="false"/>
          <w:sz w:val="24"/>
          <w:lang w:eastAsia="fr-FR"/>
        </w:rPr>
      </w:pPr>
      <w:r>
        <w:rPr/>
        <w:fldChar w:fldCharType="begin"/>
      </w:r>
      <w:r>
        <w:instrText xml:space="preserve"> HYPERLINK \l "_Toc2831208" </w:instrText>
      </w:r>
      <w:r>
        <w:rPr/>
        <w:fldChar w:fldCharType="separate"/>
      </w:r>
      <w:r>
        <w:rPr>
          <w:rStyle w:val="style85"/>
        </w:rPr>
        <w:t>E. Cadre politique, juridique et institutionnel de gestion intégrée des pestes (GIP)</w:t>
      </w:r>
      <w:r>
        <w:rPr>
          <w:webHidden/>
        </w:rPr>
        <w:tab/>
      </w:r>
      <w:r>
        <w:rPr>
          <w:webHidden/>
        </w:rPr>
        <w:fldChar w:fldCharType="begin"/>
      </w:r>
      <w:r>
        <w:rPr>
          <w:webHidden/>
        </w:rPr>
        <w:instrText xml:space="preserve"> PAGEREF _Toc2831208 \h </w:instrText>
      </w:r>
      <w:r>
        <w:rPr>
          <w:webHidden/>
        </w:rPr>
        <w:fldChar w:fldCharType="separate"/>
      </w:r>
      <w:r>
        <w:rPr>
          <w:webHidden/>
        </w:rPr>
        <w:t>49</w:t>
      </w:r>
      <w:r>
        <w:rPr>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"_Toc2831209" </w:instrText>
      </w:r>
      <w:r>
        <w:rPr/>
        <w:fldChar w:fldCharType="separate"/>
      </w:r>
      <w:r>
        <w:rPr>
          <w:rStyle w:val="style85"/>
          <w:w w:val="102"/>
        </w:rPr>
        <w:t>5.1.</w:t>
      </w:r>
      <w:r>
        <w:rPr>
          <w:rFonts w:ascii="Calibri" w:cs="宋体" w:eastAsia="宋体" w:hAnsi="Calibri"/>
          <w:b w:val="false"/>
          <w:iCs w:val="false"/>
          <w:smallCaps w:val="false"/>
          <w:sz w:val="24"/>
          <w:lang w:eastAsia="fr-FR"/>
        </w:rPr>
        <w:tab/>
      </w:r>
      <w:r>
        <w:rPr>
          <w:rStyle w:val="style85"/>
          <w:w w:val="102"/>
        </w:rPr>
        <w:t>Cadre Politique de la gestion des pestes</w:t>
      </w:r>
      <w:r>
        <w:rPr>
          <w:webHidden/>
        </w:rPr>
        <w:tab/>
      </w:r>
      <w:r>
        <w:rPr>
          <w:webHidden/>
        </w:rPr>
        <w:fldChar w:fldCharType="begin"/>
      </w:r>
      <w:r>
        <w:rPr>
          <w:webHidden/>
        </w:rPr>
        <w:instrText xml:space="preserve"> PAGEREF _Toc2831209 \h </w:instrText>
      </w:r>
      <w:r>
        <w:rPr>
          <w:webHidden/>
        </w:rPr>
        <w:fldChar w:fldCharType="separate"/>
      </w:r>
      <w:r>
        <w:rPr>
          <w:webHidden/>
        </w:rPr>
        <w:t>49</w:t>
      </w:r>
      <w:r>
        <w:rPr>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"_Toc2831210" </w:instrText>
      </w:r>
      <w:r>
        <w:rPr/>
        <w:fldChar w:fldCharType="separate"/>
      </w:r>
      <w:r>
        <w:rPr>
          <w:rStyle w:val="style85"/>
          <w:w w:val="102"/>
        </w:rPr>
        <w:t>5.2.</w:t>
      </w:r>
      <w:r>
        <w:rPr>
          <w:rFonts w:ascii="Calibri" w:cs="宋体" w:eastAsia="宋体" w:hAnsi="Calibri"/>
          <w:b w:val="false"/>
          <w:iCs w:val="false"/>
          <w:smallCaps w:val="false"/>
          <w:sz w:val="24"/>
          <w:lang w:eastAsia="fr-FR"/>
        </w:rPr>
        <w:tab/>
      </w:r>
      <w:r>
        <w:rPr>
          <w:rStyle w:val="style85"/>
          <w:w w:val="102"/>
        </w:rPr>
        <w:t>Cadre juridique de la gestion des Pestes</w:t>
      </w:r>
      <w:r>
        <w:rPr>
          <w:webHidden/>
        </w:rPr>
        <w:tab/>
      </w:r>
      <w:r>
        <w:rPr>
          <w:webHidden/>
        </w:rPr>
        <w:fldChar w:fldCharType="begin"/>
      </w:r>
      <w:r>
        <w:rPr>
          <w:webHidden/>
        </w:rPr>
        <w:instrText xml:space="preserve"> PAGEREF _Toc2831210 \h </w:instrText>
      </w:r>
      <w:r>
        <w:rPr>
          <w:webHidden/>
        </w:rPr>
        <w:fldChar w:fldCharType="separate"/>
      </w:r>
      <w:r>
        <w:rPr>
          <w:webHidden/>
        </w:rPr>
        <w:t>50</w:t>
      </w:r>
      <w:r>
        <w:rPr>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"_Toc2831211" </w:instrText>
      </w:r>
      <w:r>
        <w:rPr/>
        <w:fldChar w:fldCharType="separate"/>
      </w:r>
      <w:r>
        <w:rPr>
          <w:rStyle w:val="style85"/>
          <w:noProof/>
          <w:spacing w:val="-1"/>
          <w:w w:val="102"/>
        </w:rPr>
        <w:t>5.2.1.</w:t>
      </w:r>
      <w:r>
        <w:rPr>
          <w:rStyle w:val="style85"/>
          <w:noProof/>
        </w:rPr>
        <w:t xml:space="preserve"> Réglementations phytosanitaires</w:t>
      </w:r>
      <w:r>
        <w:rPr>
          <w:noProof/>
          <w:webHidden/>
        </w:rPr>
        <w:tab/>
      </w:r>
      <w:r>
        <w:rPr>
          <w:noProof/>
          <w:webHidden/>
        </w:rPr>
        <w:fldChar w:fldCharType="begin"/>
      </w:r>
      <w:r>
        <w:rPr>
          <w:noProof/>
          <w:webHidden/>
        </w:rPr>
        <w:instrText xml:space="preserve"> PAGEREF _Toc2831211 \h </w:instrText>
      </w:r>
      <w:r>
        <w:rPr>
          <w:noProof/>
          <w:webHidden/>
        </w:rPr>
        <w:fldChar w:fldCharType="separate"/>
      </w:r>
      <w:r>
        <w:rPr>
          <w:noProof/>
          <w:webHidden/>
        </w:rPr>
        <w:t>50</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"_Toc2831212" </w:instrText>
      </w:r>
      <w:r>
        <w:rPr/>
        <w:fldChar w:fldCharType="separate"/>
      </w:r>
      <w:r>
        <w:rPr>
          <w:rStyle w:val="style85"/>
          <w:noProof/>
        </w:rPr>
        <w:t>5.2.2. Législation et règlementation sur les pesticides</w:t>
      </w:r>
      <w:r>
        <w:rPr>
          <w:noProof/>
          <w:webHidden/>
        </w:rPr>
        <w:tab/>
      </w:r>
      <w:r>
        <w:rPr>
          <w:noProof/>
          <w:webHidden/>
        </w:rPr>
        <w:fldChar w:fldCharType="begin"/>
      </w:r>
      <w:r>
        <w:rPr>
          <w:noProof/>
          <w:webHidden/>
        </w:rPr>
        <w:instrText xml:space="preserve"> PAGEREF _Toc2831212 \h </w:instrText>
      </w:r>
      <w:r>
        <w:rPr>
          <w:noProof/>
          <w:webHidden/>
        </w:rPr>
        <w:fldChar w:fldCharType="separate"/>
      </w:r>
      <w:r>
        <w:rPr>
          <w:noProof/>
          <w:webHidden/>
        </w:rPr>
        <w:t>51</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"_Toc2831213" </w:instrText>
      </w:r>
      <w:r>
        <w:rPr/>
        <w:fldChar w:fldCharType="separate"/>
      </w:r>
      <w:r>
        <w:rPr>
          <w:rStyle w:val="style85"/>
          <w:noProof/>
        </w:rPr>
        <w:t>5.2.3.La politique opérationnelle de la Banque mondiale PO/PB 4.09 : Gestion des pestes</w:t>
      </w:r>
      <w:r>
        <w:rPr>
          <w:noProof/>
          <w:webHidden/>
        </w:rPr>
        <w:tab/>
      </w:r>
      <w:r>
        <w:rPr>
          <w:noProof/>
          <w:webHidden/>
        </w:rPr>
        <w:fldChar w:fldCharType="begin"/>
      </w:r>
      <w:r>
        <w:rPr>
          <w:noProof/>
          <w:webHidden/>
        </w:rPr>
        <w:instrText xml:space="preserve"> PAGEREF _Toc2831213 \h </w:instrText>
      </w:r>
      <w:r>
        <w:rPr>
          <w:noProof/>
          <w:webHidden/>
        </w:rPr>
        <w:fldChar w:fldCharType="separate"/>
      </w:r>
      <w:r>
        <w:rPr>
          <w:noProof/>
          <w:webHidden/>
        </w:rPr>
        <w:t>55</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"_Toc2831214" </w:instrText>
      </w:r>
      <w:r>
        <w:rPr/>
        <w:fldChar w:fldCharType="separate"/>
      </w:r>
      <w:r>
        <w:rPr>
          <w:rStyle w:val="style85"/>
          <w:noProof/>
        </w:rPr>
        <w:t>5.2.4. Cadre institutionnel de la gestion des pestes</w:t>
      </w:r>
      <w:r>
        <w:rPr>
          <w:noProof/>
          <w:webHidden/>
        </w:rPr>
        <w:tab/>
      </w:r>
      <w:r>
        <w:rPr>
          <w:noProof/>
          <w:webHidden/>
        </w:rPr>
        <w:fldChar w:fldCharType="begin"/>
      </w:r>
      <w:r>
        <w:rPr>
          <w:noProof/>
          <w:webHidden/>
        </w:rPr>
        <w:instrText xml:space="preserve"> PAGEREF _Toc2831214 \h </w:instrText>
      </w:r>
      <w:r>
        <w:rPr>
          <w:noProof/>
          <w:webHidden/>
        </w:rPr>
        <w:fldChar w:fldCharType="separate"/>
      </w:r>
      <w:r>
        <w:rPr>
          <w:noProof/>
          <w:webHidden/>
        </w:rPr>
        <w:t>56</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"_Toc2831215" </w:instrText>
      </w:r>
      <w:r>
        <w:rPr/>
        <w:fldChar w:fldCharType="separate"/>
      </w:r>
      <w:r>
        <w:rPr>
          <w:rStyle w:val="style85"/>
          <w:noProof/>
        </w:rPr>
        <w:t>5.2.4.1. Ministères impliqués dans la mise en œuvre du PGP du PDCA</w:t>
      </w:r>
      <w:r>
        <w:rPr>
          <w:noProof/>
          <w:webHidden/>
        </w:rPr>
        <w:tab/>
      </w:r>
      <w:r>
        <w:rPr>
          <w:noProof/>
          <w:webHidden/>
        </w:rPr>
        <w:fldChar w:fldCharType="begin"/>
      </w:r>
      <w:r>
        <w:rPr>
          <w:noProof/>
          <w:webHidden/>
        </w:rPr>
        <w:instrText xml:space="preserve"> PAGEREF _Toc2831215 \h </w:instrText>
      </w:r>
      <w:r>
        <w:rPr>
          <w:noProof/>
          <w:webHidden/>
        </w:rPr>
        <w:fldChar w:fldCharType="separate"/>
      </w:r>
      <w:r>
        <w:rPr>
          <w:noProof/>
          <w:webHidden/>
        </w:rPr>
        <w:t>57</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"_Toc2831216" </w:instrText>
      </w:r>
      <w:r>
        <w:rPr/>
        <w:fldChar w:fldCharType="separate"/>
      </w:r>
      <w:r>
        <w:rPr>
          <w:rStyle w:val="style85"/>
          <w:noProof/>
        </w:rPr>
        <w:t>5.2.4.2. Collectivités territoriales</w:t>
      </w:r>
      <w:r>
        <w:rPr>
          <w:noProof/>
          <w:webHidden/>
        </w:rPr>
        <w:tab/>
      </w:r>
      <w:r>
        <w:rPr>
          <w:noProof/>
          <w:webHidden/>
        </w:rPr>
        <w:fldChar w:fldCharType="begin"/>
      </w:r>
      <w:r>
        <w:rPr>
          <w:noProof/>
          <w:webHidden/>
        </w:rPr>
        <w:instrText xml:space="preserve"> PAGEREF _Toc2831216 \h </w:instrText>
      </w:r>
      <w:r>
        <w:rPr>
          <w:noProof/>
          <w:webHidden/>
        </w:rPr>
        <w:fldChar w:fldCharType="separate"/>
      </w:r>
      <w:r>
        <w:rPr>
          <w:noProof/>
          <w:webHidden/>
        </w:rPr>
        <w:t>61</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"_Toc2831217" </w:instrText>
      </w:r>
      <w:r>
        <w:rPr/>
        <w:fldChar w:fldCharType="separate"/>
      </w:r>
      <w:r>
        <w:rPr>
          <w:rStyle w:val="style85"/>
          <w:noProof/>
        </w:rPr>
        <w:t>5.2.4.3. Chambres d’agricultures, Organisations faîtières et Organisations des Producteurs</w:t>
      </w:r>
      <w:r>
        <w:rPr>
          <w:noProof/>
          <w:webHidden/>
        </w:rPr>
        <w:tab/>
      </w:r>
      <w:r>
        <w:rPr>
          <w:noProof/>
          <w:webHidden/>
        </w:rPr>
        <w:fldChar w:fldCharType="begin"/>
      </w:r>
      <w:r>
        <w:rPr>
          <w:noProof/>
          <w:webHidden/>
        </w:rPr>
        <w:instrText xml:space="preserve"> PAGEREF _Toc2831217 \h </w:instrText>
      </w:r>
      <w:r>
        <w:rPr>
          <w:noProof/>
          <w:webHidden/>
        </w:rPr>
        <w:fldChar w:fldCharType="separate"/>
      </w:r>
      <w:r>
        <w:rPr>
          <w:noProof/>
          <w:webHidden/>
        </w:rPr>
        <w:t>61</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"_Toc2831218" </w:instrText>
      </w:r>
      <w:r>
        <w:rPr/>
        <w:fldChar w:fldCharType="separate"/>
      </w:r>
      <w:r>
        <w:rPr>
          <w:rStyle w:val="style85"/>
          <w:noProof/>
        </w:rPr>
        <w:t>5.2.4.4. Organisations Non Gouvernementales (ONG) et Associations</w:t>
      </w:r>
      <w:r>
        <w:rPr>
          <w:noProof/>
          <w:webHidden/>
        </w:rPr>
        <w:tab/>
      </w:r>
      <w:r>
        <w:rPr>
          <w:noProof/>
          <w:webHidden/>
        </w:rPr>
        <w:fldChar w:fldCharType="begin"/>
      </w:r>
      <w:r>
        <w:rPr>
          <w:noProof/>
          <w:webHidden/>
        </w:rPr>
        <w:instrText xml:space="preserve"> PAGEREF _Toc2831218 \h </w:instrText>
      </w:r>
      <w:r>
        <w:rPr>
          <w:noProof/>
          <w:webHidden/>
        </w:rPr>
        <w:fldChar w:fldCharType="separate"/>
      </w:r>
      <w:r>
        <w:rPr>
          <w:noProof/>
          <w:webHidden/>
        </w:rPr>
        <w:t>61</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"_Toc2831219" </w:instrText>
      </w:r>
      <w:r>
        <w:rPr/>
        <w:fldChar w:fldCharType="separate"/>
      </w:r>
      <w:r>
        <w:rPr>
          <w:rStyle w:val="style85"/>
          <w:noProof/>
        </w:rPr>
        <w:t>5.2.4.5. Laboratoires d’analyse</w:t>
      </w:r>
      <w:r>
        <w:rPr>
          <w:noProof/>
          <w:webHidden/>
        </w:rPr>
        <w:tab/>
      </w:r>
      <w:r>
        <w:rPr>
          <w:noProof/>
          <w:webHidden/>
        </w:rPr>
        <w:fldChar w:fldCharType="begin"/>
      </w:r>
      <w:r>
        <w:rPr>
          <w:noProof/>
          <w:webHidden/>
        </w:rPr>
        <w:instrText xml:space="preserve"> PAGEREF _Toc2831219 \h </w:instrText>
      </w:r>
      <w:r>
        <w:rPr>
          <w:noProof/>
          <w:webHidden/>
        </w:rPr>
        <w:fldChar w:fldCharType="separate"/>
      </w:r>
      <w:r>
        <w:rPr>
          <w:noProof/>
          <w:webHidden/>
        </w:rPr>
        <w:t>61</w:t>
      </w:r>
      <w:r>
        <w:rPr>
          <w:noProof/>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"_Toc2831220" </w:instrText>
      </w:r>
      <w:r>
        <w:rPr/>
        <w:fldChar w:fldCharType="separate"/>
      </w:r>
      <w:r>
        <w:rPr>
          <w:rStyle w:val="style85"/>
          <w:rFonts w:eastAsia="Calibri"/>
        </w:rPr>
        <w:t>5.3.</w:t>
      </w:r>
      <w:r>
        <w:rPr>
          <w:rFonts w:ascii="Calibri" w:cs="宋体" w:eastAsia="宋体" w:hAnsi="Calibri"/>
          <w:b w:val="false"/>
          <w:iCs w:val="false"/>
          <w:smallCaps w:val="false"/>
          <w:sz w:val="24"/>
          <w:lang w:eastAsia="fr-FR"/>
        </w:rPr>
        <w:tab/>
      </w:r>
      <w:r>
        <w:rPr>
          <w:rStyle w:val="style85"/>
        </w:rPr>
        <w:t>Promotion de la lutte antiparasitaire intégrée dans le contexte des pratiques actuelles de lutte antiparasitaire</w:t>
      </w:r>
      <w:r>
        <w:rPr>
          <w:webHidden/>
        </w:rPr>
        <w:tab/>
      </w:r>
      <w:r>
        <w:rPr>
          <w:webHidden/>
        </w:rPr>
        <w:fldChar w:fldCharType="begin"/>
      </w:r>
      <w:r>
        <w:rPr>
          <w:webHidden/>
        </w:rPr>
        <w:instrText xml:space="preserve"> PAGEREF _Toc2831220 \h </w:instrText>
      </w:r>
      <w:r>
        <w:rPr>
          <w:webHidden/>
        </w:rPr>
        <w:fldChar w:fldCharType="separate"/>
      </w:r>
      <w:r>
        <w:rPr>
          <w:webHidden/>
        </w:rPr>
        <w:t>62</w:t>
      </w:r>
      <w:r>
        <w:rPr>
          <w:webHidden/>
        </w:rPr>
        <w:fldChar w:fldCharType="end"/>
      </w:r>
      <w:r>
        <w:rPr/>
        <w:fldChar w:fldCharType="end"/>
      </w:r>
    </w:p>
    <w:p>
      <w:pPr>
        <w:pStyle w:val="style19"/>
        <w:rPr>
          <w:rFonts w:ascii="Calibri" w:cs="宋体" w:eastAsia="宋体" w:hAnsi="Calibri"/>
          <w:b w:val="false"/>
          <w:bCs w:val="false"/>
          <w:caps w:val="false"/>
          <w:sz w:val="24"/>
          <w:lang w:eastAsia="fr-FR"/>
        </w:rPr>
      </w:pPr>
      <w:r>
        <w:rPr/>
        <w:fldChar w:fldCharType="begin"/>
      </w:r>
      <w:r>
        <w:instrText xml:space="preserve"> HYPERLINK \l "_Toc2831221" </w:instrText>
      </w:r>
      <w:r>
        <w:rPr/>
        <w:fldChar w:fldCharType="separate"/>
      </w:r>
      <w:r>
        <w:rPr>
          <w:rStyle w:val="style85"/>
        </w:rPr>
        <w:t>F. PLAN D’ACTION DE gestion integree des pestes (MGIP)</w:t>
      </w:r>
      <w:r>
        <w:rPr>
          <w:webHidden/>
        </w:rPr>
        <w:tab/>
      </w:r>
      <w:r>
        <w:rPr>
          <w:webHidden/>
        </w:rPr>
        <w:fldChar w:fldCharType="begin"/>
      </w:r>
      <w:r>
        <w:rPr>
          <w:webHidden/>
        </w:rPr>
        <w:instrText xml:space="preserve"> PAGEREF _Toc2831221 \h </w:instrText>
      </w:r>
      <w:r>
        <w:rPr>
          <w:webHidden/>
        </w:rPr>
        <w:fldChar w:fldCharType="separate"/>
      </w:r>
      <w:r>
        <w:rPr>
          <w:webHidden/>
        </w:rPr>
        <w:t>64</w:t>
      </w:r>
      <w:r>
        <w:rPr>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"_Toc2831222" </w:instrText>
      </w:r>
      <w:r>
        <w:rPr/>
        <w:fldChar w:fldCharType="separate"/>
      </w:r>
      <w:r>
        <w:rPr>
          <w:rStyle w:val="style85"/>
        </w:rPr>
        <w:t>6.1. Activités proposées pour la gestion intégrée des pestes</w:t>
      </w:r>
      <w:r>
        <w:rPr>
          <w:webHidden/>
        </w:rPr>
        <w:tab/>
      </w:r>
      <w:r>
        <w:rPr>
          <w:webHidden/>
        </w:rPr>
        <w:fldChar w:fldCharType="begin"/>
      </w:r>
      <w:r>
        <w:rPr>
          <w:webHidden/>
        </w:rPr>
        <w:instrText xml:space="preserve"> PAGEREF _Toc2831222 \h </w:instrText>
      </w:r>
      <w:r>
        <w:rPr>
          <w:webHidden/>
        </w:rPr>
        <w:fldChar w:fldCharType="separate"/>
      </w:r>
      <w:r>
        <w:rPr>
          <w:webHidden/>
        </w:rPr>
        <w:t>64</w:t>
      </w:r>
      <w:r>
        <w:rPr>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"_Toc2831223" </w:instrText>
      </w:r>
      <w:r>
        <w:rPr/>
        <w:fldChar w:fldCharType="separate"/>
      </w:r>
      <w:r>
        <w:rPr>
          <w:rStyle w:val="style85"/>
          <w:noProof/>
        </w:rPr>
        <w:t>6.1.1. Contraintes majeures dans l’utilisation et la gestion des pesticides</w:t>
      </w:r>
      <w:r>
        <w:rPr>
          <w:noProof/>
          <w:webHidden/>
        </w:rPr>
        <w:tab/>
      </w:r>
      <w:r>
        <w:rPr>
          <w:noProof/>
          <w:webHidden/>
        </w:rPr>
        <w:fldChar w:fldCharType="begin"/>
      </w:r>
      <w:r>
        <w:rPr>
          <w:noProof/>
          <w:webHidden/>
        </w:rPr>
        <w:instrText xml:space="preserve"> PAGEREF _Toc2831223 \h </w:instrText>
      </w:r>
      <w:r>
        <w:rPr>
          <w:noProof/>
          <w:webHidden/>
        </w:rPr>
        <w:fldChar w:fldCharType="separate"/>
      </w:r>
      <w:r>
        <w:rPr>
          <w:noProof/>
          <w:webHidden/>
        </w:rPr>
        <w:t>64</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"_Toc2831224" </w:instrText>
      </w:r>
      <w:r>
        <w:rPr/>
        <w:fldChar w:fldCharType="separate"/>
      </w:r>
      <w:r>
        <w:rPr>
          <w:rStyle w:val="style85"/>
          <w:noProof/>
        </w:rPr>
        <w:t>6.1.2. Mesures d’atténuation des risques et des impacts potentiels</w:t>
      </w:r>
      <w:r>
        <w:rPr>
          <w:noProof/>
          <w:webHidden/>
        </w:rPr>
        <w:tab/>
      </w:r>
      <w:r>
        <w:rPr>
          <w:noProof/>
          <w:webHidden/>
        </w:rPr>
        <w:fldChar w:fldCharType="begin"/>
      </w:r>
      <w:r>
        <w:rPr>
          <w:noProof/>
          <w:webHidden/>
        </w:rPr>
        <w:instrText xml:space="preserve"> PAGEREF _Toc2831224 \h </w:instrText>
      </w:r>
      <w:r>
        <w:rPr>
          <w:noProof/>
          <w:webHidden/>
        </w:rPr>
        <w:fldChar w:fldCharType="separate"/>
      </w:r>
      <w:r>
        <w:rPr>
          <w:noProof/>
          <w:webHidden/>
        </w:rPr>
        <w:t>66</w:t>
      </w:r>
      <w:r>
        <w:rPr>
          <w:noProof/>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"_Toc2831225" </w:instrText>
      </w:r>
      <w:r>
        <w:rPr/>
        <w:fldChar w:fldCharType="separate"/>
      </w:r>
      <w:r>
        <w:rPr>
          <w:rStyle w:val="style85"/>
        </w:rPr>
        <w:t>6.2.</w:t>
      </w:r>
      <w:r>
        <w:rPr>
          <w:rFonts w:ascii="Calibri" w:cs="宋体" w:eastAsia="宋体" w:hAnsi="Calibri"/>
          <w:b w:val="false"/>
          <w:iCs w:val="false"/>
          <w:smallCaps w:val="false"/>
          <w:sz w:val="24"/>
          <w:lang w:eastAsia="fr-FR"/>
        </w:rPr>
        <w:tab/>
      </w:r>
      <w:r>
        <w:rPr>
          <w:rStyle w:val="style85"/>
        </w:rPr>
        <w:t>Suivi, évaluation et rapportage de la mise en œuvre du MGIP</w:t>
      </w:r>
      <w:r>
        <w:rPr>
          <w:webHidden/>
        </w:rPr>
        <w:tab/>
      </w:r>
      <w:r>
        <w:rPr>
          <w:webHidden/>
        </w:rPr>
        <w:fldChar w:fldCharType="begin"/>
      </w:r>
      <w:r>
        <w:rPr>
          <w:webHidden/>
        </w:rPr>
        <w:instrText xml:space="preserve"> PAGEREF _Toc2831225 \h </w:instrText>
      </w:r>
      <w:r>
        <w:rPr>
          <w:webHidden/>
        </w:rPr>
        <w:fldChar w:fldCharType="separate"/>
      </w:r>
      <w:r>
        <w:rPr>
          <w:webHidden/>
        </w:rPr>
        <w:t>69</w:t>
      </w:r>
      <w:r>
        <w:rPr>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"_Toc2831226" </w:instrText>
      </w:r>
      <w:r>
        <w:rPr/>
        <w:fldChar w:fldCharType="separate"/>
      </w:r>
      <w:r>
        <w:rPr>
          <w:rStyle w:val="style85"/>
          <w:noProof/>
        </w:rPr>
        <w:t>6.2.1.</w:t>
      </w:r>
      <w:r>
        <w:rPr>
          <w:rFonts w:ascii="Calibri" w:cs="宋体" w:eastAsia="宋体" w:hAnsi="Calibri"/>
          <w:i w:val="false"/>
          <w:iCs w:val="false"/>
          <w:noProof/>
          <w:sz w:val="24"/>
          <w:lang w:eastAsia="fr-FR"/>
        </w:rPr>
        <w:tab/>
      </w:r>
      <w:r>
        <w:rPr>
          <w:rStyle w:val="style85"/>
          <w:noProof/>
        </w:rPr>
        <w:t>La surveillance environnementale</w:t>
      </w:r>
      <w:r>
        <w:rPr>
          <w:noProof/>
          <w:webHidden/>
        </w:rPr>
        <w:tab/>
      </w:r>
      <w:r>
        <w:rPr>
          <w:noProof/>
          <w:webHidden/>
        </w:rPr>
        <w:fldChar w:fldCharType="begin"/>
      </w:r>
      <w:r>
        <w:rPr>
          <w:noProof/>
          <w:webHidden/>
        </w:rPr>
        <w:instrText xml:space="preserve"> PAGEREF _Toc2831226 \h </w:instrText>
      </w:r>
      <w:r>
        <w:rPr>
          <w:noProof/>
          <w:webHidden/>
        </w:rPr>
        <w:fldChar w:fldCharType="separate"/>
      </w:r>
      <w:r>
        <w:rPr>
          <w:noProof/>
          <w:webHidden/>
        </w:rPr>
        <w:t>69</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"_Toc2831227" </w:instrText>
      </w:r>
      <w:r>
        <w:rPr/>
        <w:fldChar w:fldCharType="separate"/>
      </w:r>
      <w:r>
        <w:rPr>
          <w:rStyle w:val="style85"/>
          <w:noProof/>
        </w:rPr>
        <w:t>6.2.2.</w:t>
      </w:r>
      <w:r>
        <w:rPr>
          <w:rFonts w:ascii="Calibri" w:cs="宋体" w:eastAsia="宋体" w:hAnsi="Calibri"/>
          <w:i w:val="false"/>
          <w:iCs w:val="false"/>
          <w:noProof/>
          <w:sz w:val="24"/>
          <w:lang w:eastAsia="fr-FR"/>
        </w:rPr>
        <w:tab/>
      </w:r>
      <w:r>
        <w:rPr>
          <w:rStyle w:val="style85"/>
          <w:noProof/>
        </w:rPr>
        <w:t>Indicateurs de suivi</w:t>
      </w:r>
      <w:r>
        <w:rPr>
          <w:noProof/>
          <w:webHidden/>
        </w:rPr>
        <w:tab/>
      </w:r>
      <w:r>
        <w:rPr>
          <w:noProof/>
          <w:webHidden/>
        </w:rPr>
        <w:fldChar w:fldCharType="begin"/>
      </w:r>
      <w:r>
        <w:rPr>
          <w:noProof/>
          <w:webHidden/>
        </w:rPr>
        <w:instrText xml:space="preserve"> PAGEREF _Toc2831227 \h </w:instrText>
      </w:r>
      <w:r>
        <w:rPr>
          <w:noProof/>
          <w:webHidden/>
        </w:rPr>
        <w:fldChar w:fldCharType="separate"/>
      </w:r>
      <w:r>
        <w:rPr>
          <w:noProof/>
          <w:webHidden/>
        </w:rPr>
        <w:t>69</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"_Toc2831228" </w:instrText>
      </w:r>
      <w:r>
        <w:rPr/>
        <w:fldChar w:fldCharType="separate"/>
      </w:r>
      <w:r>
        <w:rPr>
          <w:rStyle w:val="style85"/>
          <w:noProof/>
        </w:rPr>
        <w:t>6.2.3.</w:t>
      </w:r>
      <w:r>
        <w:rPr>
          <w:rFonts w:ascii="Calibri" w:cs="宋体" w:eastAsia="宋体" w:hAnsi="Calibri"/>
          <w:i w:val="false"/>
          <w:iCs w:val="false"/>
          <w:noProof/>
          <w:sz w:val="24"/>
          <w:lang w:eastAsia="fr-FR"/>
        </w:rPr>
        <w:tab/>
      </w:r>
      <w:r>
        <w:rPr>
          <w:rStyle w:val="style85"/>
          <w:noProof/>
        </w:rPr>
        <w:t>Suivi « stratégique » par la coordination du programme</w:t>
      </w:r>
      <w:r>
        <w:rPr>
          <w:noProof/>
          <w:webHidden/>
        </w:rPr>
        <w:tab/>
      </w:r>
      <w:r>
        <w:rPr>
          <w:noProof/>
          <w:webHidden/>
        </w:rPr>
        <w:fldChar w:fldCharType="begin"/>
      </w:r>
      <w:r>
        <w:rPr>
          <w:noProof/>
          <w:webHidden/>
        </w:rPr>
        <w:instrText xml:space="preserve"> PAGEREF _Toc2831228 \h </w:instrText>
      </w:r>
      <w:r>
        <w:rPr>
          <w:noProof/>
          <w:webHidden/>
        </w:rPr>
        <w:fldChar w:fldCharType="separate"/>
      </w:r>
      <w:r>
        <w:rPr>
          <w:noProof/>
          <w:webHidden/>
        </w:rPr>
        <w:t>71</w:t>
      </w:r>
      <w:r>
        <w:rPr>
          <w:noProof/>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"_Toc2831229" </w:instrText>
      </w:r>
      <w:r>
        <w:rPr/>
        <w:fldChar w:fldCharType="separate"/>
      </w:r>
      <w:r>
        <w:rPr>
          <w:rStyle w:val="style85"/>
        </w:rPr>
        <w:t>6.3.</w:t>
      </w:r>
      <w:r>
        <w:rPr>
          <w:rFonts w:ascii="Calibri" w:cs="宋体" w:eastAsia="宋体" w:hAnsi="Calibri"/>
          <w:b w:val="false"/>
          <w:iCs w:val="false"/>
          <w:smallCaps w:val="false"/>
          <w:sz w:val="24"/>
          <w:lang w:eastAsia="fr-FR"/>
        </w:rPr>
        <w:tab/>
      </w:r>
      <w:r>
        <w:rPr>
          <w:rStyle w:val="style85"/>
        </w:rPr>
        <w:t>Arrangements institutionnels de suivi de la mise en œuvre du MGIP</w:t>
      </w:r>
      <w:r>
        <w:rPr>
          <w:webHidden/>
        </w:rPr>
        <w:tab/>
      </w:r>
      <w:r>
        <w:rPr>
          <w:webHidden/>
        </w:rPr>
        <w:fldChar w:fldCharType="begin"/>
      </w:r>
      <w:r>
        <w:rPr>
          <w:webHidden/>
        </w:rPr>
        <w:instrText xml:space="preserve"> PAGEREF _Toc2831229 \h </w:instrText>
      </w:r>
      <w:r>
        <w:rPr>
          <w:webHidden/>
        </w:rPr>
        <w:fldChar w:fldCharType="separate"/>
      </w:r>
      <w:r>
        <w:rPr>
          <w:webHidden/>
        </w:rPr>
        <w:t>72</w:t>
      </w:r>
      <w:r>
        <w:rPr>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"_Toc2831230" </w:instrText>
      </w:r>
      <w:r>
        <w:rPr/>
        <w:fldChar w:fldCharType="separate"/>
      </w:r>
      <w:r>
        <w:rPr>
          <w:rStyle w:val="style85"/>
        </w:rPr>
        <w:t>6.4.</w:t>
      </w:r>
      <w:r>
        <w:rPr>
          <w:rFonts w:ascii="Calibri" w:cs="宋体" w:eastAsia="宋体" w:hAnsi="Calibri"/>
          <w:b w:val="false"/>
          <w:iCs w:val="false"/>
          <w:smallCaps w:val="false"/>
          <w:sz w:val="24"/>
          <w:lang w:eastAsia="fr-FR"/>
        </w:rPr>
        <w:tab/>
      </w:r>
      <w:r>
        <w:rPr>
          <w:rStyle w:val="style85"/>
        </w:rPr>
        <w:t>Structure de pilotage et de suivi de la mise en œuvre du MGIP</w:t>
      </w:r>
      <w:r>
        <w:rPr>
          <w:webHidden/>
        </w:rPr>
        <w:tab/>
      </w:r>
      <w:r>
        <w:rPr>
          <w:webHidden/>
        </w:rPr>
        <w:fldChar w:fldCharType="begin"/>
      </w:r>
      <w:r>
        <w:rPr>
          <w:webHidden/>
        </w:rPr>
        <w:instrText xml:space="preserve"> PAGEREF _Toc2831230 \h </w:instrText>
      </w:r>
      <w:r>
        <w:rPr>
          <w:webHidden/>
        </w:rPr>
        <w:fldChar w:fldCharType="separate"/>
      </w:r>
      <w:r>
        <w:rPr>
          <w:webHidden/>
        </w:rPr>
        <w:t>73</w:t>
      </w:r>
      <w:r>
        <w:rPr>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"_Toc2831231" </w:instrText>
      </w:r>
      <w:r>
        <w:rPr/>
        <w:fldChar w:fldCharType="separate"/>
      </w:r>
      <w:r>
        <w:rPr>
          <w:rStyle w:val="style85"/>
        </w:rPr>
        <w:t>6.5.</w:t>
      </w:r>
      <w:r>
        <w:rPr>
          <w:rFonts w:ascii="Calibri" w:cs="宋体" w:eastAsia="宋体" w:hAnsi="Calibri"/>
          <w:b w:val="false"/>
          <w:iCs w:val="false"/>
          <w:smallCaps w:val="false"/>
          <w:sz w:val="24"/>
          <w:lang w:eastAsia="fr-FR"/>
        </w:rPr>
        <w:tab/>
      </w:r>
      <w:r>
        <w:rPr>
          <w:rStyle w:val="style85"/>
        </w:rPr>
        <w:t>Budget prévisionnel de mise en œuvre du MGIP</w:t>
      </w:r>
      <w:r>
        <w:rPr>
          <w:webHidden/>
        </w:rPr>
        <w:tab/>
      </w:r>
      <w:r>
        <w:rPr>
          <w:webHidden/>
        </w:rPr>
        <w:fldChar w:fldCharType="begin"/>
      </w:r>
      <w:r>
        <w:rPr>
          <w:webHidden/>
        </w:rPr>
        <w:instrText xml:space="preserve"> PAGEREF _Toc2831231 \h </w:instrText>
      </w:r>
      <w:r>
        <w:rPr>
          <w:webHidden/>
        </w:rPr>
        <w:fldChar w:fldCharType="separate"/>
      </w:r>
      <w:r>
        <w:rPr>
          <w:webHidden/>
        </w:rPr>
        <w:t>77</w:t>
      </w:r>
      <w:r>
        <w:rPr>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"_Toc2831232" </w:instrText>
      </w:r>
      <w:r>
        <w:rPr/>
        <w:fldChar w:fldCharType="separate"/>
      </w:r>
      <w:r>
        <w:rPr>
          <w:rStyle w:val="style85"/>
          <w:caps/>
        </w:rPr>
        <w:t>6.6.</w:t>
      </w:r>
      <w:r>
        <w:rPr>
          <w:rFonts w:ascii="Calibri" w:cs="宋体" w:eastAsia="宋体" w:hAnsi="Calibri"/>
          <w:b w:val="false"/>
          <w:iCs w:val="false"/>
          <w:smallCaps w:val="false"/>
          <w:sz w:val="24"/>
          <w:lang w:eastAsia="fr-FR"/>
        </w:rPr>
        <w:tab/>
      </w:r>
      <w:r>
        <w:rPr>
          <w:rStyle w:val="style85"/>
        </w:rPr>
        <w:t>Mécanismes de gestion des plaintes</w:t>
      </w:r>
      <w:r>
        <w:rPr>
          <w:webHidden/>
        </w:rPr>
        <w:tab/>
      </w:r>
      <w:r>
        <w:rPr>
          <w:webHidden/>
        </w:rPr>
        <w:fldChar w:fldCharType="begin"/>
      </w:r>
      <w:r>
        <w:rPr>
          <w:webHidden/>
        </w:rPr>
        <w:instrText xml:space="preserve"> PAGEREF _Toc2831232 \h </w:instrText>
      </w:r>
      <w:r>
        <w:rPr>
          <w:webHidden/>
        </w:rPr>
        <w:fldChar w:fldCharType="separate"/>
      </w:r>
      <w:r>
        <w:rPr>
          <w:webHidden/>
        </w:rPr>
        <w:t>80</w:t>
      </w:r>
      <w:r>
        <w:rPr>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"_Toc2831233" </w:instrText>
      </w:r>
      <w:r>
        <w:rPr/>
        <w:fldChar w:fldCharType="separate"/>
      </w:r>
      <w:r>
        <w:rPr>
          <w:rStyle w:val="style85"/>
          <w:bCs/>
          <w:noProof/>
        </w:rPr>
        <w:t>6.6.1. Les différents types de plaintes à traiter</w:t>
      </w:r>
      <w:r>
        <w:rPr>
          <w:noProof/>
          <w:webHidden/>
        </w:rPr>
        <w:tab/>
      </w:r>
      <w:r>
        <w:rPr>
          <w:noProof/>
          <w:webHidden/>
        </w:rPr>
        <w:fldChar w:fldCharType="begin"/>
      </w:r>
      <w:r>
        <w:rPr>
          <w:noProof/>
          <w:webHidden/>
        </w:rPr>
        <w:instrText xml:space="preserve"> PAGEREF _Toc2831233 \h </w:instrText>
      </w:r>
      <w:r>
        <w:rPr>
          <w:noProof/>
          <w:webHidden/>
        </w:rPr>
        <w:fldChar w:fldCharType="separate"/>
      </w:r>
      <w:r>
        <w:rPr>
          <w:noProof/>
          <w:webHidden/>
        </w:rPr>
        <w:t>80</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"_Toc2831234" </w:instrText>
      </w:r>
      <w:r>
        <w:rPr/>
        <w:fldChar w:fldCharType="separate"/>
      </w:r>
      <w:r>
        <w:rPr>
          <w:rStyle w:val="style85"/>
          <w:bCs/>
          <w:noProof/>
        </w:rPr>
        <w:t>6.6.2. Procédure d’enregistrement et gestion des plaintes</w:t>
      </w:r>
      <w:r>
        <w:rPr>
          <w:noProof/>
          <w:webHidden/>
        </w:rPr>
        <w:tab/>
      </w:r>
      <w:r>
        <w:rPr>
          <w:noProof/>
          <w:webHidden/>
        </w:rPr>
        <w:fldChar w:fldCharType="begin"/>
      </w:r>
      <w:r>
        <w:rPr>
          <w:noProof/>
          <w:webHidden/>
        </w:rPr>
        <w:instrText xml:space="preserve"> PAGEREF _Toc2831234 \h </w:instrText>
      </w:r>
      <w:r>
        <w:rPr>
          <w:noProof/>
          <w:webHidden/>
        </w:rPr>
        <w:fldChar w:fldCharType="separate"/>
      </w:r>
      <w:r>
        <w:rPr>
          <w:noProof/>
          <w:webHidden/>
        </w:rPr>
        <w:t>80</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"_Toc2831235" </w:instrText>
      </w:r>
      <w:r>
        <w:rPr/>
        <w:fldChar w:fldCharType="separate"/>
      </w:r>
      <w:r>
        <w:rPr>
          <w:rStyle w:val="style85"/>
          <w:noProof/>
        </w:rPr>
        <w:t>6.6.3. Documentation de la procédure d’enregistrement et de  gestion des plaintes</w:t>
      </w:r>
      <w:r>
        <w:rPr>
          <w:noProof/>
          <w:webHidden/>
        </w:rPr>
        <w:tab/>
      </w:r>
      <w:r>
        <w:rPr>
          <w:noProof/>
          <w:webHidden/>
        </w:rPr>
        <w:fldChar w:fldCharType="begin"/>
      </w:r>
      <w:r>
        <w:rPr>
          <w:noProof/>
          <w:webHidden/>
        </w:rPr>
        <w:instrText xml:space="preserve"> PAGEREF _Toc2831235 \h </w:instrText>
      </w:r>
      <w:r>
        <w:rPr>
          <w:noProof/>
          <w:webHidden/>
        </w:rPr>
        <w:fldChar w:fldCharType="separate"/>
      </w:r>
      <w:r>
        <w:rPr>
          <w:noProof/>
          <w:webHidden/>
        </w:rPr>
        <w:t>82</w:t>
      </w:r>
      <w:r>
        <w:rPr>
          <w:noProof/>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"_Toc2831236" </w:instrText>
      </w:r>
      <w:r>
        <w:rPr/>
        <w:fldChar w:fldCharType="separate"/>
      </w:r>
      <w:r>
        <w:rPr>
          <w:rStyle w:val="style85"/>
        </w:rPr>
        <w:t>6.7.</w:t>
      </w:r>
      <w:r>
        <w:rPr>
          <w:rFonts w:ascii="Calibri" w:cs="宋体" w:eastAsia="宋体" w:hAnsi="Calibri"/>
          <w:b w:val="false"/>
          <w:iCs w:val="false"/>
          <w:smallCaps w:val="false"/>
          <w:sz w:val="24"/>
          <w:lang w:eastAsia="fr-FR"/>
        </w:rPr>
        <w:tab/>
      </w:r>
      <w:r>
        <w:rPr>
          <w:rStyle w:val="style85"/>
        </w:rPr>
        <w:t>Consultations des parties prenantes</w:t>
      </w:r>
      <w:r>
        <w:rPr>
          <w:webHidden/>
        </w:rPr>
        <w:tab/>
      </w:r>
      <w:r>
        <w:rPr>
          <w:webHidden/>
        </w:rPr>
        <w:fldChar w:fldCharType="begin"/>
      </w:r>
      <w:r>
        <w:rPr>
          <w:webHidden/>
        </w:rPr>
        <w:instrText xml:space="preserve"> PAGEREF _Toc2831236 \h </w:instrText>
      </w:r>
      <w:r>
        <w:rPr>
          <w:webHidden/>
        </w:rPr>
        <w:fldChar w:fldCharType="separate"/>
      </w:r>
      <w:r>
        <w:rPr>
          <w:webHidden/>
        </w:rPr>
        <w:t>83</w:t>
      </w:r>
      <w:r>
        <w:rPr>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"_Toc2831237" </w:instrText>
      </w:r>
      <w:r>
        <w:rPr/>
        <w:fldChar w:fldCharType="separate"/>
      </w:r>
      <w:r>
        <w:rPr>
          <w:rStyle w:val="style85"/>
          <w:noProof/>
        </w:rPr>
        <w:t>6.7.1.</w:t>
      </w:r>
      <w:r>
        <w:rPr>
          <w:rFonts w:ascii="Calibri" w:cs="宋体" w:eastAsia="宋体" w:hAnsi="Calibri"/>
          <w:i w:val="false"/>
          <w:iCs w:val="false"/>
          <w:noProof/>
          <w:sz w:val="24"/>
          <w:lang w:eastAsia="fr-FR"/>
        </w:rPr>
        <w:tab/>
      </w:r>
      <w:r>
        <w:rPr>
          <w:rStyle w:val="style85"/>
          <w:noProof/>
        </w:rPr>
        <w:t>Objectifs des consultations publiques</w:t>
      </w:r>
      <w:r>
        <w:rPr>
          <w:noProof/>
          <w:webHidden/>
        </w:rPr>
        <w:tab/>
      </w:r>
      <w:r>
        <w:rPr>
          <w:noProof/>
          <w:webHidden/>
        </w:rPr>
        <w:fldChar w:fldCharType="begin"/>
      </w:r>
      <w:r>
        <w:rPr>
          <w:noProof/>
          <w:webHidden/>
        </w:rPr>
        <w:instrText xml:space="preserve"> PAGEREF _Toc2831237 \h </w:instrText>
      </w:r>
      <w:r>
        <w:rPr>
          <w:noProof/>
          <w:webHidden/>
        </w:rPr>
        <w:fldChar w:fldCharType="separate"/>
      </w:r>
      <w:r>
        <w:rPr>
          <w:noProof/>
          <w:webHidden/>
        </w:rPr>
        <w:t>83</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"_Toc2831238" </w:instrText>
      </w:r>
      <w:r>
        <w:rPr/>
        <w:fldChar w:fldCharType="separate"/>
      </w:r>
      <w:r>
        <w:rPr>
          <w:rStyle w:val="style85"/>
          <w:noProof/>
        </w:rPr>
        <w:t>6.7.2.</w:t>
      </w:r>
      <w:r>
        <w:rPr>
          <w:rFonts w:ascii="Calibri" w:cs="宋体" w:eastAsia="宋体" w:hAnsi="Calibri"/>
          <w:i w:val="false"/>
          <w:iCs w:val="false"/>
          <w:noProof/>
          <w:sz w:val="24"/>
          <w:lang w:eastAsia="fr-FR"/>
        </w:rPr>
        <w:tab/>
      </w:r>
      <w:r>
        <w:rPr>
          <w:rStyle w:val="style85"/>
          <w:noProof/>
        </w:rPr>
        <w:t>Acteurs ciblés et méthodologie</w:t>
      </w:r>
      <w:r>
        <w:rPr>
          <w:noProof/>
          <w:webHidden/>
        </w:rPr>
        <w:tab/>
      </w:r>
      <w:r>
        <w:rPr>
          <w:noProof/>
          <w:webHidden/>
        </w:rPr>
        <w:fldChar w:fldCharType="begin"/>
      </w:r>
      <w:r>
        <w:rPr>
          <w:noProof/>
          <w:webHidden/>
        </w:rPr>
        <w:instrText xml:space="preserve"> PAGEREF _Toc2831238 \h </w:instrText>
      </w:r>
      <w:r>
        <w:rPr>
          <w:noProof/>
          <w:webHidden/>
        </w:rPr>
        <w:fldChar w:fldCharType="separate"/>
      </w:r>
      <w:r>
        <w:rPr>
          <w:noProof/>
          <w:webHidden/>
        </w:rPr>
        <w:t>83</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"_Toc2831239" </w:instrText>
      </w:r>
      <w:r>
        <w:rPr/>
        <w:fldChar w:fldCharType="separate"/>
      </w:r>
      <w:r>
        <w:rPr>
          <w:rStyle w:val="style85"/>
          <w:noProof/>
        </w:rPr>
        <w:t>6.7.3.</w:t>
      </w:r>
      <w:r>
        <w:rPr>
          <w:rFonts w:ascii="Calibri" w:cs="宋体" w:eastAsia="宋体" w:hAnsi="Calibri"/>
          <w:i w:val="false"/>
          <w:iCs w:val="false"/>
          <w:noProof/>
          <w:sz w:val="24"/>
          <w:lang w:eastAsia="fr-FR"/>
        </w:rPr>
        <w:tab/>
      </w:r>
      <w:r>
        <w:rPr>
          <w:rStyle w:val="style85"/>
          <w:noProof/>
        </w:rPr>
        <w:t>Les points discutés</w:t>
      </w:r>
      <w:r>
        <w:rPr>
          <w:noProof/>
          <w:webHidden/>
        </w:rPr>
        <w:tab/>
      </w:r>
      <w:r>
        <w:rPr>
          <w:noProof/>
          <w:webHidden/>
        </w:rPr>
        <w:fldChar w:fldCharType="begin"/>
      </w:r>
      <w:r>
        <w:rPr>
          <w:noProof/>
          <w:webHidden/>
        </w:rPr>
        <w:instrText xml:space="preserve"> PAGEREF _Toc2831239 \h </w:instrText>
      </w:r>
      <w:r>
        <w:rPr>
          <w:noProof/>
          <w:webHidden/>
        </w:rPr>
        <w:fldChar w:fldCharType="separate"/>
      </w:r>
      <w:r>
        <w:rPr>
          <w:noProof/>
          <w:webHidden/>
        </w:rPr>
        <w:t>85</w:t>
      </w:r>
      <w:r>
        <w:rPr>
          <w:noProof/>
          <w:webHidden/>
        </w:rPr>
        <w:fldChar w:fldCharType="end"/>
      </w:r>
      <w:r>
        <w:rPr/>
        <w:fldChar w:fldCharType="end"/>
      </w:r>
    </w:p>
    <w:p>
      <w:pPr>
        <w:pStyle w:val="style21"/>
        <w:rPr>
          <w:rFonts w:ascii="Calibri" w:cs="宋体" w:eastAsia="宋体" w:hAnsi="Calibri"/>
          <w:i w:val="false"/>
          <w:iCs w:val="false"/>
          <w:noProof/>
          <w:sz w:val="24"/>
          <w:lang w:eastAsia="fr-FR"/>
        </w:rPr>
      </w:pPr>
      <w:r>
        <w:rPr/>
        <w:fldChar w:fldCharType="begin"/>
      </w:r>
      <w:r>
        <w:instrText xml:space="preserve"> HYPERLINK \l "_Toc2831240" </w:instrText>
      </w:r>
      <w:r>
        <w:rPr/>
        <w:fldChar w:fldCharType="separate"/>
      </w:r>
      <w:r>
        <w:rPr>
          <w:rStyle w:val="style85"/>
          <w:noProof/>
        </w:rPr>
        <w:t>6.7.4.</w:t>
      </w:r>
      <w:r>
        <w:rPr>
          <w:rFonts w:ascii="Calibri" w:cs="宋体" w:eastAsia="宋体" w:hAnsi="Calibri"/>
          <w:i w:val="false"/>
          <w:iCs w:val="false"/>
          <w:noProof/>
          <w:sz w:val="24"/>
          <w:lang w:eastAsia="fr-FR"/>
        </w:rPr>
        <w:tab/>
      </w:r>
      <w:r>
        <w:rPr>
          <w:rStyle w:val="style85"/>
          <w:noProof/>
        </w:rPr>
        <w:t>Analyse des résultats des rencontres institutionnelles et des consultations publiques</w:t>
      </w:r>
      <w:r>
        <w:rPr>
          <w:noProof/>
          <w:webHidden/>
        </w:rPr>
        <w:tab/>
      </w:r>
      <w:r>
        <w:rPr>
          <w:noProof/>
          <w:webHidden/>
        </w:rPr>
        <w:fldChar w:fldCharType="begin"/>
      </w:r>
      <w:r>
        <w:rPr>
          <w:noProof/>
          <w:webHidden/>
        </w:rPr>
        <w:instrText xml:space="preserve"> PAGEREF _Toc2831240 \h </w:instrText>
      </w:r>
      <w:r>
        <w:rPr>
          <w:noProof/>
          <w:webHidden/>
        </w:rPr>
        <w:fldChar w:fldCharType="separate"/>
      </w:r>
      <w:r>
        <w:rPr>
          <w:noProof/>
          <w:webHidden/>
        </w:rPr>
        <w:t>85</w:t>
      </w:r>
      <w:r>
        <w:rPr>
          <w:noProof/>
          <w:webHidden/>
        </w:rPr>
        <w:fldChar w:fldCharType="end"/>
      </w:r>
      <w:r>
        <w:rPr/>
        <w:fldChar w:fldCharType="end"/>
      </w:r>
    </w:p>
    <w:p>
      <w:pPr>
        <w:pStyle w:val="style19"/>
        <w:tabs>
          <w:tab w:val="left" w:leader="none" w:pos="720"/>
        </w:tabs>
        <w:rPr>
          <w:rFonts w:ascii="Calibri" w:cs="宋体" w:eastAsia="宋体" w:hAnsi="Calibri"/>
          <w:b w:val="false"/>
          <w:bCs w:val="false"/>
          <w:caps w:val="false"/>
          <w:sz w:val="24"/>
          <w:lang w:eastAsia="fr-FR"/>
        </w:rPr>
      </w:pPr>
      <w:r>
        <w:rPr/>
        <w:fldChar w:fldCharType="begin"/>
      </w:r>
      <w:r>
        <w:instrText xml:space="preserve"> HYPERLINK \l "_Toc2831255" </w:instrText>
      </w:r>
      <w:r>
        <w:rPr/>
        <w:fldChar w:fldCharType="separate"/>
      </w:r>
      <w:r>
        <w:rPr>
          <w:rStyle w:val="style85"/>
        </w:rPr>
        <w:t>G.</w:t>
      </w:r>
      <w:r>
        <w:rPr>
          <w:rFonts w:ascii="Calibri" w:cs="宋体" w:eastAsia="宋体" w:hAnsi="Calibri"/>
          <w:b w:val="false"/>
          <w:bCs w:val="false"/>
          <w:caps w:val="false"/>
          <w:sz w:val="24"/>
          <w:lang w:eastAsia="fr-FR"/>
        </w:rPr>
        <w:tab/>
      </w:r>
      <w:r>
        <w:rPr>
          <w:rStyle w:val="style85"/>
        </w:rPr>
        <w:t>Conclusion</w:t>
      </w:r>
      <w:r>
        <w:rPr>
          <w:webHidden/>
        </w:rPr>
        <w:tab/>
      </w:r>
      <w:r>
        <w:rPr>
          <w:webHidden/>
        </w:rPr>
        <w:fldChar w:fldCharType="begin"/>
      </w:r>
      <w:r>
        <w:rPr>
          <w:webHidden/>
        </w:rPr>
        <w:instrText xml:space="preserve"> PAGEREF _Toc2831255 \h </w:instrText>
      </w:r>
      <w:r>
        <w:rPr>
          <w:webHidden/>
        </w:rPr>
        <w:fldChar w:fldCharType="separate"/>
      </w:r>
      <w:r>
        <w:rPr>
          <w:webHidden/>
        </w:rPr>
        <w:t>88</w:t>
      </w:r>
      <w:r>
        <w:rPr>
          <w:webHidden/>
        </w:rPr>
        <w:fldChar w:fldCharType="end"/>
      </w:r>
      <w:r>
        <w:rPr/>
        <w:fldChar w:fldCharType="end"/>
      </w:r>
    </w:p>
    <w:p>
      <w:pPr>
        <w:pStyle w:val="style19"/>
        <w:rPr>
          <w:rFonts w:ascii="Calibri" w:cs="宋体" w:eastAsia="宋体" w:hAnsi="Calibri"/>
          <w:b w:val="false"/>
          <w:bCs w:val="false"/>
          <w:caps w:val="false"/>
          <w:sz w:val="24"/>
          <w:lang w:eastAsia="fr-FR"/>
        </w:rPr>
      </w:pPr>
      <w:r>
        <w:rPr/>
        <w:fldChar w:fldCharType="begin"/>
      </w:r>
      <w:r>
        <w:instrText xml:space="preserve"> HYPERLINK \l "_Toc2831256" </w:instrText>
      </w:r>
      <w:r>
        <w:rPr/>
        <w:fldChar w:fldCharType="separate"/>
      </w:r>
      <w:r>
        <w:rPr>
          <w:rStyle w:val="style85"/>
        </w:rPr>
        <w:t>REFERENCES BIBLIOGRAPHIQUES</w:t>
      </w:r>
      <w:r>
        <w:rPr>
          <w:webHidden/>
        </w:rPr>
        <w:tab/>
      </w:r>
      <w:r>
        <w:rPr>
          <w:webHidden/>
        </w:rPr>
        <w:fldChar w:fldCharType="begin"/>
      </w:r>
      <w:r>
        <w:rPr>
          <w:webHidden/>
        </w:rPr>
        <w:instrText xml:space="preserve"> PAGEREF _Toc2831256 \h </w:instrText>
      </w:r>
      <w:r>
        <w:rPr>
          <w:webHidden/>
        </w:rPr>
        <w:fldChar w:fldCharType="separate"/>
      </w:r>
      <w:r>
        <w:rPr>
          <w:webHidden/>
        </w:rPr>
        <w:t>90</w:t>
      </w:r>
      <w:r>
        <w:rPr>
          <w:webHidden/>
        </w:rPr>
        <w:fldChar w:fldCharType="end"/>
      </w:r>
      <w:r>
        <w:rPr/>
        <w:fldChar w:fldCharType="end"/>
      </w:r>
    </w:p>
    <w:p>
      <w:pPr>
        <w:pStyle w:val="style19"/>
        <w:rPr>
          <w:rFonts w:ascii="Calibri" w:cs="宋体" w:eastAsia="宋体" w:hAnsi="Calibri"/>
          <w:b w:val="false"/>
          <w:bCs w:val="false"/>
          <w:caps w:val="false"/>
          <w:sz w:val="24"/>
          <w:lang w:eastAsia="fr-FR"/>
        </w:rPr>
      </w:pPr>
      <w:r>
        <w:rPr/>
        <w:fldChar w:fldCharType="begin"/>
      </w:r>
      <w:r>
        <w:instrText xml:space="preserve"> HYPERLINK \l "_Toc2831257" </w:instrText>
      </w:r>
      <w:r>
        <w:rPr/>
        <w:fldChar w:fldCharType="separate"/>
      </w:r>
      <w:r>
        <w:rPr>
          <w:rStyle w:val="style85"/>
        </w:rPr>
        <w:t>Annexes</w:t>
      </w:r>
      <w:r>
        <w:rPr>
          <w:webHidden/>
        </w:rPr>
        <w:tab/>
      </w:r>
      <w:r>
        <w:rPr>
          <w:webHidden/>
        </w:rPr>
        <w:fldChar w:fldCharType="begin"/>
      </w:r>
      <w:r>
        <w:rPr>
          <w:webHidden/>
        </w:rPr>
        <w:instrText xml:space="preserve"> PAGEREF _Toc2831257 \h </w:instrText>
      </w:r>
      <w:r>
        <w:rPr>
          <w:webHidden/>
        </w:rPr>
        <w:fldChar w:fldCharType="separate"/>
      </w:r>
      <w:r>
        <w:rPr>
          <w:webHidden/>
        </w:rPr>
        <w:t>93</w:t>
      </w:r>
      <w:r>
        <w:rPr>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"_Toc2831258" </w:instrText>
      </w:r>
      <w:r>
        <w:rPr/>
        <w:fldChar w:fldCharType="separate"/>
      </w:r>
      <w:r>
        <w:rPr>
          <w:rStyle w:val="style85"/>
        </w:rPr>
        <w:t>Annexe 1 : Liste des pesticides approuvés pour l’importation et l’utilisation dans le pays</w:t>
      </w:r>
      <w:r>
        <w:rPr>
          <w:webHidden/>
        </w:rPr>
        <w:tab/>
      </w:r>
      <w:r>
        <w:rPr>
          <w:webHidden/>
        </w:rPr>
        <w:fldChar w:fldCharType="begin"/>
      </w:r>
      <w:r>
        <w:rPr>
          <w:webHidden/>
        </w:rPr>
        <w:instrText xml:space="preserve"> PAGEREF _Toc2831258 \h </w:instrText>
      </w:r>
      <w:r>
        <w:rPr>
          <w:webHidden/>
        </w:rPr>
        <w:fldChar w:fldCharType="separate"/>
      </w:r>
      <w:r>
        <w:rPr>
          <w:webHidden/>
        </w:rPr>
        <w:t>93</w:t>
      </w:r>
      <w:r>
        <w:rPr>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"_Toc2831259" </w:instrText>
      </w:r>
      <w:r>
        <w:rPr/>
        <w:fldChar w:fldCharType="separate"/>
      </w:r>
      <w:r>
        <w:rPr>
          <w:rStyle w:val="style85"/>
        </w:rPr>
        <w:t>Annexe 2 : Principes de base pour la gestion intégrée des pestes</w:t>
      </w:r>
      <w:r>
        <w:rPr>
          <w:webHidden/>
        </w:rPr>
        <w:tab/>
      </w:r>
      <w:r>
        <w:rPr>
          <w:webHidden/>
        </w:rPr>
        <w:fldChar w:fldCharType="begin"/>
      </w:r>
      <w:r>
        <w:rPr>
          <w:webHidden/>
        </w:rPr>
        <w:instrText xml:space="preserve"> PAGEREF _Toc2831259 \h </w:instrText>
      </w:r>
      <w:r>
        <w:rPr>
          <w:webHidden/>
        </w:rPr>
        <w:fldChar w:fldCharType="separate"/>
      </w:r>
      <w:r>
        <w:rPr>
          <w:webHidden/>
        </w:rPr>
        <w:t>96</w:t>
      </w:r>
      <w:r>
        <w:rPr>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"_Toc2831260" </w:instrText>
      </w:r>
      <w:r>
        <w:rPr/>
        <w:fldChar w:fldCharType="separate"/>
      </w:r>
      <w:r>
        <w:rPr>
          <w:rStyle w:val="style85"/>
        </w:rPr>
        <w:t>Annexe 3 : Guide de bonnes pratiques de Gestion des pesticides</w:t>
      </w:r>
      <w:r>
        <w:rPr>
          <w:webHidden/>
        </w:rPr>
        <w:tab/>
      </w:r>
      <w:r>
        <w:rPr>
          <w:webHidden/>
        </w:rPr>
        <w:fldChar w:fldCharType="begin"/>
      </w:r>
      <w:r>
        <w:rPr>
          <w:webHidden/>
        </w:rPr>
        <w:instrText xml:space="preserve"> PAGEREF _Toc2831260 \h </w:instrText>
      </w:r>
      <w:r>
        <w:rPr>
          <w:webHidden/>
        </w:rPr>
        <w:fldChar w:fldCharType="separate"/>
      </w:r>
      <w:r>
        <w:rPr>
          <w:webHidden/>
        </w:rPr>
        <w:t>99</w:t>
      </w:r>
      <w:r>
        <w:rPr>
          <w:webHidden/>
        </w:rPr>
        <w:fldChar w:fldCharType="end"/>
      </w:r>
      <w:r>
        <w:rPr/>
        <w:fldChar w:fldCharType="end"/>
      </w:r>
    </w:p>
    <w:p>
      <w:pPr>
        <w:pStyle w:val="style20"/>
        <w:rPr>
          <w:rFonts w:ascii="Calibri" w:cs="宋体" w:eastAsia="宋体" w:hAnsi="Calibri"/>
          <w:b w:val="false"/>
          <w:iCs w:val="false"/>
          <w:smallCaps w:val="false"/>
          <w:sz w:val="24"/>
          <w:lang w:eastAsia="fr-FR"/>
        </w:rPr>
      </w:pPr>
      <w:r>
        <w:rPr/>
        <w:fldChar w:fldCharType="begin"/>
      </w:r>
      <w:r>
        <w:instrText xml:space="preserve"> HYPERLINK \l "_Toc2831261" </w:instrText>
      </w:r>
      <w:r>
        <w:rPr/>
        <w:fldChar w:fldCharType="separate"/>
      </w:r>
      <w:r>
        <w:rPr>
          <w:rStyle w:val="style85"/>
        </w:rPr>
        <w:t>Annexe 4 : Personnes rencontrées et PV des rencontres publiques</w:t>
      </w:r>
      <w:r>
        <w:rPr>
          <w:webHidden/>
        </w:rPr>
        <w:tab/>
      </w:r>
      <w:r>
        <w:rPr>
          <w:webHidden/>
        </w:rPr>
        <w:fldChar w:fldCharType="begin"/>
      </w:r>
      <w:r>
        <w:rPr>
          <w:webHidden/>
        </w:rPr>
        <w:instrText xml:space="preserve"> PAGEREF _Toc2831261 \h </w:instrText>
      </w:r>
      <w:r>
        <w:rPr>
          <w:webHidden/>
        </w:rPr>
        <w:fldChar w:fldCharType="separate"/>
      </w:r>
      <w:r>
        <w:rPr>
          <w:webHidden/>
        </w:rPr>
        <w:t>107</w:t>
      </w:r>
      <w:r>
        <w:rPr>
          <w:webHidden/>
        </w:rPr>
        <w:fldChar w:fldCharType="end"/>
      </w:r>
      <w:r>
        <w:rPr/>
        <w:fldChar w:fldCharType="end"/>
      </w:r>
    </w:p>
    <w:p>
      <w:pPr>
        <w:pStyle w:val="style0"/>
        <w:spacing w:before="0"/>
        <w:jc w:val="left"/>
        <w:contextualSpacing/>
        <w:rPr/>
      </w:pPr>
      <w:r>
        <w:rPr>
          <w:sz w:val="22"/>
          <w:szCs w:val="22"/>
        </w:rPr>
        <w:fldChar w:fldCharType="end"/>
      </w:r>
    </w:p>
    <w:p>
      <w:pPr>
        <w:pStyle w:val="style0"/>
        <w:rPr/>
      </w:pPr>
    </w:p>
    <w:p>
      <w:pPr>
        <w:pStyle w:val="style0"/>
        <w:rPr/>
      </w:pPr>
    </w:p>
    <w:p>
      <w:pPr>
        <w:pStyle w:val="style0"/>
        <w:tabs>
          <w:tab w:val="left" w:leader="none" w:pos="6052"/>
        </w:tabs>
        <w:rPr/>
      </w:pPr>
      <w:r>
        <w:tab/>
      </w:r>
    </w:p>
    <w:p>
      <w:pPr>
        <w:pStyle w:val="style0"/>
        <w:rPr/>
      </w:pPr>
    </w:p>
    <w:p>
      <w:pPr>
        <w:pStyle w:val="style0"/>
        <w:rPr/>
      </w:pPr>
    </w:p>
    <w:p>
      <w:pPr>
        <w:pStyle w:val="style0"/>
        <w:rPr/>
        <w:sectPr>
          <w:pgSz w:w="11907" w:h="16840" w:orient="portrait" w:code="9"/>
          <w:pgMar w:top="1134" w:right="1134" w:bottom="1134" w:left="1134" w:header="720" w:footer="720" w:gutter="0"/>
          <w:pgNumType w:fmt="lowerRoman" w:start="1"/>
          <w:cols w:space="720"/>
          <w:titlePg/>
        </w:sectPr>
      </w:pPr>
    </w:p>
    <w:p>
      <w:pPr>
        <w:pStyle w:val="style0"/>
        <w:rPr/>
      </w:pPr>
    </w:p>
    <w:bookmarkStart w:id="4" w:name="_Toc2831168"/>
    <w:p>
      <w:pPr>
        <w:pStyle w:val="style1"/>
        <w:numPr>
          <w:ilvl w:val="0"/>
          <w:numId w:val="0"/>
        </w:numPr>
        <w:rPr/>
      </w:pPr>
      <w:r>
        <w:t xml:space="preserve">LISTE DES </w:t>
      </w:r>
      <w:r>
        <w:t>TABLEAUX</w:t>
      </w:r>
      <w:bookmarkEnd w:id="4"/>
    </w:p>
    <w:p>
      <w:pPr>
        <w:pStyle w:val="style35"/>
        <w:tabs>
          <w:tab w:val="right" w:leader="dot" w:pos="9629"/>
        </w:tabs>
        <w:rPr>
          <w:rFonts w:ascii="Calibri" w:cs="宋体" w:eastAsia="宋体" w:hAnsi="Calibri"/>
          <w:noProof/>
          <w:lang w:eastAsia="fr-FR"/>
        </w:rPr>
      </w:pPr>
      <w:r>
        <w:rPr>
          <w:b/>
        </w:rPr>
        <w:fldChar w:fldCharType="begin"/>
      </w:r>
      <w:r>
        <w:rPr>
          <w:b/>
        </w:rPr>
        <w:instrText xml:space="preserve"> </w:instrText>
      </w:r>
      <w:r>
        <w:rPr>
          <w:b/>
        </w:rPr>
        <w:instrText>TOC</w:instrText>
      </w:r>
      <w:r>
        <w:rPr>
          <w:b/>
        </w:rPr>
        <w:instrText xml:space="preserve"> \h \z \c "Tableau" </w:instrText>
      </w:r>
      <w:r>
        <w:rPr>
          <w:b/>
        </w:rPr>
        <w:fldChar w:fldCharType="separate"/>
      </w:r>
      <w:r>
        <w:rPr/>
        <w:fldChar w:fldCharType="begin"/>
      </w:r>
      <w:r>
        <w:instrText xml:space="preserve"> HYPERLINK \l "_Toc260208" </w:instrText>
      </w:r>
      <w:r>
        <w:rPr/>
        <w:fldChar w:fldCharType="separate"/>
      </w:r>
      <w:r>
        <w:rPr>
          <w:rStyle w:val="style85"/>
          <w:noProof/>
        </w:rPr>
        <w:t>Tableau 1</w:t>
      </w:r>
      <w:r>
        <w:rPr>
          <w:rStyle w:val="style85"/>
          <w:rFonts w:eastAsia="Calibri"/>
          <w:i/>
          <w:iCs/>
          <w:noProof/>
        </w:rPr>
        <w:t> : Caractéristiques des zones agro-écologiques</w:t>
      </w:r>
      <w:r>
        <w:rPr>
          <w:noProof/>
          <w:webHidden/>
        </w:rPr>
        <w:tab/>
      </w:r>
      <w:r>
        <w:rPr>
          <w:noProof/>
          <w:webHidden/>
        </w:rPr>
        <w:fldChar w:fldCharType="begin"/>
      </w:r>
      <w:r>
        <w:rPr>
          <w:noProof/>
          <w:webHidden/>
        </w:rPr>
        <w:instrText xml:space="preserve"> PAGEREF _Toc260208 \h </w:instrText>
      </w:r>
      <w:r>
        <w:rPr>
          <w:noProof/>
          <w:webHidden/>
        </w:rPr>
        <w:fldChar w:fldCharType="separate"/>
      </w:r>
      <w:r>
        <w:rPr>
          <w:noProof/>
          <w:webHidden/>
        </w:rPr>
        <w:t>11</w:t>
      </w:r>
      <w:r>
        <w:rPr>
          <w:noProof/>
          <w:webHidden/>
        </w:rPr>
        <w:fldChar w:fldCharType="end"/>
      </w:r>
      <w:r>
        <w:rPr/>
        <w:fldChar w:fldCharType="end"/>
      </w:r>
    </w:p>
    <w:p>
      <w:pPr>
        <w:pStyle w:val="style35"/>
        <w:tabs>
          <w:tab w:val="right" w:leader="dot" w:pos="9629"/>
        </w:tabs>
        <w:rPr>
          <w:rFonts w:ascii="Calibri" w:cs="宋体" w:eastAsia="宋体" w:hAnsi="Calibri"/>
          <w:noProof/>
          <w:lang w:eastAsia="fr-FR"/>
        </w:rPr>
      </w:pPr>
      <w:r>
        <w:rPr/>
        <w:fldChar w:fldCharType="begin"/>
      </w:r>
      <w:r>
        <w:instrText xml:space="preserve"> HYPERLINK \l "_Toc260209" </w:instrText>
      </w:r>
      <w:r>
        <w:rPr/>
        <w:fldChar w:fldCharType="separate"/>
      </w:r>
      <w:r>
        <w:rPr>
          <w:rStyle w:val="style85"/>
          <w:noProof/>
        </w:rPr>
        <w:t>Tableau 2</w:t>
      </w:r>
      <w:r>
        <w:rPr>
          <w:rStyle w:val="style85"/>
          <w:rFonts w:eastAsia="Calibri"/>
          <w:i/>
          <w:iCs/>
          <w:noProof/>
        </w:rPr>
        <w:t> : Pourcentage de parcelles affectées par les facteurs de perte dans les zones concernées par le PDCA</w:t>
      </w:r>
      <w:r>
        <w:rPr>
          <w:noProof/>
          <w:webHidden/>
        </w:rPr>
        <w:tab/>
      </w:r>
      <w:r>
        <w:rPr>
          <w:noProof/>
          <w:webHidden/>
        </w:rPr>
        <w:fldChar w:fldCharType="begin"/>
      </w:r>
      <w:r>
        <w:rPr>
          <w:noProof/>
          <w:webHidden/>
        </w:rPr>
        <w:instrText xml:space="preserve"> PAGEREF _Toc260209 \h </w:instrText>
      </w:r>
      <w:r>
        <w:rPr>
          <w:noProof/>
          <w:webHidden/>
        </w:rPr>
        <w:fldChar w:fldCharType="separate"/>
      </w:r>
      <w:r>
        <w:rPr>
          <w:noProof/>
          <w:webHidden/>
        </w:rPr>
        <w:t>13</w:t>
      </w:r>
      <w:r>
        <w:rPr>
          <w:noProof/>
          <w:webHidden/>
        </w:rPr>
        <w:fldChar w:fldCharType="end"/>
      </w:r>
      <w:r>
        <w:rPr/>
        <w:fldChar w:fldCharType="end"/>
      </w:r>
    </w:p>
    <w:p>
      <w:pPr>
        <w:pStyle w:val="style35"/>
        <w:tabs>
          <w:tab w:val="right" w:leader="dot" w:pos="9629"/>
        </w:tabs>
        <w:rPr>
          <w:rFonts w:ascii="Calibri" w:cs="宋体" w:eastAsia="宋体" w:hAnsi="Calibri"/>
          <w:noProof/>
          <w:lang w:eastAsia="fr-FR"/>
        </w:rPr>
      </w:pPr>
      <w:r>
        <w:rPr/>
        <w:fldChar w:fldCharType="begin"/>
      </w:r>
      <w:r>
        <w:instrText xml:space="preserve"> HYPERLINK \l "_Toc260210" </w:instrText>
      </w:r>
      <w:r>
        <w:rPr/>
        <w:fldChar w:fldCharType="separate"/>
      </w:r>
      <w:r>
        <w:rPr>
          <w:rStyle w:val="style85"/>
          <w:noProof/>
        </w:rPr>
        <w:t>Tableau 3</w:t>
      </w:r>
      <w:r>
        <w:rPr>
          <w:rStyle w:val="style85"/>
          <w:rFonts w:eastAsia="Calibri"/>
          <w:i/>
          <w:iCs/>
          <w:noProof/>
        </w:rPr>
        <w:t> : Déprédateurs et agents pathogènes de la tomate</w:t>
      </w:r>
      <w:r>
        <w:rPr>
          <w:noProof/>
          <w:webHidden/>
        </w:rPr>
        <w:tab/>
      </w:r>
      <w:r>
        <w:rPr>
          <w:noProof/>
          <w:webHidden/>
        </w:rPr>
        <w:fldChar w:fldCharType="begin"/>
      </w:r>
      <w:r>
        <w:rPr>
          <w:noProof/>
          <w:webHidden/>
        </w:rPr>
        <w:instrText xml:space="preserve"> PAGEREF _Toc260210 \h </w:instrText>
      </w:r>
      <w:r>
        <w:rPr>
          <w:noProof/>
          <w:webHidden/>
        </w:rPr>
        <w:fldChar w:fldCharType="separate"/>
      </w:r>
      <w:r>
        <w:rPr>
          <w:noProof/>
          <w:webHidden/>
        </w:rPr>
        <w:t>21</w:t>
      </w:r>
      <w:r>
        <w:rPr>
          <w:noProof/>
          <w:webHidden/>
        </w:rPr>
        <w:fldChar w:fldCharType="end"/>
      </w:r>
      <w:r>
        <w:rPr/>
        <w:fldChar w:fldCharType="end"/>
      </w:r>
    </w:p>
    <w:p>
      <w:pPr>
        <w:pStyle w:val="style35"/>
        <w:tabs>
          <w:tab w:val="right" w:leader="dot" w:pos="9629"/>
        </w:tabs>
        <w:rPr>
          <w:rFonts w:ascii="Calibri" w:cs="宋体" w:eastAsia="宋体" w:hAnsi="Calibri"/>
          <w:noProof/>
          <w:lang w:eastAsia="fr-FR"/>
        </w:rPr>
      </w:pPr>
      <w:r>
        <w:rPr/>
        <w:fldChar w:fldCharType="begin"/>
      </w:r>
      <w:r>
        <w:instrText xml:space="preserve"> HYPERLINK \l "_Toc260211" </w:instrText>
      </w:r>
      <w:r>
        <w:rPr/>
        <w:fldChar w:fldCharType="separate"/>
      </w:r>
      <w:r>
        <w:rPr>
          <w:rStyle w:val="style85"/>
          <w:noProof/>
        </w:rPr>
        <w:t>Tableau 4</w:t>
      </w:r>
      <w:r>
        <w:rPr>
          <w:rStyle w:val="style85"/>
          <w:rFonts w:eastAsia="Calibri"/>
          <w:i/>
          <w:iCs/>
          <w:noProof/>
        </w:rPr>
        <w:t> : Déprédateurs et agents pathogènes de l’oignon</w:t>
      </w:r>
      <w:r>
        <w:rPr>
          <w:noProof/>
          <w:webHidden/>
        </w:rPr>
        <w:tab/>
      </w:r>
      <w:r>
        <w:rPr>
          <w:noProof/>
          <w:webHidden/>
        </w:rPr>
        <w:fldChar w:fldCharType="begin"/>
      </w:r>
      <w:r>
        <w:rPr>
          <w:noProof/>
          <w:webHidden/>
        </w:rPr>
        <w:instrText xml:space="preserve"> PAGEREF _Toc260211 \h </w:instrText>
      </w:r>
      <w:r>
        <w:rPr>
          <w:noProof/>
          <w:webHidden/>
        </w:rPr>
        <w:fldChar w:fldCharType="separate"/>
      </w:r>
      <w:r>
        <w:rPr>
          <w:noProof/>
          <w:webHidden/>
        </w:rPr>
        <w:t>21</w:t>
      </w:r>
      <w:r>
        <w:rPr>
          <w:noProof/>
          <w:webHidden/>
        </w:rPr>
        <w:fldChar w:fldCharType="end"/>
      </w:r>
      <w:r>
        <w:rPr/>
        <w:fldChar w:fldCharType="end"/>
      </w:r>
    </w:p>
    <w:p>
      <w:pPr>
        <w:pStyle w:val="style35"/>
        <w:tabs>
          <w:tab w:val="right" w:leader="dot" w:pos="9629"/>
        </w:tabs>
        <w:rPr>
          <w:rFonts w:ascii="Calibri" w:cs="宋体" w:eastAsia="宋体" w:hAnsi="Calibri"/>
          <w:noProof/>
          <w:lang w:eastAsia="fr-FR"/>
        </w:rPr>
      </w:pPr>
      <w:r>
        <w:rPr/>
        <w:fldChar w:fldCharType="begin"/>
      </w:r>
      <w:r>
        <w:instrText xml:space="preserve"> HYPERLINK \l "_Toc260212" </w:instrText>
      </w:r>
      <w:r>
        <w:rPr/>
        <w:fldChar w:fldCharType="separate"/>
      </w:r>
      <w:r>
        <w:rPr>
          <w:rStyle w:val="style85"/>
          <w:noProof/>
        </w:rPr>
        <w:t>Tableau 5</w:t>
      </w:r>
      <w:r>
        <w:rPr>
          <w:rStyle w:val="style85"/>
          <w:rFonts w:eastAsia="Calibri"/>
          <w:i/>
          <w:iCs/>
          <w:noProof/>
        </w:rPr>
        <w:t> : Déprédateurs et agents pathogènes du riz</w:t>
      </w:r>
      <w:r>
        <w:rPr>
          <w:noProof/>
          <w:webHidden/>
        </w:rPr>
        <w:tab/>
      </w:r>
      <w:r>
        <w:rPr>
          <w:noProof/>
          <w:webHidden/>
        </w:rPr>
        <w:fldChar w:fldCharType="begin"/>
      </w:r>
      <w:r>
        <w:rPr>
          <w:noProof/>
          <w:webHidden/>
        </w:rPr>
        <w:instrText xml:space="preserve"> PAGEREF _Toc260212 \h </w:instrText>
      </w:r>
      <w:r>
        <w:rPr>
          <w:noProof/>
          <w:webHidden/>
        </w:rPr>
        <w:fldChar w:fldCharType="separate"/>
      </w:r>
      <w:r>
        <w:rPr>
          <w:noProof/>
          <w:webHidden/>
        </w:rPr>
        <w:t>22</w:t>
      </w:r>
      <w:r>
        <w:rPr>
          <w:noProof/>
          <w:webHidden/>
        </w:rPr>
        <w:fldChar w:fldCharType="end"/>
      </w:r>
      <w:r>
        <w:rPr/>
        <w:fldChar w:fldCharType="end"/>
      </w:r>
    </w:p>
    <w:p>
      <w:pPr>
        <w:pStyle w:val="style35"/>
        <w:tabs>
          <w:tab w:val="right" w:leader="dot" w:pos="9629"/>
        </w:tabs>
        <w:rPr>
          <w:rFonts w:ascii="Calibri" w:cs="宋体" w:eastAsia="宋体" w:hAnsi="Calibri"/>
          <w:noProof/>
          <w:lang w:eastAsia="fr-FR"/>
        </w:rPr>
      </w:pPr>
      <w:r>
        <w:rPr/>
        <w:fldChar w:fldCharType="begin"/>
      </w:r>
      <w:r>
        <w:instrText xml:space="preserve"> HYPERLINK \l "_Toc260213" </w:instrText>
      </w:r>
      <w:r>
        <w:rPr/>
        <w:fldChar w:fldCharType="separate"/>
      </w:r>
      <w:r>
        <w:rPr>
          <w:rStyle w:val="style85"/>
          <w:noProof/>
        </w:rPr>
        <w:t>Tableau 6</w:t>
      </w:r>
      <w:r>
        <w:rPr>
          <w:rStyle w:val="style85"/>
          <w:rFonts w:eastAsia="Calibri"/>
          <w:i/>
          <w:iCs/>
          <w:noProof/>
        </w:rPr>
        <w:t> : Déprédateurs et agents pathogènes du maïs</w:t>
      </w:r>
      <w:r>
        <w:rPr>
          <w:noProof/>
          <w:webHidden/>
        </w:rPr>
        <w:tab/>
      </w:r>
      <w:r>
        <w:rPr>
          <w:noProof/>
          <w:webHidden/>
        </w:rPr>
        <w:fldChar w:fldCharType="begin"/>
      </w:r>
      <w:r>
        <w:rPr>
          <w:noProof/>
          <w:webHidden/>
        </w:rPr>
        <w:instrText xml:space="preserve"> PAGEREF _Toc260213 \h </w:instrText>
      </w:r>
      <w:r>
        <w:rPr>
          <w:noProof/>
          <w:webHidden/>
        </w:rPr>
        <w:fldChar w:fldCharType="separate"/>
      </w:r>
      <w:r>
        <w:rPr>
          <w:noProof/>
          <w:webHidden/>
        </w:rPr>
        <w:t>23</w:t>
      </w:r>
      <w:r>
        <w:rPr>
          <w:noProof/>
          <w:webHidden/>
        </w:rPr>
        <w:fldChar w:fldCharType="end"/>
      </w:r>
      <w:r>
        <w:rPr/>
        <w:fldChar w:fldCharType="end"/>
      </w:r>
    </w:p>
    <w:p>
      <w:pPr>
        <w:pStyle w:val="style35"/>
        <w:tabs>
          <w:tab w:val="right" w:leader="dot" w:pos="9629"/>
        </w:tabs>
        <w:rPr>
          <w:rFonts w:ascii="Calibri" w:cs="宋体" w:eastAsia="宋体" w:hAnsi="Calibri"/>
          <w:noProof/>
          <w:lang w:eastAsia="fr-FR"/>
        </w:rPr>
      </w:pPr>
      <w:r>
        <w:rPr/>
        <w:fldChar w:fldCharType="begin"/>
      </w:r>
      <w:r>
        <w:instrText xml:space="preserve"> HYPERLINK \l "_Toc260214" </w:instrText>
      </w:r>
      <w:r>
        <w:rPr/>
        <w:fldChar w:fldCharType="separate"/>
      </w:r>
      <w:r>
        <w:rPr>
          <w:rStyle w:val="style85"/>
          <w:noProof/>
        </w:rPr>
        <w:t>Tableau 7</w:t>
      </w:r>
      <w:r>
        <w:rPr>
          <w:rStyle w:val="style85"/>
          <w:rFonts w:eastAsia="Calibri"/>
          <w:i/>
          <w:iCs/>
          <w:noProof/>
        </w:rPr>
        <w:t> : Déprédateurs et agents pathogènes du niébé</w:t>
      </w:r>
      <w:r>
        <w:rPr>
          <w:noProof/>
          <w:webHidden/>
        </w:rPr>
        <w:tab/>
      </w:r>
      <w:r>
        <w:rPr>
          <w:noProof/>
          <w:webHidden/>
        </w:rPr>
        <w:fldChar w:fldCharType="begin"/>
      </w:r>
      <w:r>
        <w:rPr>
          <w:noProof/>
          <w:webHidden/>
        </w:rPr>
        <w:instrText xml:space="preserve"> PAGEREF _Toc260214 \h </w:instrText>
      </w:r>
      <w:r>
        <w:rPr>
          <w:noProof/>
          <w:webHidden/>
        </w:rPr>
        <w:fldChar w:fldCharType="separate"/>
      </w:r>
      <w:r>
        <w:rPr>
          <w:noProof/>
          <w:webHidden/>
        </w:rPr>
        <w:t>23</w:t>
      </w:r>
      <w:r>
        <w:rPr>
          <w:noProof/>
          <w:webHidden/>
        </w:rPr>
        <w:fldChar w:fldCharType="end"/>
      </w:r>
      <w:r>
        <w:rPr/>
        <w:fldChar w:fldCharType="end"/>
      </w:r>
    </w:p>
    <w:p>
      <w:pPr>
        <w:pStyle w:val="style35"/>
        <w:tabs>
          <w:tab w:val="right" w:leader="dot" w:pos="9629"/>
        </w:tabs>
        <w:rPr>
          <w:rFonts w:ascii="Calibri" w:cs="宋体" w:eastAsia="宋体" w:hAnsi="Calibri"/>
          <w:noProof/>
          <w:lang w:eastAsia="fr-FR"/>
        </w:rPr>
      </w:pPr>
      <w:r>
        <w:rPr/>
        <w:fldChar w:fldCharType="begin"/>
      </w:r>
      <w:r>
        <w:instrText xml:space="preserve"> HYPERLINK \l "_Toc260215" </w:instrText>
      </w:r>
      <w:r>
        <w:rPr/>
        <w:fldChar w:fldCharType="separate"/>
      </w:r>
      <w:r>
        <w:rPr>
          <w:rStyle w:val="style85"/>
          <w:noProof/>
        </w:rPr>
        <w:t>Tableau 8</w:t>
      </w:r>
      <w:r>
        <w:rPr>
          <w:rStyle w:val="style85"/>
          <w:rFonts w:eastAsia="Calibri"/>
          <w:i/>
          <w:iCs/>
          <w:noProof/>
        </w:rPr>
        <w:t> : Déprédateurs et agents pathogènes du sésame</w:t>
      </w:r>
      <w:r>
        <w:rPr>
          <w:noProof/>
          <w:webHidden/>
        </w:rPr>
        <w:tab/>
      </w:r>
      <w:r>
        <w:rPr>
          <w:noProof/>
          <w:webHidden/>
        </w:rPr>
        <w:fldChar w:fldCharType="begin"/>
      </w:r>
      <w:r>
        <w:rPr>
          <w:noProof/>
          <w:webHidden/>
        </w:rPr>
        <w:instrText xml:space="preserve"> PAGEREF _Toc260215 \h </w:instrText>
      </w:r>
      <w:r>
        <w:rPr>
          <w:noProof/>
          <w:webHidden/>
        </w:rPr>
        <w:fldChar w:fldCharType="separate"/>
      </w:r>
      <w:r>
        <w:rPr>
          <w:noProof/>
          <w:webHidden/>
        </w:rPr>
        <w:t>24</w:t>
      </w:r>
      <w:r>
        <w:rPr>
          <w:noProof/>
          <w:webHidden/>
        </w:rPr>
        <w:fldChar w:fldCharType="end"/>
      </w:r>
      <w:r>
        <w:rPr/>
        <w:fldChar w:fldCharType="end"/>
      </w:r>
    </w:p>
    <w:p>
      <w:pPr>
        <w:pStyle w:val="style35"/>
        <w:tabs>
          <w:tab w:val="right" w:leader="dot" w:pos="9629"/>
        </w:tabs>
        <w:rPr>
          <w:rFonts w:ascii="Calibri" w:cs="宋体" w:eastAsia="宋体" w:hAnsi="Calibri"/>
          <w:noProof/>
          <w:lang w:eastAsia="fr-FR"/>
        </w:rPr>
      </w:pPr>
      <w:r>
        <w:rPr/>
        <w:fldChar w:fldCharType="begin"/>
      </w:r>
      <w:r>
        <w:instrText xml:space="preserve"> HYPERLINK \l "_Toc260216" </w:instrText>
      </w:r>
      <w:r>
        <w:rPr/>
        <w:fldChar w:fldCharType="separate"/>
      </w:r>
      <w:r>
        <w:rPr>
          <w:rStyle w:val="style85"/>
          <w:noProof/>
        </w:rPr>
        <w:t>Tableau 9</w:t>
      </w:r>
      <w:r>
        <w:rPr>
          <w:rStyle w:val="style85"/>
          <w:rFonts w:eastAsia="Calibri"/>
          <w:i/>
          <w:iCs/>
          <w:noProof/>
        </w:rPr>
        <w:t> : Les ennemis transversaux</w:t>
      </w:r>
      <w:r>
        <w:rPr>
          <w:noProof/>
          <w:webHidden/>
        </w:rPr>
        <w:tab/>
      </w:r>
      <w:r>
        <w:rPr>
          <w:noProof/>
          <w:webHidden/>
        </w:rPr>
        <w:fldChar w:fldCharType="begin"/>
      </w:r>
      <w:r>
        <w:rPr>
          <w:noProof/>
          <w:webHidden/>
        </w:rPr>
        <w:instrText xml:space="preserve"> PAGEREF _Toc260216 \h </w:instrText>
      </w:r>
      <w:r>
        <w:rPr>
          <w:noProof/>
          <w:webHidden/>
        </w:rPr>
        <w:fldChar w:fldCharType="separate"/>
      </w:r>
      <w:r>
        <w:rPr>
          <w:noProof/>
          <w:webHidden/>
        </w:rPr>
        <w:t>25</w:t>
      </w:r>
      <w:r>
        <w:rPr>
          <w:noProof/>
          <w:webHidden/>
        </w:rPr>
        <w:fldChar w:fldCharType="end"/>
      </w:r>
      <w:r>
        <w:rPr/>
        <w:fldChar w:fldCharType="end"/>
      </w:r>
    </w:p>
    <w:p>
      <w:pPr>
        <w:pStyle w:val="style35"/>
        <w:tabs>
          <w:tab w:val="right" w:leader="dot" w:pos="9629"/>
        </w:tabs>
        <w:rPr>
          <w:rFonts w:ascii="Calibri" w:cs="宋体" w:eastAsia="宋体" w:hAnsi="Calibri"/>
          <w:noProof/>
          <w:lang w:eastAsia="fr-FR"/>
        </w:rPr>
      </w:pPr>
      <w:r>
        <w:rPr/>
        <w:fldChar w:fldCharType="begin"/>
      </w:r>
      <w:r>
        <w:instrText xml:space="preserve"> HYPERLINK \l "_Toc260217" </w:instrText>
      </w:r>
      <w:r>
        <w:rPr/>
        <w:fldChar w:fldCharType="separate"/>
      </w:r>
      <w:r>
        <w:rPr>
          <w:rStyle w:val="style85"/>
          <w:noProof/>
        </w:rPr>
        <w:t>Tableau 10</w:t>
      </w:r>
      <w:r>
        <w:rPr>
          <w:rStyle w:val="style85"/>
          <w:rFonts w:eastAsia="Calibri"/>
          <w:i/>
          <w:iCs/>
          <w:noProof/>
        </w:rPr>
        <w:t> : Méthodes de lutte non chimique contre les mauvaises herbes</w:t>
      </w:r>
      <w:r>
        <w:rPr>
          <w:noProof/>
          <w:webHidden/>
        </w:rPr>
        <w:tab/>
      </w:r>
      <w:r>
        <w:rPr>
          <w:noProof/>
          <w:webHidden/>
        </w:rPr>
        <w:fldChar w:fldCharType="begin"/>
      </w:r>
      <w:r>
        <w:rPr>
          <w:noProof/>
          <w:webHidden/>
        </w:rPr>
        <w:instrText xml:space="preserve"> PAGEREF _Toc260217 \h </w:instrText>
      </w:r>
      <w:r>
        <w:rPr>
          <w:noProof/>
          <w:webHidden/>
        </w:rPr>
        <w:fldChar w:fldCharType="separate"/>
      </w:r>
      <w:r>
        <w:rPr>
          <w:noProof/>
          <w:webHidden/>
        </w:rPr>
        <w:t>28</w:t>
      </w:r>
      <w:r>
        <w:rPr>
          <w:noProof/>
          <w:webHidden/>
        </w:rPr>
        <w:fldChar w:fldCharType="end"/>
      </w:r>
      <w:r>
        <w:rPr/>
        <w:fldChar w:fldCharType="end"/>
      </w:r>
    </w:p>
    <w:p>
      <w:pPr>
        <w:pStyle w:val="style35"/>
        <w:tabs>
          <w:tab w:val="right" w:leader="dot" w:pos="9629"/>
        </w:tabs>
        <w:rPr>
          <w:rFonts w:ascii="Calibri" w:cs="宋体" w:eastAsia="宋体" w:hAnsi="Calibri"/>
          <w:noProof/>
          <w:lang w:eastAsia="fr-FR"/>
        </w:rPr>
      </w:pPr>
      <w:r>
        <w:rPr/>
        <w:fldChar w:fldCharType="begin"/>
      </w:r>
      <w:r>
        <w:instrText xml:space="preserve"> HYPERLINK \l "_Toc260218" </w:instrText>
      </w:r>
      <w:r>
        <w:rPr/>
        <w:fldChar w:fldCharType="separate"/>
      </w:r>
      <w:r>
        <w:rPr>
          <w:rStyle w:val="style85"/>
          <w:noProof/>
        </w:rPr>
        <w:t>Tableau 11</w:t>
      </w:r>
      <w:r>
        <w:rPr>
          <w:rStyle w:val="style85"/>
          <w:rFonts w:eastAsia="Calibri"/>
          <w:i/>
          <w:iCs/>
          <w:noProof/>
        </w:rPr>
        <w:t> : Type de résistance de variétés de niébé améliorées ou adaptées au Burkina Faso</w:t>
      </w:r>
      <w:r>
        <w:rPr>
          <w:noProof/>
          <w:webHidden/>
        </w:rPr>
        <w:tab/>
      </w:r>
      <w:r>
        <w:rPr>
          <w:noProof/>
          <w:webHidden/>
        </w:rPr>
        <w:fldChar w:fldCharType="begin"/>
      </w:r>
      <w:r>
        <w:rPr>
          <w:noProof/>
          <w:webHidden/>
        </w:rPr>
        <w:instrText xml:space="preserve"> PAGEREF _Toc260218 \h </w:instrText>
      </w:r>
      <w:r>
        <w:rPr>
          <w:noProof/>
          <w:webHidden/>
        </w:rPr>
        <w:fldChar w:fldCharType="separate"/>
      </w:r>
      <w:r>
        <w:rPr>
          <w:noProof/>
          <w:webHidden/>
        </w:rPr>
        <w:t>29</w:t>
      </w:r>
      <w:r>
        <w:rPr>
          <w:noProof/>
          <w:webHidden/>
        </w:rPr>
        <w:fldChar w:fldCharType="end"/>
      </w:r>
      <w:r>
        <w:rPr/>
        <w:fldChar w:fldCharType="end"/>
      </w:r>
    </w:p>
    <w:p>
      <w:pPr>
        <w:pStyle w:val="style35"/>
        <w:tabs>
          <w:tab w:val="right" w:leader="dot" w:pos="9629"/>
        </w:tabs>
        <w:rPr>
          <w:rFonts w:ascii="Calibri" w:cs="宋体" w:eastAsia="宋体" w:hAnsi="Calibri"/>
          <w:noProof/>
          <w:lang w:eastAsia="fr-FR"/>
        </w:rPr>
      </w:pPr>
      <w:r>
        <w:rPr/>
        <w:fldChar w:fldCharType="begin"/>
      </w:r>
      <w:r>
        <w:instrText xml:space="preserve"> HYPERLINK \l "_Toc260219" </w:instrText>
      </w:r>
      <w:r>
        <w:rPr/>
        <w:fldChar w:fldCharType="separate"/>
      </w:r>
      <w:r>
        <w:rPr>
          <w:rStyle w:val="style85"/>
          <w:noProof/>
        </w:rPr>
        <w:t>Tableau 12</w:t>
      </w:r>
      <w:r>
        <w:rPr>
          <w:rStyle w:val="style85"/>
          <w:rFonts w:eastAsia="Calibri"/>
          <w:i/>
          <w:iCs/>
          <w:noProof/>
        </w:rPr>
        <w:t> :Quantité et type de pesticides importés au Burkina Faso de 2014 à 2018</w:t>
      </w:r>
      <w:r>
        <w:rPr>
          <w:noProof/>
          <w:webHidden/>
        </w:rPr>
        <w:tab/>
      </w:r>
      <w:r>
        <w:rPr>
          <w:noProof/>
          <w:webHidden/>
        </w:rPr>
        <w:fldChar w:fldCharType="begin"/>
      </w:r>
      <w:r>
        <w:rPr>
          <w:noProof/>
          <w:webHidden/>
        </w:rPr>
        <w:instrText xml:space="preserve"> PAGEREF _Toc260219 \h </w:instrText>
      </w:r>
      <w:r>
        <w:rPr>
          <w:noProof/>
          <w:webHidden/>
        </w:rPr>
        <w:fldChar w:fldCharType="separate"/>
      </w:r>
      <w:r>
        <w:rPr>
          <w:noProof/>
          <w:webHidden/>
        </w:rPr>
        <w:t>32</w:t>
      </w:r>
      <w:r>
        <w:rPr>
          <w:noProof/>
          <w:webHidden/>
        </w:rPr>
        <w:fldChar w:fldCharType="end"/>
      </w:r>
      <w:r>
        <w:rPr/>
        <w:fldChar w:fldCharType="end"/>
      </w:r>
    </w:p>
    <w:p>
      <w:pPr>
        <w:pStyle w:val="style35"/>
        <w:tabs>
          <w:tab w:val="right" w:leader="dot" w:pos="9629"/>
        </w:tabs>
        <w:rPr>
          <w:rFonts w:ascii="Calibri" w:cs="宋体" w:eastAsia="宋体" w:hAnsi="Calibri"/>
          <w:noProof/>
          <w:lang w:eastAsia="fr-FR"/>
        </w:rPr>
      </w:pPr>
      <w:r>
        <w:rPr/>
        <w:fldChar w:fldCharType="begin"/>
      </w:r>
      <w:r>
        <w:instrText xml:space="preserve"> HYPERLINK \l "_Toc260220" </w:instrText>
      </w:r>
      <w:r>
        <w:rPr/>
        <w:fldChar w:fldCharType="separate"/>
      </w:r>
      <w:r>
        <w:rPr>
          <w:rStyle w:val="style85"/>
          <w:noProof/>
        </w:rPr>
        <w:t>Tableau 13</w:t>
      </w:r>
      <w:r>
        <w:rPr>
          <w:rStyle w:val="style85"/>
          <w:rFonts w:eastAsia="Calibri"/>
          <w:i/>
          <w:iCs/>
          <w:noProof/>
        </w:rPr>
        <w:t> :Pesticides rencontrés sur le terrain</w:t>
      </w:r>
      <w:r>
        <w:rPr>
          <w:noProof/>
          <w:webHidden/>
        </w:rPr>
        <w:tab/>
      </w:r>
      <w:r>
        <w:rPr>
          <w:noProof/>
          <w:webHidden/>
        </w:rPr>
        <w:fldChar w:fldCharType="begin"/>
      </w:r>
      <w:r>
        <w:rPr>
          <w:noProof/>
          <w:webHidden/>
        </w:rPr>
        <w:instrText xml:space="preserve"> PAGEREF _Toc260220 \h </w:instrText>
      </w:r>
      <w:r>
        <w:rPr>
          <w:noProof/>
          <w:webHidden/>
        </w:rPr>
        <w:fldChar w:fldCharType="separate"/>
      </w:r>
      <w:r>
        <w:rPr>
          <w:noProof/>
          <w:webHidden/>
        </w:rPr>
        <w:t>40</w:t>
      </w:r>
      <w:r>
        <w:rPr>
          <w:noProof/>
          <w:webHidden/>
        </w:rPr>
        <w:fldChar w:fldCharType="end"/>
      </w:r>
      <w:r>
        <w:rPr/>
        <w:fldChar w:fldCharType="end"/>
      </w:r>
    </w:p>
    <w:p>
      <w:pPr>
        <w:pStyle w:val="style35"/>
        <w:tabs>
          <w:tab w:val="right" w:leader="dot" w:pos="9629"/>
        </w:tabs>
        <w:rPr>
          <w:rFonts w:ascii="Calibri" w:cs="宋体" w:eastAsia="宋体" w:hAnsi="Calibri"/>
          <w:noProof/>
          <w:lang w:eastAsia="fr-FR"/>
        </w:rPr>
      </w:pPr>
      <w:r>
        <w:rPr/>
        <w:fldChar w:fldCharType="begin"/>
      </w:r>
      <w:r>
        <w:instrText xml:space="preserve"> HYPERLINK \l "_Toc260221" </w:instrText>
      </w:r>
      <w:r>
        <w:rPr/>
        <w:fldChar w:fldCharType="separate"/>
      </w:r>
      <w:r>
        <w:rPr>
          <w:rStyle w:val="style85"/>
          <w:noProof/>
        </w:rPr>
        <w:t>Tableau 14</w:t>
      </w:r>
      <w:r>
        <w:rPr>
          <w:rStyle w:val="style85"/>
          <w:rFonts w:eastAsia="Calibri"/>
          <w:i/>
          <w:iCs/>
          <w:noProof/>
        </w:rPr>
        <w:t> : Définition des niveaux de dommage ou de gravité des dommage</w:t>
      </w:r>
      <w:r>
        <w:rPr>
          <w:rStyle w:val="style85"/>
          <w:rFonts w:eastAsia="Calibri"/>
          <w:i/>
          <w:iCs/>
          <w:noProof/>
        </w:rPr>
        <w:t>s</w:t>
      </w:r>
      <w:r>
        <w:rPr>
          <w:rStyle w:val="style85"/>
          <w:rFonts w:eastAsia="Calibri"/>
          <w:i/>
          <w:iCs/>
          <w:noProof/>
        </w:rPr>
        <w:t xml:space="preserve"> de l’APR</w:t>
      </w:r>
      <w:r>
        <w:rPr>
          <w:noProof/>
          <w:webHidden/>
        </w:rPr>
        <w:tab/>
      </w:r>
      <w:r>
        <w:rPr>
          <w:noProof/>
          <w:webHidden/>
        </w:rPr>
        <w:fldChar w:fldCharType="begin"/>
      </w:r>
      <w:r>
        <w:rPr>
          <w:noProof/>
          <w:webHidden/>
        </w:rPr>
        <w:instrText xml:space="preserve"> PAGEREF _Toc260221 \h </w:instrText>
      </w:r>
      <w:r>
        <w:rPr>
          <w:noProof/>
          <w:webHidden/>
        </w:rPr>
        <w:fldChar w:fldCharType="separate"/>
      </w:r>
      <w:r>
        <w:rPr>
          <w:noProof/>
          <w:webHidden/>
        </w:rPr>
        <w:t>42</w:t>
      </w:r>
      <w:r>
        <w:rPr>
          <w:noProof/>
          <w:webHidden/>
        </w:rPr>
        <w:fldChar w:fldCharType="end"/>
      </w:r>
      <w:r>
        <w:rPr/>
        <w:fldChar w:fldCharType="end"/>
      </w:r>
    </w:p>
    <w:p>
      <w:pPr>
        <w:pStyle w:val="style35"/>
        <w:tabs>
          <w:tab w:val="right" w:leader="dot" w:pos="9629"/>
        </w:tabs>
        <w:rPr>
          <w:rFonts w:ascii="Calibri" w:cs="宋体" w:eastAsia="宋体" w:hAnsi="Calibri"/>
          <w:noProof/>
          <w:lang w:eastAsia="fr-FR"/>
        </w:rPr>
      </w:pPr>
      <w:r>
        <w:rPr/>
        <w:fldChar w:fldCharType="begin"/>
      </w:r>
      <w:r>
        <w:instrText xml:space="preserve"> HYPERLINK \l "_Toc260222" </w:instrText>
      </w:r>
      <w:r>
        <w:rPr/>
        <w:fldChar w:fldCharType="separate"/>
      </w:r>
      <w:r>
        <w:rPr>
          <w:rStyle w:val="style85"/>
          <w:noProof/>
        </w:rPr>
        <w:t>Tableau 15</w:t>
      </w:r>
      <w:r>
        <w:rPr>
          <w:rStyle w:val="style85"/>
          <w:rFonts w:eastAsia="Calibri"/>
          <w:i/>
          <w:iCs/>
          <w:noProof/>
        </w:rPr>
        <w:t> : Tableau des intervalles de risque selon l’APR</w:t>
      </w:r>
      <w:r>
        <w:rPr>
          <w:noProof/>
          <w:webHidden/>
        </w:rPr>
        <w:tab/>
      </w:r>
      <w:r>
        <w:rPr>
          <w:noProof/>
          <w:webHidden/>
        </w:rPr>
        <w:fldChar w:fldCharType="begin"/>
      </w:r>
      <w:r>
        <w:rPr>
          <w:noProof/>
          <w:webHidden/>
        </w:rPr>
        <w:instrText xml:space="preserve"> PAGEREF _Toc260222 \h </w:instrText>
      </w:r>
      <w:r>
        <w:rPr>
          <w:noProof/>
          <w:webHidden/>
        </w:rPr>
        <w:fldChar w:fldCharType="separate"/>
      </w:r>
      <w:r>
        <w:rPr>
          <w:noProof/>
          <w:webHidden/>
        </w:rPr>
        <w:t>43</w:t>
      </w:r>
      <w:r>
        <w:rPr>
          <w:noProof/>
          <w:webHidden/>
        </w:rPr>
        <w:fldChar w:fldCharType="end"/>
      </w:r>
      <w:r>
        <w:rPr/>
        <w:fldChar w:fldCharType="end"/>
      </w:r>
    </w:p>
    <w:p>
      <w:pPr>
        <w:pStyle w:val="style35"/>
        <w:tabs>
          <w:tab w:val="right" w:leader="dot" w:pos="9629"/>
        </w:tabs>
        <w:rPr>
          <w:rFonts w:ascii="Calibri" w:cs="宋体" w:eastAsia="宋体" w:hAnsi="Calibri"/>
          <w:noProof/>
          <w:lang w:eastAsia="fr-FR"/>
        </w:rPr>
      </w:pPr>
      <w:r>
        <w:rPr/>
        <w:fldChar w:fldCharType="begin"/>
      </w:r>
      <w:r>
        <w:instrText xml:space="preserve"> HYPERLINK \l "_Toc260223" </w:instrText>
      </w:r>
      <w:r>
        <w:rPr/>
        <w:fldChar w:fldCharType="separate"/>
      </w:r>
      <w:r>
        <w:rPr>
          <w:rStyle w:val="style85"/>
          <w:noProof/>
        </w:rPr>
        <w:t xml:space="preserve">Tableau </w:t>
      </w:r>
      <w:r>
        <w:rPr>
          <w:rStyle w:val="style85"/>
          <w:noProof/>
        </w:rPr>
        <w:t>1</w:t>
      </w:r>
      <w:r>
        <w:rPr>
          <w:rStyle w:val="style85"/>
          <w:noProof/>
        </w:rPr>
        <w:t>6</w:t>
      </w:r>
      <w:r>
        <w:rPr>
          <w:rStyle w:val="style85"/>
          <w:rFonts w:eastAsia="Calibri"/>
          <w:i/>
          <w:iCs/>
          <w:noProof/>
        </w:rPr>
        <w:t> </w:t>
      </w:r>
      <w:r>
        <w:rPr>
          <w:rStyle w:val="style85"/>
          <w:rFonts w:eastAsia="Calibri"/>
          <w:i/>
          <w:iCs/>
          <w:noProof/>
        </w:rPr>
        <w:t>:Evaluation des risques liés à l’utilisation et la gestion des pesticides</w:t>
      </w:r>
      <w:r>
        <w:rPr>
          <w:noProof/>
          <w:webHidden/>
        </w:rPr>
        <w:tab/>
      </w:r>
      <w:r>
        <w:rPr>
          <w:noProof/>
          <w:webHidden/>
        </w:rPr>
        <w:fldChar w:fldCharType="begin"/>
      </w:r>
      <w:r>
        <w:rPr>
          <w:noProof/>
          <w:webHidden/>
        </w:rPr>
        <w:instrText xml:space="preserve"> PAGEREF _Toc260223 \h </w:instrText>
      </w:r>
      <w:r>
        <w:rPr>
          <w:noProof/>
          <w:webHidden/>
        </w:rPr>
        <w:fldChar w:fldCharType="separate"/>
      </w:r>
      <w:r>
        <w:rPr>
          <w:noProof/>
          <w:webHidden/>
        </w:rPr>
        <w:t>45</w:t>
      </w:r>
      <w:r>
        <w:rPr>
          <w:noProof/>
          <w:webHidden/>
        </w:rPr>
        <w:fldChar w:fldCharType="end"/>
      </w:r>
      <w:r>
        <w:rPr/>
        <w:fldChar w:fldCharType="end"/>
      </w:r>
    </w:p>
    <w:p>
      <w:pPr>
        <w:pStyle w:val="style35"/>
        <w:tabs>
          <w:tab w:val="right" w:leader="dot" w:pos="9629"/>
        </w:tabs>
        <w:rPr>
          <w:rFonts w:ascii="Calibri" w:cs="宋体" w:eastAsia="宋体" w:hAnsi="Calibri"/>
          <w:noProof/>
          <w:lang w:eastAsia="fr-FR"/>
        </w:rPr>
      </w:pPr>
      <w:r>
        <w:rPr/>
        <w:fldChar w:fldCharType="begin"/>
      </w:r>
      <w:r>
        <w:instrText xml:space="preserve"> HYPERLINK \l "_Toc260224" </w:instrText>
      </w:r>
      <w:r>
        <w:rPr/>
        <w:fldChar w:fldCharType="separate"/>
      </w:r>
      <w:r>
        <w:rPr>
          <w:rStyle w:val="style85"/>
          <w:noProof/>
        </w:rPr>
        <w:t xml:space="preserve">Tableau </w:t>
      </w:r>
      <w:r>
        <w:rPr>
          <w:rStyle w:val="style85"/>
          <w:noProof/>
        </w:rPr>
        <w:t>1</w:t>
      </w:r>
      <w:r>
        <w:rPr>
          <w:rStyle w:val="style85"/>
          <w:noProof/>
        </w:rPr>
        <w:t>7</w:t>
      </w:r>
      <w:r>
        <w:rPr>
          <w:rStyle w:val="style85"/>
          <w:rFonts w:eastAsia="Calibri"/>
          <w:i/>
          <w:iCs/>
          <w:noProof/>
        </w:rPr>
        <w:t> </w:t>
      </w:r>
      <w:r>
        <w:rPr>
          <w:rStyle w:val="style85"/>
          <w:rFonts w:eastAsia="Calibri"/>
          <w:i/>
          <w:iCs/>
          <w:noProof/>
        </w:rPr>
        <w:t>:Principaux risques liés à la gestion des pesticides et mesures d’atténuations</w:t>
      </w:r>
      <w:r>
        <w:rPr>
          <w:noProof/>
          <w:webHidden/>
        </w:rPr>
        <w:tab/>
      </w:r>
      <w:r>
        <w:rPr>
          <w:noProof/>
          <w:webHidden/>
        </w:rPr>
        <w:fldChar w:fldCharType="begin"/>
      </w:r>
      <w:r>
        <w:rPr>
          <w:noProof/>
          <w:webHidden/>
        </w:rPr>
        <w:instrText xml:space="preserve"> PAGEREF _Toc260224 \h </w:instrText>
      </w:r>
      <w:r>
        <w:rPr>
          <w:noProof/>
          <w:webHidden/>
        </w:rPr>
        <w:fldChar w:fldCharType="separate"/>
      </w:r>
      <w:r>
        <w:rPr>
          <w:noProof/>
          <w:webHidden/>
        </w:rPr>
        <w:t>46</w:t>
      </w:r>
      <w:r>
        <w:rPr>
          <w:noProof/>
          <w:webHidden/>
        </w:rPr>
        <w:fldChar w:fldCharType="end"/>
      </w:r>
      <w:r>
        <w:rPr/>
        <w:fldChar w:fldCharType="end"/>
      </w:r>
    </w:p>
    <w:p>
      <w:pPr>
        <w:pStyle w:val="style35"/>
        <w:tabs>
          <w:tab w:val="right" w:leader="dot" w:pos="9629"/>
        </w:tabs>
        <w:rPr>
          <w:rFonts w:ascii="Calibri" w:cs="宋体" w:eastAsia="宋体" w:hAnsi="Calibri"/>
          <w:noProof/>
          <w:lang w:eastAsia="fr-FR"/>
        </w:rPr>
      </w:pPr>
      <w:r>
        <w:rPr/>
        <w:fldChar w:fldCharType="begin"/>
      </w:r>
      <w:r>
        <w:instrText xml:space="preserve"> HYPERLINK \l "_Toc260225" </w:instrText>
      </w:r>
      <w:r>
        <w:rPr/>
        <w:fldChar w:fldCharType="separate"/>
      </w:r>
      <w:r>
        <w:rPr>
          <w:rStyle w:val="style85"/>
          <w:noProof/>
        </w:rPr>
        <w:t>Tableau 18</w:t>
      </w:r>
      <w:r>
        <w:rPr>
          <w:rStyle w:val="style85"/>
          <w:rFonts w:eastAsia="Calibri"/>
          <w:i/>
          <w:iCs/>
          <w:noProof/>
        </w:rPr>
        <w:t> :Exemples de méthodes de lutte contre des maladies du manguier</w:t>
      </w:r>
      <w:r>
        <w:rPr>
          <w:noProof/>
          <w:webHidden/>
        </w:rPr>
        <w:tab/>
      </w:r>
      <w:r>
        <w:rPr>
          <w:noProof/>
          <w:webHidden/>
        </w:rPr>
        <w:fldChar w:fldCharType="begin"/>
      </w:r>
      <w:r>
        <w:rPr>
          <w:noProof/>
          <w:webHidden/>
        </w:rPr>
        <w:instrText xml:space="preserve"> PAGEREF _Toc260225 \h </w:instrText>
      </w:r>
      <w:r>
        <w:rPr>
          <w:noProof/>
          <w:webHidden/>
        </w:rPr>
        <w:fldChar w:fldCharType="separate"/>
      </w:r>
      <w:r>
        <w:rPr>
          <w:noProof/>
          <w:webHidden/>
        </w:rPr>
        <w:t>63</w:t>
      </w:r>
      <w:r>
        <w:rPr>
          <w:noProof/>
          <w:webHidden/>
        </w:rPr>
        <w:fldChar w:fldCharType="end"/>
      </w:r>
      <w:r>
        <w:rPr/>
        <w:fldChar w:fldCharType="end"/>
      </w:r>
    </w:p>
    <w:p>
      <w:pPr>
        <w:pStyle w:val="style35"/>
        <w:tabs>
          <w:tab w:val="right" w:leader="dot" w:pos="9629"/>
        </w:tabs>
        <w:rPr>
          <w:rFonts w:ascii="Calibri" w:cs="宋体" w:eastAsia="宋体" w:hAnsi="Calibri"/>
          <w:noProof/>
          <w:lang w:eastAsia="fr-FR"/>
        </w:rPr>
      </w:pPr>
      <w:r>
        <w:rPr/>
        <w:fldChar w:fldCharType="begin"/>
      </w:r>
      <w:r>
        <w:instrText xml:space="preserve"> HYPERLINK \l "_Toc260226" </w:instrText>
      </w:r>
      <w:r>
        <w:rPr/>
        <w:fldChar w:fldCharType="separate"/>
      </w:r>
      <w:r>
        <w:rPr>
          <w:rStyle w:val="style85"/>
          <w:noProof/>
        </w:rPr>
        <w:t>Tableau 19</w:t>
      </w:r>
      <w:r>
        <w:rPr>
          <w:rStyle w:val="style85"/>
          <w:rFonts w:eastAsia="Calibri"/>
          <w:i/>
          <w:iCs/>
          <w:noProof/>
        </w:rPr>
        <w:t> :Exemple de méthodes de lutte contre des maladies de l’oignon</w:t>
      </w:r>
      <w:r>
        <w:rPr>
          <w:noProof/>
          <w:webHidden/>
        </w:rPr>
        <w:tab/>
      </w:r>
      <w:r>
        <w:rPr>
          <w:noProof/>
          <w:webHidden/>
        </w:rPr>
        <w:fldChar w:fldCharType="begin"/>
      </w:r>
      <w:r>
        <w:rPr>
          <w:noProof/>
          <w:webHidden/>
        </w:rPr>
        <w:instrText xml:space="preserve"> PAGEREF _Toc260226 \h </w:instrText>
      </w:r>
      <w:r>
        <w:rPr>
          <w:noProof/>
          <w:webHidden/>
        </w:rPr>
        <w:fldChar w:fldCharType="separate"/>
      </w:r>
      <w:r>
        <w:rPr>
          <w:noProof/>
          <w:webHidden/>
        </w:rPr>
        <w:t>63</w:t>
      </w:r>
      <w:r>
        <w:rPr>
          <w:noProof/>
          <w:webHidden/>
        </w:rPr>
        <w:fldChar w:fldCharType="end"/>
      </w:r>
      <w:r>
        <w:rPr/>
        <w:fldChar w:fldCharType="end"/>
      </w:r>
    </w:p>
    <w:p>
      <w:pPr>
        <w:pStyle w:val="style35"/>
        <w:tabs>
          <w:tab w:val="right" w:leader="dot" w:pos="9629"/>
        </w:tabs>
        <w:rPr>
          <w:rFonts w:ascii="Calibri" w:cs="宋体" w:eastAsia="宋体" w:hAnsi="Calibri"/>
          <w:noProof/>
          <w:lang w:eastAsia="fr-FR"/>
        </w:rPr>
      </w:pPr>
      <w:r>
        <w:rPr/>
        <w:fldChar w:fldCharType="begin"/>
      </w:r>
      <w:r>
        <w:instrText xml:space="preserve"> HYPERLINK \l "_Toc260227" </w:instrText>
      </w:r>
      <w:r>
        <w:rPr/>
        <w:fldChar w:fldCharType="separate"/>
      </w:r>
      <w:r>
        <w:rPr>
          <w:rStyle w:val="style85"/>
          <w:noProof/>
        </w:rPr>
        <w:t>Tableau 20</w:t>
      </w:r>
      <w:r>
        <w:rPr>
          <w:rStyle w:val="style85"/>
          <w:rFonts w:eastAsia="Calibri"/>
          <w:i/>
          <w:iCs/>
          <w:noProof/>
        </w:rPr>
        <w:t> :Programme de mesures d’atténuation, de suppression, de mitigation, de compensation des impacts et des risques potentiels</w:t>
      </w:r>
      <w:r>
        <w:rPr>
          <w:noProof/>
          <w:webHidden/>
        </w:rPr>
        <w:tab/>
      </w:r>
      <w:r>
        <w:rPr>
          <w:noProof/>
          <w:webHidden/>
        </w:rPr>
        <w:fldChar w:fldCharType="begin"/>
      </w:r>
      <w:r>
        <w:rPr>
          <w:noProof/>
          <w:webHidden/>
        </w:rPr>
        <w:instrText xml:space="preserve"> PAGEREF _Toc260227 \h </w:instrText>
      </w:r>
      <w:r>
        <w:rPr>
          <w:noProof/>
          <w:webHidden/>
        </w:rPr>
        <w:fldChar w:fldCharType="separate"/>
      </w:r>
      <w:r>
        <w:rPr>
          <w:noProof/>
          <w:webHidden/>
        </w:rPr>
        <w:t>67</w:t>
      </w:r>
      <w:r>
        <w:rPr>
          <w:noProof/>
          <w:webHidden/>
        </w:rPr>
        <w:fldChar w:fldCharType="end"/>
      </w:r>
      <w:r>
        <w:rPr/>
        <w:fldChar w:fldCharType="end"/>
      </w:r>
    </w:p>
    <w:p>
      <w:pPr>
        <w:pStyle w:val="style35"/>
        <w:tabs>
          <w:tab w:val="right" w:leader="dot" w:pos="9629"/>
        </w:tabs>
        <w:rPr>
          <w:rFonts w:ascii="Calibri" w:cs="宋体" w:eastAsia="宋体" w:hAnsi="Calibri"/>
          <w:noProof/>
          <w:lang w:eastAsia="fr-FR"/>
        </w:rPr>
      </w:pPr>
      <w:r>
        <w:rPr/>
        <w:fldChar w:fldCharType="begin"/>
      </w:r>
      <w:r>
        <w:instrText xml:space="preserve"> HYPERLINK \l "_Toc260228" </w:instrText>
      </w:r>
      <w:r>
        <w:rPr/>
        <w:fldChar w:fldCharType="separate"/>
      </w:r>
      <w:r>
        <w:rPr>
          <w:rStyle w:val="style85"/>
          <w:noProof/>
        </w:rPr>
        <w:t>Tableau 21</w:t>
      </w:r>
      <w:r>
        <w:rPr>
          <w:rStyle w:val="style85"/>
          <w:rFonts w:eastAsia="Calibri"/>
          <w:i/>
          <w:iCs/>
          <w:noProof/>
        </w:rPr>
        <w:t> :Mesures de surveillance à mettre en œuvre dans le cadre du PDCA</w:t>
      </w:r>
      <w:r>
        <w:rPr>
          <w:noProof/>
          <w:webHidden/>
        </w:rPr>
        <w:tab/>
      </w:r>
      <w:r>
        <w:rPr>
          <w:noProof/>
          <w:webHidden/>
        </w:rPr>
        <w:fldChar w:fldCharType="begin"/>
      </w:r>
      <w:r>
        <w:rPr>
          <w:noProof/>
          <w:webHidden/>
        </w:rPr>
        <w:instrText xml:space="preserve"> PAGEREF _Toc260228 \h </w:instrText>
      </w:r>
      <w:r>
        <w:rPr>
          <w:noProof/>
          <w:webHidden/>
        </w:rPr>
        <w:fldChar w:fldCharType="separate"/>
      </w:r>
      <w:r>
        <w:rPr>
          <w:noProof/>
          <w:webHidden/>
        </w:rPr>
        <w:t>69</w:t>
      </w:r>
      <w:r>
        <w:rPr>
          <w:noProof/>
          <w:webHidden/>
        </w:rPr>
        <w:fldChar w:fldCharType="end"/>
      </w:r>
      <w:r>
        <w:rPr/>
        <w:fldChar w:fldCharType="end"/>
      </w:r>
    </w:p>
    <w:p>
      <w:pPr>
        <w:pStyle w:val="style35"/>
        <w:tabs>
          <w:tab w:val="right" w:leader="dot" w:pos="9629"/>
        </w:tabs>
        <w:rPr>
          <w:rFonts w:ascii="Calibri" w:cs="宋体" w:eastAsia="宋体" w:hAnsi="Calibri"/>
          <w:noProof/>
          <w:lang w:eastAsia="fr-FR"/>
        </w:rPr>
      </w:pPr>
      <w:r>
        <w:rPr/>
        <w:fldChar w:fldCharType="begin"/>
      </w:r>
      <w:r>
        <w:instrText xml:space="preserve"> HYPERLINK \l "_Toc260229" </w:instrText>
      </w:r>
      <w:r>
        <w:rPr/>
        <w:fldChar w:fldCharType="separate"/>
      </w:r>
      <w:r>
        <w:rPr>
          <w:rStyle w:val="style85"/>
          <w:noProof/>
        </w:rPr>
        <w:t>Tableau 22</w:t>
      </w:r>
      <w:r>
        <w:rPr>
          <w:rStyle w:val="style85"/>
          <w:rFonts w:eastAsia="Calibri"/>
          <w:i/>
          <w:iCs/>
          <w:noProof/>
        </w:rPr>
        <w:t> :Proposition de collaboration entre le PDCA et d’autre partenaires</w:t>
      </w:r>
      <w:r>
        <w:rPr>
          <w:noProof/>
          <w:webHidden/>
        </w:rPr>
        <w:tab/>
      </w:r>
      <w:r>
        <w:rPr>
          <w:noProof/>
          <w:webHidden/>
        </w:rPr>
        <w:fldChar w:fldCharType="begin"/>
      </w:r>
      <w:r>
        <w:rPr>
          <w:noProof/>
          <w:webHidden/>
        </w:rPr>
        <w:instrText xml:space="preserve"> PAGEREF _Toc260229 \h </w:instrText>
      </w:r>
      <w:r>
        <w:rPr>
          <w:noProof/>
          <w:webHidden/>
        </w:rPr>
        <w:fldChar w:fldCharType="separate"/>
      </w:r>
      <w:r>
        <w:rPr>
          <w:noProof/>
          <w:webHidden/>
        </w:rPr>
        <w:t>73</w:t>
      </w:r>
      <w:r>
        <w:rPr>
          <w:noProof/>
          <w:webHidden/>
        </w:rPr>
        <w:fldChar w:fldCharType="end"/>
      </w:r>
      <w:r>
        <w:rPr/>
        <w:fldChar w:fldCharType="end"/>
      </w:r>
    </w:p>
    <w:p>
      <w:pPr>
        <w:pStyle w:val="style35"/>
        <w:tabs>
          <w:tab w:val="right" w:leader="dot" w:pos="9629"/>
        </w:tabs>
        <w:rPr>
          <w:rFonts w:ascii="Calibri" w:cs="宋体" w:eastAsia="宋体" w:hAnsi="Calibri"/>
          <w:noProof/>
          <w:lang w:eastAsia="fr-FR"/>
        </w:rPr>
      </w:pPr>
      <w:r>
        <w:rPr/>
        <w:fldChar w:fldCharType="begin"/>
      </w:r>
      <w:r>
        <w:instrText xml:space="preserve"> HYPERLINK \l "_Toc260230" </w:instrText>
      </w:r>
      <w:r>
        <w:rPr/>
        <w:fldChar w:fldCharType="separate"/>
      </w:r>
      <w:r>
        <w:rPr>
          <w:rStyle w:val="style85"/>
          <w:noProof/>
        </w:rPr>
        <w:t>Tableau 23</w:t>
      </w:r>
      <w:r>
        <w:rPr>
          <w:rStyle w:val="style85"/>
          <w:rFonts w:eastAsia="Calibri"/>
          <w:i/>
          <w:iCs/>
          <w:noProof/>
        </w:rPr>
        <w:t> :Programme de la mise en œuvre des activités</w:t>
      </w:r>
      <w:r>
        <w:rPr>
          <w:noProof/>
          <w:webHidden/>
        </w:rPr>
        <w:tab/>
      </w:r>
      <w:r>
        <w:rPr>
          <w:noProof/>
          <w:webHidden/>
        </w:rPr>
        <w:fldChar w:fldCharType="begin"/>
      </w:r>
      <w:r>
        <w:rPr>
          <w:noProof/>
          <w:webHidden/>
        </w:rPr>
        <w:instrText xml:space="preserve"> PAGEREF _Toc260230 \h </w:instrText>
      </w:r>
      <w:r>
        <w:rPr>
          <w:noProof/>
          <w:webHidden/>
        </w:rPr>
        <w:fldChar w:fldCharType="separate"/>
      </w:r>
      <w:r>
        <w:rPr>
          <w:noProof/>
          <w:webHidden/>
        </w:rPr>
        <w:t>75</w:t>
      </w:r>
      <w:r>
        <w:rPr>
          <w:noProof/>
          <w:webHidden/>
        </w:rPr>
        <w:fldChar w:fldCharType="end"/>
      </w:r>
      <w:r>
        <w:rPr/>
        <w:fldChar w:fldCharType="end"/>
      </w:r>
    </w:p>
    <w:p>
      <w:pPr>
        <w:pStyle w:val="style35"/>
        <w:tabs>
          <w:tab w:val="right" w:leader="dot" w:pos="9629"/>
        </w:tabs>
        <w:rPr>
          <w:rFonts w:ascii="Calibri" w:cs="宋体" w:eastAsia="宋体" w:hAnsi="Calibri"/>
          <w:noProof/>
          <w:lang w:eastAsia="fr-FR"/>
        </w:rPr>
      </w:pPr>
      <w:r>
        <w:rPr/>
        <w:fldChar w:fldCharType="begin"/>
      </w:r>
      <w:r>
        <w:instrText xml:space="preserve"> HYPERLINK \l "_Toc260231" </w:instrText>
      </w:r>
      <w:r>
        <w:rPr/>
        <w:fldChar w:fldCharType="separate"/>
      </w:r>
      <w:r>
        <w:rPr>
          <w:rStyle w:val="style85"/>
          <w:noProof/>
        </w:rPr>
        <w:t>Tableau 24</w:t>
      </w:r>
      <w:r>
        <w:rPr>
          <w:rStyle w:val="style85"/>
          <w:rFonts w:eastAsia="Calibri"/>
          <w:i/>
          <w:iCs/>
          <w:noProof/>
        </w:rPr>
        <w:t> :Budget prévisionnel du coût estimatif de mise en œuvre du MGIP</w:t>
      </w:r>
      <w:r>
        <w:rPr>
          <w:noProof/>
          <w:webHidden/>
        </w:rPr>
        <w:tab/>
      </w:r>
      <w:r>
        <w:rPr>
          <w:noProof/>
          <w:webHidden/>
        </w:rPr>
        <w:fldChar w:fldCharType="begin"/>
      </w:r>
      <w:r>
        <w:rPr>
          <w:noProof/>
          <w:webHidden/>
        </w:rPr>
        <w:instrText xml:space="preserve"> PAGEREF _Toc260231 \h </w:instrText>
      </w:r>
      <w:r>
        <w:rPr>
          <w:noProof/>
          <w:webHidden/>
        </w:rPr>
        <w:fldChar w:fldCharType="separate"/>
      </w:r>
      <w:r>
        <w:rPr>
          <w:noProof/>
          <w:webHidden/>
        </w:rPr>
        <w:t>78</w:t>
      </w:r>
      <w:r>
        <w:rPr>
          <w:noProof/>
          <w:webHidden/>
        </w:rPr>
        <w:fldChar w:fldCharType="end"/>
      </w:r>
      <w:r>
        <w:rPr/>
        <w:fldChar w:fldCharType="end"/>
      </w:r>
    </w:p>
    <w:p>
      <w:pPr>
        <w:pStyle w:val="style0"/>
        <w:rPr>
          <w:b/>
        </w:rPr>
      </w:pPr>
      <w:r>
        <w:rPr>
          <w:b/>
        </w:rPr>
        <w:fldChar w:fldCharType="end"/>
      </w: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sz w:val="22"/>
          <w:szCs w:val="22"/>
        </w:rPr>
      </w:pPr>
      <w:r>
        <w:rPr>
          <w:b/>
          <w:sz w:val="22"/>
          <w:szCs w:val="22"/>
        </w:rPr>
        <w:t xml:space="preserve">LISTE DES </w:t>
      </w:r>
      <w:r>
        <w:rPr>
          <w:b/>
          <w:sz w:val="22"/>
          <w:szCs w:val="22"/>
        </w:rPr>
        <w:t>CARTES</w:t>
      </w:r>
      <w:r>
        <w:rPr>
          <w:b/>
          <w:sz w:val="22"/>
          <w:szCs w:val="22"/>
        </w:rPr>
        <w:t xml:space="preserve"> </w:t>
      </w:r>
    </w:p>
    <w:p>
      <w:pPr>
        <w:pStyle w:val="style0"/>
        <w:spacing w:lineRule="auto" w:line="276"/>
        <w:rPr>
          <w:sz w:val="23"/>
          <w:szCs w:val="23"/>
        </w:rPr>
      </w:pPr>
      <w:r>
        <w:rPr>
          <w:sz w:val="23"/>
          <w:szCs w:val="23"/>
        </w:rPr>
        <w:t xml:space="preserve">Carte 1 : Zones d’implantation du </w:t>
      </w:r>
      <w:r>
        <w:rPr>
          <w:sz w:val="23"/>
          <w:szCs w:val="23"/>
        </w:rPr>
        <w:t>programme</w:t>
      </w:r>
    </w:p>
    <w:p>
      <w:pPr>
        <w:pStyle w:val="style0"/>
        <w:rPr>
          <w:b/>
          <w:sz w:val="22"/>
          <w:szCs w:val="22"/>
        </w:rPr>
      </w:pPr>
    </w:p>
    <w:p>
      <w:pPr>
        <w:pStyle w:val="style0"/>
        <w:rPr>
          <w:b/>
          <w:sz w:val="22"/>
          <w:szCs w:val="22"/>
        </w:rPr>
      </w:pPr>
    </w:p>
    <w:p>
      <w:pPr>
        <w:pStyle w:val="style0"/>
        <w:rPr>
          <w:b/>
          <w:sz w:val="22"/>
          <w:szCs w:val="22"/>
        </w:rPr>
      </w:pPr>
    </w:p>
    <w:bookmarkStart w:id="5" w:name="_Toc2831169"/>
    <w:p>
      <w:pPr>
        <w:pStyle w:val="style1"/>
        <w:numPr>
          <w:ilvl w:val="0"/>
          <w:numId w:val="0"/>
        </w:numPr>
        <w:rPr/>
      </w:pPr>
      <w:r>
        <w:t>LISTE DES PHOTOS</w:t>
      </w:r>
      <w:bookmarkEnd w:id="5"/>
    </w:p>
    <w:p>
      <w:pPr>
        <w:pStyle w:val="style179"/>
        <w:numPr>
          <w:ilvl w:val="0"/>
          <w:numId w:val="83"/>
        </w:numPr>
        <w:rPr>
          <w:rFonts w:cs="Arial"/>
          <w:bCs/>
        </w:rPr>
      </w:pPr>
      <w:r>
        <w:rPr>
          <w:rFonts w:cs="Arial"/>
          <w:bCs/>
        </w:rPr>
        <w:t>Photo 1</w:t>
      </w:r>
      <w:r>
        <w:rPr>
          <w:rFonts w:cs="Arial"/>
          <w:bCs/>
        </w:rPr>
        <w:t xml:space="preserve"> </w:t>
      </w:r>
      <w:r>
        <w:rPr>
          <w:rFonts w:cs="Arial"/>
          <w:bCs/>
        </w:rPr>
        <w:t xml:space="preserve">: Mouche de tiges de riz          </w:t>
      </w:r>
    </w:p>
    <w:p>
      <w:pPr>
        <w:pStyle w:val="style179"/>
        <w:numPr>
          <w:ilvl w:val="0"/>
          <w:numId w:val="83"/>
        </w:numPr>
        <w:rPr>
          <w:rFonts w:cs="Arial"/>
          <w:bCs/>
        </w:rPr>
      </w:pPr>
      <w:r>
        <w:rPr>
          <w:rFonts w:cs="Arial"/>
          <w:bCs/>
        </w:rPr>
        <w:t xml:space="preserve">Photo 2 : Pyriculariose foliaire (variante) du riz                </w:t>
      </w:r>
    </w:p>
    <w:p>
      <w:pPr>
        <w:pStyle w:val="style179"/>
        <w:numPr>
          <w:ilvl w:val="0"/>
          <w:numId w:val="83"/>
        </w:numPr>
        <w:rPr>
          <w:rFonts w:cs="Arial"/>
          <w:bCs/>
        </w:rPr>
      </w:pPr>
      <w:r>
        <w:rPr>
          <w:rFonts w:cs="Arial"/>
          <w:bCs/>
        </w:rPr>
        <w:t>Photo 3 : Mosaïque jaune du riz</w:t>
      </w:r>
    </w:p>
    <w:p>
      <w:pPr>
        <w:pStyle w:val="style179"/>
        <w:numPr>
          <w:ilvl w:val="0"/>
          <w:numId w:val="83"/>
        </w:numPr>
        <w:rPr>
          <w:rFonts w:cs="Arial"/>
          <w:bCs/>
        </w:rPr>
      </w:pPr>
      <w:r>
        <w:t>Photo 4 :</w:t>
      </w:r>
      <w:r>
        <w:rPr>
          <w:i/>
        </w:rPr>
        <w:t>  Antigastra catalaunalis</w:t>
      </w:r>
      <w:r>
        <w:t xml:space="preserve"> (larve et adulte) (Sesame)</w:t>
      </w:r>
    </w:p>
    <w:p>
      <w:pPr>
        <w:pStyle w:val="style179"/>
        <w:numPr>
          <w:ilvl w:val="0"/>
          <w:numId w:val="83"/>
        </w:numPr>
        <w:rPr/>
      </w:pPr>
      <w:r>
        <w:t>Photo 5 : Parcelle d’oignon à Dourou, Janvier 2019</w:t>
      </w:r>
    </w:p>
    <w:p>
      <w:pPr>
        <w:pStyle w:val="style179"/>
        <w:numPr>
          <w:ilvl w:val="0"/>
          <w:numId w:val="83"/>
        </w:numPr>
        <w:rPr/>
      </w:pPr>
      <w:r>
        <w:t>Photo 6</w:t>
      </w:r>
      <w:r>
        <w:t xml:space="preserve"> </w:t>
      </w:r>
      <w:r>
        <w:t>: Parcelle de culture de Banane Dourou, Janvier 2019</w:t>
      </w:r>
    </w:p>
    <w:p>
      <w:pPr>
        <w:pStyle w:val="style179"/>
        <w:numPr>
          <w:ilvl w:val="0"/>
          <w:numId w:val="83"/>
        </w:numPr>
        <w:rPr/>
      </w:pPr>
      <w:r>
        <w:t>Photo 7 : Vue d’une boutique de vente de pesticides homologués (Yako)</w:t>
      </w:r>
    </w:p>
    <w:p>
      <w:pPr>
        <w:pStyle w:val="style179"/>
        <w:numPr>
          <w:ilvl w:val="0"/>
          <w:numId w:val="83"/>
        </w:numPr>
        <w:rPr/>
      </w:pPr>
      <w:r>
        <w:t>Photo 8 : Vue d’une boutique de vente de pesticides non homologués (Yako)</w:t>
      </w:r>
    </w:p>
    <w:p>
      <w:pPr>
        <w:pStyle w:val="style179"/>
        <w:numPr>
          <w:ilvl w:val="0"/>
          <w:numId w:val="83"/>
        </w:numPr>
        <w:rPr/>
      </w:pPr>
      <w:r>
        <w:t>Photo 9 : Site aménagé de Banzon</w:t>
      </w:r>
    </w:p>
    <w:p>
      <w:pPr>
        <w:pStyle w:val="style179"/>
        <w:numPr>
          <w:ilvl w:val="0"/>
          <w:numId w:val="83"/>
        </w:numPr>
        <w:rPr/>
      </w:pPr>
      <w:r>
        <w:t>Photo 10 : Un puits pour l’irrigation d’oignon prêt du champ sans protection</w:t>
      </w:r>
    </w:p>
    <w:p>
      <w:pPr>
        <w:pStyle w:val="style179"/>
        <w:numPr>
          <w:ilvl w:val="0"/>
          <w:numId w:val="83"/>
        </w:numPr>
        <w:rPr/>
      </w:pPr>
      <w:r>
        <w:t>Photo 11 : Consultation publique à Banzon, Janvier 2019</w:t>
      </w:r>
    </w:p>
    <w:p>
      <w:pPr>
        <w:pStyle w:val="style179"/>
        <w:numPr>
          <w:ilvl w:val="0"/>
          <w:numId w:val="83"/>
        </w:numPr>
        <w:rPr/>
      </w:pPr>
      <w:r>
        <w:t>Photo 12 : Consultation publique à Dankoumana, Janvier 2019</w:t>
      </w:r>
    </w:p>
    <w:p>
      <w:pPr>
        <w:pStyle w:val="style179"/>
        <w:numPr>
          <w:ilvl w:val="0"/>
          <w:numId w:val="83"/>
        </w:numPr>
        <w:rPr/>
      </w:pPr>
      <w:r>
        <w:t>Photo 13 : Consultation publique à Douna, Janvier 2019</w:t>
      </w:r>
    </w:p>
    <w:p>
      <w:pPr>
        <w:pStyle w:val="style179"/>
        <w:numPr>
          <w:ilvl w:val="0"/>
          <w:numId w:val="83"/>
        </w:numPr>
        <w:rPr/>
      </w:pPr>
      <w:r>
        <w:t>Photo 14 : Consultation publique à Oulo, Janvier 2019</w:t>
      </w:r>
    </w:p>
    <w:p>
      <w:pPr>
        <w:pStyle w:val="style0"/>
        <w:rPr>
          <w:b/>
          <w:sz w:val="22"/>
          <w:szCs w:val="22"/>
        </w:rPr>
      </w:pPr>
    </w:p>
    <w:p>
      <w:pPr>
        <w:pStyle w:val="style0"/>
        <w:rPr>
          <w:b/>
          <w:sz w:val="22"/>
          <w:szCs w:val="22"/>
        </w:rPr>
      </w:pPr>
    </w:p>
    <w:p>
      <w:pPr>
        <w:pStyle w:val="style0"/>
        <w:numPr>
          <w:ilvl w:val="0"/>
          <w:numId w:val="83"/>
        </w:numPr>
        <w:ind w:left="360"/>
        <w:rPr>
          <w:b/>
          <w:sz w:val="22"/>
          <w:szCs w:val="22"/>
        </w:rPr>
      </w:pPr>
      <w:r>
        <w:rPr>
          <w:b/>
          <w:sz w:val="22"/>
          <w:szCs w:val="22"/>
        </w:rPr>
        <w:t>LISTE DES ANNEXES</w:t>
      </w:r>
    </w:p>
    <w:p>
      <w:pPr>
        <w:pStyle w:val="style0"/>
        <w:rPr>
          <w:rFonts w:ascii="Calibri" w:cs="宋体" w:eastAsia="宋体" w:hAnsi="Calibri"/>
          <w:b/>
          <w:iCs/>
          <w:smallCaps/>
          <w:noProof/>
          <w:color w:val="000000"/>
          <w:lang w:eastAsia="fr-FR"/>
        </w:rPr>
      </w:pPr>
      <w:r>
        <w:rPr/>
        <w:fldChar w:fldCharType="begin"/>
      </w:r>
      <w:r>
        <w:instrText xml:space="preserve"> HYPERLINK \l "_Toc1843628" </w:instrText>
      </w:r>
      <w:r>
        <w:rPr/>
        <w:fldChar w:fldCharType="separate"/>
      </w:r>
      <w:r>
        <w:rPr>
          <w:rStyle w:val="style85"/>
          <w:noProof/>
          <w:color w:val="000000"/>
          <w:u w:val="none"/>
        </w:rPr>
        <w:t>Annexe 1 : Liste des pesticides approuvés pour l’importation et l’utilisation dans le pays</w:t>
      </w:r>
      <w:r>
        <w:rPr>
          <w:rStyle w:val="style85"/>
          <w:noProof/>
          <w:color w:val="000000"/>
          <w:u w:val="none"/>
        </w:rPr>
        <w:t xml:space="preserve"> ……….</w:t>
      </w:r>
      <w:r>
        <w:rPr>
          <w:noProof/>
          <w:webHidden/>
          <w:color w:val="000000"/>
        </w:rPr>
        <w:tab/>
      </w:r>
      <w:r>
        <w:rPr>
          <w:noProof/>
          <w:webHidden/>
          <w:color w:val="000000"/>
        </w:rPr>
        <w:fldChar w:fldCharType="begin"/>
      </w:r>
      <w:r>
        <w:rPr>
          <w:noProof/>
          <w:webHidden/>
          <w:color w:val="000000"/>
        </w:rPr>
        <w:instrText xml:space="preserve"> PAGEREF _Toc1843628 \h </w:instrText>
      </w:r>
      <w:r>
        <w:rPr>
          <w:webHidden/>
          <w:color w:val="000000"/>
        </w:rPr>
        <w:fldChar w:fldCharType="separate"/>
      </w:r>
      <w:r>
        <w:rPr>
          <w:noProof/>
          <w:webHidden/>
          <w:color w:val="000000"/>
        </w:rPr>
        <w:t>92</w:t>
      </w:r>
      <w:r>
        <w:rPr>
          <w:noProof/>
          <w:webHidden/>
          <w:color w:val="000000"/>
        </w:rPr>
        <w:fldChar w:fldCharType="end"/>
      </w:r>
      <w:r>
        <w:rPr/>
        <w:fldChar w:fldCharType="end"/>
      </w:r>
    </w:p>
    <w:p>
      <w:pPr>
        <w:pStyle w:val="style0"/>
        <w:rPr>
          <w:rFonts w:ascii="Calibri" w:cs="宋体" w:eastAsia="宋体" w:hAnsi="Calibri"/>
          <w:b/>
          <w:iCs/>
          <w:smallCaps/>
          <w:noProof/>
          <w:color w:val="000000"/>
          <w:lang w:eastAsia="fr-FR"/>
        </w:rPr>
      </w:pPr>
      <w:r>
        <w:rPr/>
        <w:fldChar w:fldCharType="begin"/>
      </w:r>
      <w:r>
        <w:instrText xml:space="preserve"> HYPERLINK \l "_Toc1843629" </w:instrText>
      </w:r>
      <w:r>
        <w:rPr/>
        <w:fldChar w:fldCharType="separate"/>
      </w:r>
      <w:r>
        <w:rPr>
          <w:rStyle w:val="style85"/>
          <w:noProof/>
          <w:color w:val="000000"/>
          <w:u w:val="none"/>
        </w:rPr>
        <w:t>Annexe 2 : Principes de base pour la gestion intégrée des pestes</w:t>
      </w:r>
      <w:r>
        <w:rPr>
          <w:noProof/>
          <w:webHidden/>
          <w:color w:val="000000"/>
        </w:rPr>
        <w:tab/>
      </w:r>
      <w:r>
        <w:rPr>
          <w:noProof/>
          <w:webHidden/>
          <w:color w:val="000000"/>
        </w:rPr>
        <w:t>………………………………...</w:t>
      </w:r>
      <w:r>
        <w:rPr>
          <w:noProof/>
          <w:webHidden/>
          <w:color w:val="000000"/>
        </w:rPr>
        <w:fldChar w:fldCharType="begin"/>
      </w:r>
      <w:r>
        <w:rPr>
          <w:noProof/>
          <w:webHidden/>
          <w:color w:val="000000"/>
        </w:rPr>
        <w:instrText xml:space="preserve"> PAGEREF _Toc1843629 \h </w:instrText>
      </w:r>
      <w:r>
        <w:rPr>
          <w:webHidden/>
          <w:color w:val="000000"/>
        </w:rPr>
        <w:fldChar w:fldCharType="separate"/>
      </w:r>
      <w:r>
        <w:rPr>
          <w:noProof/>
          <w:webHidden/>
          <w:color w:val="000000"/>
        </w:rPr>
        <w:t>95</w:t>
      </w:r>
      <w:r>
        <w:rPr>
          <w:noProof/>
          <w:webHidden/>
          <w:color w:val="000000"/>
        </w:rPr>
        <w:fldChar w:fldCharType="end"/>
      </w:r>
      <w:r>
        <w:rPr/>
        <w:fldChar w:fldCharType="end"/>
      </w:r>
    </w:p>
    <w:p>
      <w:pPr>
        <w:pStyle w:val="style0"/>
        <w:rPr>
          <w:rFonts w:ascii="Calibri" w:cs="宋体" w:eastAsia="宋体" w:hAnsi="Calibri"/>
          <w:b/>
          <w:iCs/>
          <w:smallCaps/>
          <w:noProof/>
          <w:color w:val="000000"/>
          <w:lang w:eastAsia="fr-FR"/>
        </w:rPr>
      </w:pPr>
      <w:r>
        <w:rPr/>
        <w:fldChar w:fldCharType="begin"/>
      </w:r>
      <w:r>
        <w:instrText xml:space="preserve"> HYPERLINK \l "_Toc1843630" </w:instrText>
      </w:r>
      <w:r>
        <w:rPr/>
        <w:fldChar w:fldCharType="separate"/>
      </w:r>
      <w:r>
        <w:rPr>
          <w:rStyle w:val="style85"/>
          <w:noProof/>
          <w:color w:val="000000"/>
          <w:u w:val="none"/>
        </w:rPr>
        <w:t>Annexe 3 : Guide de bonnes pratiques de Gestion des pesticides</w:t>
      </w:r>
      <w:r>
        <w:rPr>
          <w:noProof/>
          <w:webHidden/>
          <w:color w:val="000000"/>
        </w:rPr>
        <w:tab/>
      </w:r>
      <w:r>
        <w:rPr>
          <w:noProof/>
          <w:webHidden/>
          <w:color w:val="000000"/>
        </w:rPr>
        <w:t>………………………………...</w:t>
      </w:r>
      <w:r>
        <w:rPr>
          <w:noProof/>
          <w:webHidden/>
          <w:color w:val="000000"/>
        </w:rPr>
        <w:fldChar w:fldCharType="begin"/>
      </w:r>
      <w:r>
        <w:rPr>
          <w:noProof/>
          <w:webHidden/>
          <w:color w:val="000000"/>
        </w:rPr>
        <w:instrText xml:space="preserve"> PAGEREF _Toc1843630 \h </w:instrText>
      </w:r>
      <w:r>
        <w:rPr>
          <w:webHidden/>
          <w:color w:val="000000"/>
        </w:rPr>
        <w:fldChar w:fldCharType="separate"/>
      </w:r>
      <w:r>
        <w:rPr>
          <w:noProof/>
          <w:webHidden/>
          <w:color w:val="000000"/>
        </w:rPr>
        <w:t>98</w:t>
      </w:r>
      <w:r>
        <w:rPr>
          <w:noProof/>
          <w:webHidden/>
          <w:color w:val="000000"/>
        </w:rPr>
        <w:fldChar w:fldCharType="end"/>
      </w:r>
      <w:r>
        <w:rPr/>
        <w:fldChar w:fldCharType="end"/>
      </w:r>
    </w:p>
    <w:p>
      <w:pPr>
        <w:pStyle w:val="style0"/>
        <w:rPr>
          <w:rFonts w:ascii="Calibri" w:cs="宋体" w:eastAsia="宋体" w:hAnsi="Calibri"/>
          <w:b/>
          <w:iCs/>
          <w:smallCaps/>
          <w:noProof/>
          <w:color w:val="000000"/>
          <w:lang w:eastAsia="fr-FR"/>
        </w:rPr>
      </w:pPr>
      <w:r>
        <w:rPr/>
        <w:fldChar w:fldCharType="begin"/>
      </w:r>
      <w:r>
        <w:instrText xml:space="preserve"> HYPERLINK \l "_Toc1843631" </w:instrText>
      </w:r>
      <w:r>
        <w:rPr/>
        <w:fldChar w:fldCharType="separate"/>
      </w:r>
      <w:r>
        <w:rPr>
          <w:rStyle w:val="style85"/>
          <w:noProof/>
          <w:color w:val="000000"/>
          <w:u w:val="none"/>
        </w:rPr>
        <w:t>Annexe 4 : Personnes rencontrées et PV des rencontres publiques</w:t>
      </w:r>
      <w:r>
        <w:rPr>
          <w:noProof/>
          <w:webHidden/>
          <w:color w:val="000000"/>
        </w:rPr>
        <w:tab/>
      </w:r>
      <w:r>
        <w:rPr>
          <w:noProof/>
          <w:webHidden/>
          <w:color w:val="000000"/>
        </w:rPr>
        <w:t xml:space="preserve"> ………………………………</w:t>
      </w:r>
      <w:r>
        <w:rPr>
          <w:noProof/>
          <w:webHidden/>
          <w:color w:val="000000"/>
        </w:rPr>
        <w:fldChar w:fldCharType="begin"/>
      </w:r>
      <w:r>
        <w:rPr>
          <w:noProof/>
          <w:webHidden/>
          <w:color w:val="000000"/>
        </w:rPr>
        <w:instrText xml:space="preserve"> PAGEREF _Toc1843631 \h </w:instrText>
      </w:r>
      <w:r>
        <w:rPr>
          <w:webHidden/>
          <w:color w:val="000000"/>
        </w:rPr>
        <w:fldChar w:fldCharType="separate"/>
      </w:r>
      <w:r>
        <w:rPr>
          <w:noProof/>
          <w:webHidden/>
          <w:color w:val="000000"/>
        </w:rPr>
        <w:t>106</w:t>
      </w:r>
      <w:r>
        <w:rPr>
          <w:noProof/>
          <w:webHidden/>
          <w:color w:val="000000"/>
        </w:rPr>
        <w:fldChar w:fldCharType="end"/>
      </w:r>
      <w:r>
        <w:rPr/>
        <w:fldChar w:fldCharType="end"/>
      </w:r>
    </w:p>
    <w:p>
      <w:pPr>
        <w:pStyle w:val="style0"/>
        <w:rPr/>
      </w:pPr>
    </w:p>
    <w:p>
      <w:pPr>
        <w:pStyle w:val="style0"/>
        <w:rPr>
          <w:b/>
          <w:sz w:val="22"/>
          <w:szCs w:val="22"/>
        </w:rPr>
      </w:pPr>
    </w:p>
    <w:p>
      <w:pPr>
        <w:pStyle w:val="style0"/>
        <w:jc w:val="center"/>
        <w:rPr>
          <w:sz w:val="22"/>
          <w:szCs w:val="22"/>
        </w:rPr>
      </w:pPr>
      <w:r>
        <w:rPr>
          <w:b/>
          <w:sz w:val="22"/>
          <w:szCs w:val="22"/>
        </w:rPr>
        <w:br w:type="page"/>
      </w:r>
    </w:p>
    <w:bookmarkStart w:id="6" w:name="_Toc2831170"/>
    <w:p>
      <w:pPr>
        <w:pStyle w:val="style1"/>
        <w:numPr>
          <w:ilvl w:val="0"/>
          <w:numId w:val="0"/>
        </w:numPr>
        <w:rPr/>
      </w:pPr>
      <w:r>
        <w:t>LISTE DES</w:t>
      </w:r>
      <w:r>
        <w:t xml:space="preserve"> </w:t>
      </w:r>
      <w:r>
        <w:t>ACRONYMES</w:t>
      </w:r>
      <w:r>
        <w:t xml:space="preserve"> ET SIGLES</w:t>
      </w:r>
      <w:bookmarkEnd w:id="6"/>
    </w:p>
    <w:tbl>
      <w:tblPr>
        <w:tblW w:w="9450" w:type="dxa"/>
        <w:tblCellMar>
          <w:left w:w="57" w:type="dxa"/>
          <w:right w:w="57" w:type="dxa"/>
        </w:tblCellMar>
        <w:tblLook w:val="04A0" w:firstRow="1" w:lastRow="0" w:firstColumn="1" w:lastColumn="0" w:noHBand="0" w:noVBand="1"/>
      </w:tblPr>
      <w:tblGrid>
        <w:gridCol w:w="1650"/>
        <w:gridCol w:w="416"/>
        <w:gridCol w:w="7384"/>
      </w:tblGrid>
      <w:tr>
        <w:trPr/>
        <w:tc>
          <w:tcPr>
            <w:tcW w:w="1650" w:type="dxa"/>
            <w:tcBorders/>
          </w:tcPr>
          <w:p>
            <w:pPr>
              <w:pStyle w:val="style0"/>
              <w:spacing w:before="0"/>
              <w:rPr>
                <w:sz w:val="22"/>
              </w:rPr>
            </w:pPr>
            <w:r>
              <w:rPr>
                <w:sz w:val="22"/>
              </w:rPr>
              <w:t>AMVS</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Autorité de Mise en valeur de la Vallée du Sourou</w:t>
            </w:r>
          </w:p>
        </w:tc>
      </w:tr>
      <w:tr>
        <w:tblPrEx/>
        <w:trPr/>
        <w:tc>
          <w:tcPr>
            <w:tcW w:w="1650" w:type="dxa"/>
            <w:tcBorders/>
          </w:tcPr>
          <w:p>
            <w:pPr>
              <w:pStyle w:val="style0"/>
              <w:spacing w:before="0"/>
              <w:rPr>
                <w:sz w:val="22"/>
              </w:rPr>
            </w:pPr>
            <w:r>
              <w:rPr>
                <w:sz w:val="22"/>
              </w:rPr>
              <w:t>APEFEL-B</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Association Professionnelle des Exportateurs de Fruits et Légumes du Burkina Faso</w:t>
            </w:r>
          </w:p>
        </w:tc>
      </w:tr>
      <w:tr>
        <w:tblPrEx/>
        <w:trPr>
          <w:trHeight w:val="156" w:hRule="atLeast"/>
        </w:trPr>
        <w:tc>
          <w:tcPr>
            <w:tcW w:w="1650" w:type="dxa"/>
            <w:tcBorders/>
          </w:tcPr>
          <w:p>
            <w:pPr>
              <w:pStyle w:val="style0"/>
              <w:spacing w:before="0"/>
              <w:rPr>
                <w:sz w:val="22"/>
              </w:rPr>
            </w:pPr>
            <w:r>
              <w:rPr>
                <w:sz w:val="22"/>
              </w:rPr>
              <w:t>APIPAC</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Association des Professionnels de l’Irrigation Privée et des Activités Connexes</w:t>
            </w:r>
          </w:p>
        </w:tc>
      </w:tr>
      <w:tr>
        <w:tblPrEx/>
        <w:trPr>
          <w:trHeight w:val="156" w:hRule="atLeast"/>
        </w:trPr>
        <w:tc>
          <w:tcPr>
            <w:tcW w:w="1650" w:type="dxa"/>
            <w:tcBorders/>
          </w:tcPr>
          <w:p>
            <w:pPr>
              <w:pStyle w:val="style0"/>
              <w:spacing w:before="0"/>
              <w:rPr>
                <w:sz w:val="22"/>
              </w:rPr>
            </w:pPr>
            <w:r>
              <w:rPr>
                <w:sz w:val="22"/>
              </w:rPr>
              <w:t>APR</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Analyse Préliminaire du Risque</w:t>
            </w:r>
          </w:p>
        </w:tc>
      </w:tr>
      <w:tr>
        <w:tblPrEx/>
        <w:trPr/>
        <w:tc>
          <w:tcPr>
            <w:tcW w:w="1650" w:type="dxa"/>
            <w:tcBorders/>
          </w:tcPr>
          <w:p>
            <w:pPr>
              <w:pStyle w:val="style0"/>
              <w:spacing w:before="0"/>
              <w:rPr>
                <w:sz w:val="22"/>
              </w:rPr>
            </w:pPr>
            <w:r>
              <w:rPr>
                <w:sz w:val="22"/>
              </w:rPr>
              <w:t>ARFA</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Association pour la Recherche et la Formation en Agro-Écologie</w:t>
            </w:r>
          </w:p>
        </w:tc>
      </w:tr>
      <w:tr>
        <w:tblPrEx/>
        <w:trPr/>
        <w:tc>
          <w:tcPr>
            <w:tcW w:w="1650" w:type="dxa"/>
            <w:tcBorders/>
          </w:tcPr>
          <w:p>
            <w:pPr>
              <w:pStyle w:val="style0"/>
              <w:spacing w:before="0"/>
              <w:rPr>
                <w:sz w:val="22"/>
              </w:rPr>
            </w:pPr>
            <w:r>
              <w:rPr>
                <w:sz w:val="22"/>
              </w:rPr>
              <w:t>BM</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Banque mondiale</w:t>
            </w:r>
          </w:p>
        </w:tc>
      </w:tr>
      <w:tr>
        <w:tblPrEx/>
        <w:trPr/>
        <w:tc>
          <w:tcPr>
            <w:tcW w:w="1650" w:type="dxa"/>
            <w:tcBorders/>
          </w:tcPr>
          <w:p>
            <w:pPr>
              <w:pStyle w:val="style0"/>
              <w:spacing w:before="0"/>
              <w:rPr>
                <w:sz w:val="22"/>
              </w:rPr>
            </w:pPr>
            <w:r>
              <w:rPr>
                <w:sz w:val="22"/>
              </w:rPr>
              <w:t>BPA</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Bonnes Pratiques Agricoles</w:t>
            </w:r>
          </w:p>
        </w:tc>
      </w:tr>
      <w:tr>
        <w:tblPrEx/>
        <w:trPr/>
        <w:tc>
          <w:tcPr>
            <w:tcW w:w="1650" w:type="dxa"/>
            <w:tcBorders/>
          </w:tcPr>
          <w:p>
            <w:pPr>
              <w:pStyle w:val="style0"/>
              <w:spacing w:before="0"/>
              <w:rPr>
                <w:sz w:val="22"/>
              </w:rPr>
            </w:pPr>
            <w:r>
              <w:rPr>
                <w:sz w:val="22"/>
              </w:rPr>
              <w:t>BPP</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Bonnes Pratiques Phytosanitaires</w:t>
            </w:r>
          </w:p>
        </w:tc>
      </w:tr>
      <w:tr>
        <w:tblPrEx/>
        <w:trPr/>
        <w:tc>
          <w:tcPr>
            <w:tcW w:w="1650" w:type="dxa"/>
            <w:tcBorders/>
          </w:tcPr>
          <w:p>
            <w:pPr>
              <w:pStyle w:val="style0"/>
              <w:spacing w:before="0"/>
              <w:rPr>
                <w:sz w:val="22"/>
              </w:rPr>
            </w:pPr>
            <w:r>
              <w:rPr>
                <w:sz w:val="22"/>
              </w:rPr>
              <w:t>BUNEE</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 xml:space="preserve">Bureau National des </w:t>
            </w:r>
            <w:r>
              <w:rPr>
                <w:color w:val="000000"/>
                <w:sz w:val="22"/>
              </w:rPr>
              <w:t xml:space="preserve">Évaluations Environnementales </w:t>
            </w:r>
          </w:p>
        </w:tc>
      </w:tr>
      <w:tr>
        <w:tblPrEx/>
        <w:trPr/>
        <w:tc>
          <w:tcPr>
            <w:tcW w:w="1650" w:type="dxa"/>
            <w:tcBorders/>
          </w:tcPr>
          <w:p>
            <w:pPr>
              <w:pStyle w:val="style0"/>
              <w:spacing w:before="0"/>
              <w:rPr>
                <w:color w:val="000000"/>
                <w:spacing w:val="-1"/>
                <w:w w:val="101"/>
                <w:sz w:val="22"/>
              </w:rPr>
            </w:pPr>
            <w:r>
              <w:rPr>
                <w:sz w:val="22"/>
              </w:rPr>
              <w:t>CEAS </w:t>
            </w:r>
          </w:p>
        </w:tc>
        <w:tc>
          <w:tcPr>
            <w:tcW w:w="416" w:type="dxa"/>
            <w:tcBorders/>
          </w:tcPr>
          <w:p>
            <w:pPr>
              <w:pStyle w:val="style0"/>
              <w:spacing w:before="0"/>
              <w:rPr>
                <w:sz w:val="22"/>
              </w:rPr>
            </w:pPr>
            <w:r>
              <w:rPr>
                <w:sz w:val="22"/>
              </w:rPr>
              <w:t>:</w:t>
            </w:r>
          </w:p>
        </w:tc>
        <w:tc>
          <w:tcPr>
            <w:tcW w:w="7384" w:type="dxa"/>
            <w:tcBorders/>
          </w:tcPr>
          <w:p>
            <w:pPr>
              <w:pStyle w:val="style0"/>
              <w:spacing w:before="0"/>
              <w:rPr>
                <w:color w:val="000000"/>
                <w:w w:val="101"/>
                <w:sz w:val="22"/>
              </w:rPr>
            </w:pPr>
            <w:r>
              <w:rPr>
                <w:sz w:val="22"/>
              </w:rPr>
              <w:t>Centre Ecologique Albert Schweilzer</w:t>
            </w:r>
          </w:p>
        </w:tc>
      </w:tr>
      <w:tr>
        <w:tblPrEx/>
        <w:trPr/>
        <w:tc>
          <w:tcPr>
            <w:tcW w:w="1650" w:type="dxa"/>
            <w:tcBorders/>
          </w:tcPr>
          <w:p>
            <w:pPr>
              <w:pStyle w:val="style0"/>
              <w:spacing w:before="0"/>
              <w:rPr>
                <w:color w:val="000000"/>
                <w:spacing w:val="-1"/>
                <w:w w:val="101"/>
                <w:sz w:val="22"/>
              </w:rPr>
            </w:pPr>
            <w:r>
              <w:rPr>
                <w:color w:val="000000"/>
                <w:spacing w:val="-1"/>
                <w:w w:val="101"/>
                <w:sz w:val="22"/>
              </w:rPr>
              <w:t>CILSS</w:t>
            </w:r>
          </w:p>
        </w:tc>
        <w:tc>
          <w:tcPr>
            <w:tcW w:w="416" w:type="dxa"/>
            <w:tcBorders/>
          </w:tcPr>
          <w:p>
            <w:pPr>
              <w:pStyle w:val="style0"/>
              <w:spacing w:before="0"/>
              <w:rPr>
                <w:sz w:val="22"/>
              </w:rPr>
            </w:pPr>
            <w:r>
              <w:rPr>
                <w:sz w:val="22"/>
              </w:rPr>
              <w:t>:</w:t>
            </w:r>
          </w:p>
        </w:tc>
        <w:tc>
          <w:tcPr>
            <w:tcW w:w="7384" w:type="dxa"/>
            <w:tcBorders/>
          </w:tcPr>
          <w:p>
            <w:pPr>
              <w:pStyle w:val="style0"/>
              <w:spacing w:before="0"/>
              <w:rPr>
                <w:color w:val="000000"/>
                <w:w w:val="101"/>
                <w:sz w:val="22"/>
              </w:rPr>
            </w:pPr>
            <w:r>
              <w:rPr>
                <w:color w:val="000000"/>
                <w:w w:val="101"/>
                <w:sz w:val="22"/>
              </w:rPr>
              <w:t xml:space="preserve">Comité permanent Inter-États de Lutte contre la </w:t>
            </w:r>
            <w:r>
              <w:rPr>
                <w:color w:val="000000"/>
                <w:spacing w:val="-1"/>
                <w:w w:val="101"/>
                <w:sz w:val="22"/>
              </w:rPr>
              <w:t>Sécheresse au Sahel</w:t>
            </w:r>
          </w:p>
        </w:tc>
      </w:tr>
      <w:tr>
        <w:tblPrEx/>
        <w:trPr/>
        <w:tc>
          <w:tcPr>
            <w:tcW w:w="1650" w:type="dxa"/>
            <w:tcBorders/>
          </w:tcPr>
          <w:p>
            <w:pPr>
              <w:pStyle w:val="style0"/>
              <w:spacing w:before="0"/>
              <w:rPr>
                <w:bCs/>
                <w:sz w:val="22"/>
              </w:rPr>
            </w:pPr>
            <w:r>
              <w:rPr>
                <w:bCs/>
                <w:sz w:val="22"/>
              </w:rPr>
              <w:t>CNA-BIO</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Conseil National des Produits Biologiques</w:t>
            </w:r>
          </w:p>
        </w:tc>
      </w:tr>
      <w:tr>
        <w:tblPrEx/>
        <w:trPr/>
        <w:tc>
          <w:tcPr>
            <w:tcW w:w="1650" w:type="dxa"/>
            <w:tcBorders/>
          </w:tcPr>
          <w:p>
            <w:pPr>
              <w:pStyle w:val="style0"/>
              <w:spacing w:before="0"/>
              <w:rPr>
                <w:sz w:val="22"/>
              </w:rPr>
            </w:pPr>
            <w:r>
              <w:rPr>
                <w:sz w:val="22"/>
              </w:rPr>
              <w:t>CNCP</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Commission Nationale de Contrôle des Pesticides</w:t>
            </w:r>
          </w:p>
        </w:tc>
      </w:tr>
      <w:tr>
        <w:tblPrEx/>
        <w:trPr/>
        <w:tc>
          <w:tcPr>
            <w:tcW w:w="1650" w:type="dxa"/>
            <w:tcBorders/>
          </w:tcPr>
          <w:p>
            <w:pPr>
              <w:pStyle w:val="style0"/>
              <w:spacing w:before="0"/>
              <w:rPr>
                <w:sz w:val="22"/>
              </w:rPr>
            </w:pPr>
            <w:r>
              <w:rPr>
                <w:sz w:val="22"/>
              </w:rPr>
              <w:t>CNGP</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Comité National de Gestion des Pesticides</w:t>
            </w:r>
          </w:p>
        </w:tc>
      </w:tr>
      <w:tr>
        <w:tblPrEx/>
        <w:trPr/>
        <w:tc>
          <w:tcPr>
            <w:tcW w:w="1650" w:type="dxa"/>
            <w:tcBorders/>
          </w:tcPr>
          <w:p>
            <w:pPr>
              <w:pStyle w:val="style0"/>
              <w:spacing w:before="0"/>
              <w:rPr>
                <w:sz w:val="22"/>
              </w:rPr>
            </w:pPr>
            <w:r>
              <w:rPr>
                <w:sz w:val="22"/>
              </w:rPr>
              <w:t>COAHP</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highlight w:val="yellow"/>
              </w:rPr>
            </w:pPr>
            <w:r>
              <w:rPr>
                <w:sz w:val="22"/>
              </w:rPr>
              <w:t xml:space="preserve">Comité Ouest Africain d’Homologation des Pesticides </w:t>
            </w:r>
          </w:p>
        </w:tc>
      </w:tr>
      <w:tr>
        <w:tblPrEx/>
        <w:trPr/>
        <w:tc>
          <w:tcPr>
            <w:tcW w:w="1650" w:type="dxa"/>
            <w:tcBorders/>
          </w:tcPr>
          <w:p>
            <w:pPr>
              <w:pStyle w:val="style0"/>
              <w:spacing w:before="0"/>
              <w:rPr>
                <w:color w:val="000000"/>
                <w:sz w:val="22"/>
              </w:rPr>
            </w:pPr>
            <w:r>
              <w:rPr>
                <w:sz w:val="22"/>
              </w:rPr>
              <w:t>CPI/OUA </w:t>
            </w:r>
          </w:p>
        </w:tc>
        <w:tc>
          <w:tcPr>
            <w:tcW w:w="416" w:type="dxa"/>
            <w:tcBorders/>
          </w:tcPr>
          <w:p>
            <w:pPr>
              <w:pStyle w:val="style0"/>
              <w:spacing w:before="0"/>
              <w:rPr>
                <w:sz w:val="22"/>
              </w:rPr>
            </w:pPr>
            <w:r>
              <w:rPr>
                <w:sz w:val="22"/>
              </w:rPr>
              <w:t>:</w:t>
            </w:r>
          </w:p>
        </w:tc>
        <w:tc>
          <w:tcPr>
            <w:tcW w:w="7384" w:type="dxa"/>
            <w:tcBorders/>
          </w:tcPr>
          <w:p>
            <w:pPr>
              <w:pStyle w:val="style0"/>
              <w:spacing w:before="0"/>
              <w:rPr>
                <w:color w:val="000000"/>
                <w:sz w:val="22"/>
              </w:rPr>
            </w:pPr>
            <w:r>
              <w:rPr>
                <w:sz w:val="22"/>
              </w:rPr>
              <w:t>Conseil Phytosanitaire Interafricain de l’Organisation de l’Unité Africaine</w:t>
            </w:r>
          </w:p>
        </w:tc>
      </w:tr>
      <w:tr>
        <w:tblPrEx/>
        <w:trPr/>
        <w:tc>
          <w:tcPr>
            <w:tcW w:w="1650" w:type="dxa"/>
            <w:tcBorders/>
          </w:tcPr>
          <w:p>
            <w:pPr>
              <w:pStyle w:val="style0"/>
              <w:spacing w:before="0"/>
              <w:rPr>
                <w:color w:val="000000"/>
                <w:sz w:val="22"/>
              </w:rPr>
            </w:pPr>
            <w:r>
              <w:rPr>
                <w:color w:val="000000"/>
                <w:sz w:val="22"/>
              </w:rPr>
              <w:t>CRSN</w:t>
            </w:r>
          </w:p>
        </w:tc>
        <w:tc>
          <w:tcPr>
            <w:tcW w:w="416" w:type="dxa"/>
            <w:tcBorders/>
          </w:tcPr>
          <w:p>
            <w:pPr>
              <w:pStyle w:val="style0"/>
              <w:spacing w:before="0"/>
              <w:rPr>
                <w:sz w:val="22"/>
              </w:rPr>
            </w:pPr>
            <w:r>
              <w:rPr>
                <w:sz w:val="22"/>
              </w:rPr>
              <w:t>:</w:t>
            </w:r>
          </w:p>
        </w:tc>
        <w:tc>
          <w:tcPr>
            <w:tcW w:w="7384" w:type="dxa"/>
            <w:tcBorders/>
          </w:tcPr>
          <w:p>
            <w:pPr>
              <w:pStyle w:val="style0"/>
              <w:spacing w:before="0"/>
              <w:rPr>
                <w:color w:val="000000"/>
                <w:sz w:val="22"/>
              </w:rPr>
            </w:pPr>
            <w:r>
              <w:rPr>
                <w:color w:val="000000"/>
                <w:sz w:val="22"/>
              </w:rPr>
              <w:t xml:space="preserve">Centre de Recherche en Santé de Nouna </w:t>
            </w:r>
          </w:p>
        </w:tc>
      </w:tr>
      <w:tr>
        <w:tblPrEx/>
        <w:trPr/>
        <w:tc>
          <w:tcPr>
            <w:tcW w:w="1650" w:type="dxa"/>
            <w:tcBorders/>
          </w:tcPr>
          <w:p>
            <w:pPr>
              <w:pStyle w:val="style0"/>
              <w:spacing w:before="0"/>
              <w:rPr>
                <w:sz w:val="22"/>
              </w:rPr>
            </w:pPr>
            <w:r>
              <w:rPr>
                <w:sz w:val="22"/>
              </w:rPr>
              <w:t>CRTP</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Comité Régional de Toxico-vigilance des Pesticides</w:t>
            </w:r>
          </w:p>
        </w:tc>
      </w:tr>
      <w:tr>
        <w:tblPrEx/>
        <w:trPr/>
        <w:tc>
          <w:tcPr>
            <w:tcW w:w="1650" w:type="dxa"/>
            <w:tcBorders/>
          </w:tcPr>
          <w:p>
            <w:pPr>
              <w:pStyle w:val="style0"/>
              <w:spacing w:before="0"/>
              <w:rPr>
                <w:color w:val="000000"/>
                <w:sz w:val="22"/>
              </w:rPr>
            </w:pPr>
            <w:r>
              <w:rPr>
                <w:color w:val="000000"/>
                <w:sz w:val="22"/>
              </w:rPr>
              <w:t>CSP</w:t>
            </w:r>
          </w:p>
        </w:tc>
        <w:tc>
          <w:tcPr>
            <w:tcW w:w="416" w:type="dxa"/>
            <w:tcBorders/>
          </w:tcPr>
          <w:p>
            <w:pPr>
              <w:pStyle w:val="style0"/>
              <w:spacing w:before="0"/>
              <w:rPr>
                <w:sz w:val="22"/>
              </w:rPr>
            </w:pPr>
            <w:r>
              <w:rPr>
                <w:sz w:val="22"/>
              </w:rPr>
              <w:t>:</w:t>
            </w:r>
          </w:p>
        </w:tc>
        <w:tc>
          <w:tcPr>
            <w:tcW w:w="7384" w:type="dxa"/>
            <w:tcBorders/>
          </w:tcPr>
          <w:p>
            <w:pPr>
              <w:pStyle w:val="style0"/>
              <w:spacing w:before="0"/>
              <w:rPr>
                <w:color w:val="000000"/>
                <w:sz w:val="22"/>
              </w:rPr>
            </w:pPr>
            <w:r>
              <w:rPr>
                <w:color w:val="000000"/>
                <w:sz w:val="22"/>
              </w:rPr>
              <w:t>Comité Sahélien des Pesticides</w:t>
            </w:r>
          </w:p>
        </w:tc>
      </w:tr>
      <w:tr>
        <w:tblPrEx/>
        <w:trPr/>
        <w:tc>
          <w:tcPr>
            <w:tcW w:w="1650" w:type="dxa"/>
            <w:tcBorders/>
          </w:tcPr>
          <w:p>
            <w:pPr>
              <w:pStyle w:val="style0"/>
              <w:spacing w:before="0"/>
              <w:rPr>
                <w:sz w:val="22"/>
              </w:rPr>
            </w:pPr>
            <w:r>
              <w:rPr>
                <w:sz w:val="22"/>
              </w:rPr>
              <w:t>CSPS</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Centre de Santé et de Promotion Sociale</w:t>
            </w:r>
          </w:p>
        </w:tc>
      </w:tr>
      <w:tr>
        <w:tblPrEx/>
        <w:trPr/>
        <w:tc>
          <w:tcPr>
            <w:tcW w:w="1650" w:type="dxa"/>
            <w:tcBorders/>
          </w:tcPr>
          <w:p>
            <w:pPr>
              <w:pStyle w:val="style0"/>
              <w:spacing w:before="0"/>
              <w:rPr>
                <w:sz w:val="22"/>
              </w:rPr>
            </w:pPr>
            <w:r>
              <w:rPr>
                <w:sz w:val="22"/>
              </w:rPr>
              <w:t>DAR</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Délai d’Attente avant la Récolte</w:t>
            </w:r>
          </w:p>
        </w:tc>
      </w:tr>
      <w:tr>
        <w:tblPrEx/>
        <w:trPr/>
        <w:tc>
          <w:tcPr>
            <w:tcW w:w="1650" w:type="dxa"/>
            <w:tcBorders/>
          </w:tcPr>
          <w:p>
            <w:pPr>
              <w:pStyle w:val="style0"/>
              <w:spacing w:before="0"/>
              <w:rPr>
                <w:color w:val="000000"/>
                <w:sz w:val="22"/>
              </w:rPr>
            </w:pPr>
            <w:r>
              <w:rPr>
                <w:color w:val="000000"/>
                <w:sz w:val="22"/>
              </w:rPr>
              <w:t>DFPV</w:t>
            </w:r>
          </w:p>
        </w:tc>
        <w:tc>
          <w:tcPr>
            <w:tcW w:w="416" w:type="dxa"/>
            <w:tcBorders/>
          </w:tcPr>
          <w:p>
            <w:pPr>
              <w:pStyle w:val="style0"/>
              <w:spacing w:before="0"/>
              <w:rPr>
                <w:sz w:val="22"/>
              </w:rPr>
            </w:pPr>
            <w:r>
              <w:rPr>
                <w:sz w:val="22"/>
              </w:rPr>
              <w:t>:</w:t>
            </w:r>
          </w:p>
        </w:tc>
        <w:tc>
          <w:tcPr>
            <w:tcW w:w="7384" w:type="dxa"/>
            <w:tcBorders/>
          </w:tcPr>
          <w:p>
            <w:pPr>
              <w:pStyle w:val="style0"/>
              <w:spacing w:before="0"/>
              <w:rPr>
                <w:color w:val="000000"/>
                <w:sz w:val="22"/>
              </w:rPr>
            </w:pPr>
            <w:r>
              <w:rPr>
                <w:color w:val="000000"/>
                <w:sz w:val="22"/>
              </w:rPr>
              <w:t>Département de Formation en Protection des Végétaux</w:t>
            </w:r>
          </w:p>
        </w:tc>
      </w:tr>
      <w:tr>
        <w:tblPrEx/>
        <w:trPr/>
        <w:tc>
          <w:tcPr>
            <w:tcW w:w="1650" w:type="dxa"/>
            <w:tcBorders/>
          </w:tcPr>
          <w:p>
            <w:pPr>
              <w:pStyle w:val="style0"/>
              <w:spacing w:before="0"/>
              <w:rPr>
                <w:sz w:val="22"/>
              </w:rPr>
            </w:pPr>
            <w:r>
              <w:rPr>
                <w:sz w:val="22"/>
              </w:rPr>
              <w:t>DGAHDI</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Direction Générale des Aménagements Hydraulique</w:t>
            </w:r>
            <w:r>
              <w:rPr>
                <w:color w:val="000000"/>
                <w:sz w:val="22"/>
              </w:rPr>
              <w:t>s</w:t>
            </w:r>
            <w:r>
              <w:rPr>
                <w:sz w:val="22"/>
              </w:rPr>
              <w:t xml:space="preserve"> et du Développement de l’Irrigation</w:t>
            </w:r>
          </w:p>
        </w:tc>
      </w:tr>
      <w:tr>
        <w:tblPrEx/>
        <w:trPr/>
        <w:tc>
          <w:tcPr>
            <w:tcW w:w="1650" w:type="dxa"/>
            <w:tcBorders/>
          </w:tcPr>
          <w:p>
            <w:pPr>
              <w:pStyle w:val="style0"/>
              <w:spacing w:before="0"/>
              <w:rPr>
                <w:sz w:val="22"/>
              </w:rPr>
            </w:pPr>
            <w:r>
              <w:rPr>
                <w:sz w:val="22"/>
              </w:rPr>
              <w:t>DGPE</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 xml:space="preserve">Direction Générale de la Préservation de l’Environnement </w:t>
            </w:r>
          </w:p>
        </w:tc>
      </w:tr>
      <w:tr>
        <w:tblPrEx/>
        <w:trPr/>
        <w:tc>
          <w:tcPr>
            <w:tcW w:w="1650" w:type="dxa"/>
            <w:tcBorders/>
          </w:tcPr>
          <w:p>
            <w:pPr>
              <w:pStyle w:val="style0"/>
              <w:spacing w:before="0"/>
              <w:rPr>
                <w:sz w:val="22"/>
              </w:rPr>
            </w:pPr>
            <w:r>
              <w:rPr>
                <w:sz w:val="22"/>
              </w:rPr>
              <w:t>DGPV</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Direction générale des productions végétales</w:t>
            </w:r>
          </w:p>
        </w:tc>
      </w:tr>
      <w:tr>
        <w:tblPrEx/>
        <w:trPr/>
        <w:tc>
          <w:tcPr>
            <w:tcW w:w="1650" w:type="dxa"/>
            <w:tcBorders/>
          </w:tcPr>
          <w:p>
            <w:pPr>
              <w:pStyle w:val="style0"/>
              <w:spacing w:before="0"/>
              <w:rPr>
                <w:sz w:val="22"/>
              </w:rPr>
            </w:pPr>
            <w:r>
              <w:rPr>
                <w:sz w:val="22"/>
              </w:rPr>
              <w:t>DGSV</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Direction Générale des Services Vétérinaires</w:t>
            </w:r>
          </w:p>
        </w:tc>
      </w:tr>
      <w:tr>
        <w:tblPrEx/>
        <w:trPr/>
        <w:tc>
          <w:tcPr>
            <w:tcW w:w="1650" w:type="dxa"/>
            <w:tcBorders/>
          </w:tcPr>
          <w:p>
            <w:pPr>
              <w:pStyle w:val="style0"/>
              <w:spacing w:before="0"/>
              <w:rPr>
                <w:color w:val="000000"/>
                <w:sz w:val="22"/>
              </w:rPr>
            </w:pPr>
            <w:r>
              <w:rPr>
                <w:sz w:val="22"/>
              </w:rPr>
              <w:t>DPRE</w:t>
            </w:r>
          </w:p>
        </w:tc>
        <w:tc>
          <w:tcPr>
            <w:tcW w:w="416" w:type="dxa"/>
            <w:tcBorders/>
          </w:tcPr>
          <w:p>
            <w:pPr>
              <w:pStyle w:val="style0"/>
              <w:spacing w:before="0"/>
              <w:rPr>
                <w:sz w:val="22"/>
              </w:rPr>
            </w:pPr>
            <w:r>
              <w:rPr>
                <w:sz w:val="22"/>
              </w:rPr>
              <w:t>:</w:t>
            </w:r>
          </w:p>
        </w:tc>
        <w:tc>
          <w:tcPr>
            <w:tcW w:w="7384" w:type="dxa"/>
            <w:tcBorders/>
          </w:tcPr>
          <w:p>
            <w:pPr>
              <w:pStyle w:val="style0"/>
              <w:spacing w:before="0"/>
              <w:rPr>
                <w:color w:val="000000"/>
                <w:sz w:val="22"/>
              </w:rPr>
            </w:pPr>
            <w:r>
              <w:rPr>
                <w:color w:val="000000"/>
                <w:sz w:val="22"/>
              </w:rPr>
              <w:t>Direction de la Prévention des Pollutions et des Risques Environnementaux</w:t>
            </w:r>
          </w:p>
        </w:tc>
      </w:tr>
      <w:tr>
        <w:tblPrEx/>
        <w:trPr/>
        <w:tc>
          <w:tcPr>
            <w:tcW w:w="1650" w:type="dxa"/>
            <w:tcBorders/>
          </w:tcPr>
          <w:p>
            <w:pPr>
              <w:pStyle w:val="style0"/>
              <w:spacing w:before="0"/>
              <w:rPr>
                <w:sz w:val="22"/>
              </w:rPr>
            </w:pPr>
            <w:r>
              <w:rPr>
                <w:sz w:val="22"/>
              </w:rPr>
              <w:t>DPVC</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Direction de la Protection des Végétaux et du Conditionnement</w:t>
            </w:r>
          </w:p>
        </w:tc>
      </w:tr>
      <w:tr>
        <w:tblPrEx/>
        <w:trPr/>
        <w:tc>
          <w:tcPr>
            <w:tcW w:w="1650" w:type="dxa"/>
            <w:tcBorders/>
          </w:tcPr>
          <w:p>
            <w:pPr>
              <w:pStyle w:val="style0"/>
              <w:spacing w:before="0"/>
              <w:rPr>
                <w:sz w:val="22"/>
              </w:rPr>
            </w:pPr>
            <w:r>
              <w:rPr>
                <w:sz w:val="22"/>
              </w:rPr>
              <w:t>EPI</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Équipement de Protection Individuelle</w:t>
            </w:r>
          </w:p>
        </w:tc>
      </w:tr>
      <w:tr>
        <w:tblPrEx/>
        <w:trPr/>
        <w:tc>
          <w:tcPr>
            <w:tcW w:w="1650" w:type="dxa"/>
            <w:tcBorders/>
          </w:tcPr>
          <w:p>
            <w:pPr>
              <w:pStyle w:val="style0"/>
              <w:spacing w:before="0"/>
              <w:rPr>
                <w:color w:val="000000"/>
                <w:w w:val="101"/>
                <w:sz w:val="22"/>
              </w:rPr>
            </w:pPr>
            <w:r>
              <w:rPr>
                <w:color w:val="000000"/>
                <w:w w:val="101"/>
                <w:sz w:val="22"/>
              </w:rPr>
              <w:t>FAO</w:t>
            </w:r>
          </w:p>
        </w:tc>
        <w:tc>
          <w:tcPr>
            <w:tcW w:w="416" w:type="dxa"/>
            <w:tcBorders/>
          </w:tcPr>
          <w:p>
            <w:pPr>
              <w:pStyle w:val="style0"/>
              <w:spacing w:before="0"/>
              <w:rPr>
                <w:sz w:val="22"/>
              </w:rPr>
            </w:pPr>
            <w:r>
              <w:rPr>
                <w:sz w:val="22"/>
              </w:rPr>
              <w:t>:</w:t>
            </w:r>
          </w:p>
        </w:tc>
        <w:tc>
          <w:tcPr>
            <w:tcW w:w="7384" w:type="dxa"/>
            <w:tcBorders/>
          </w:tcPr>
          <w:p>
            <w:pPr>
              <w:pStyle w:val="style0"/>
              <w:spacing w:before="0"/>
              <w:rPr>
                <w:color w:val="000000"/>
                <w:spacing w:val="-1"/>
                <w:w w:val="101"/>
                <w:sz w:val="22"/>
              </w:rPr>
            </w:pPr>
            <w:r>
              <w:rPr>
                <w:color w:val="000000"/>
                <w:spacing w:val="-1"/>
                <w:w w:val="101"/>
                <w:sz w:val="22"/>
              </w:rPr>
              <w:t>Organis</w:t>
            </w:r>
            <w:r>
              <w:rPr>
                <w:color w:val="000000"/>
                <w:w w:val="101"/>
                <w:sz w:val="22"/>
              </w:rPr>
              <w:t>ation des Nations Unies pour l'Alimentation et l'Agriculture</w:t>
            </w:r>
          </w:p>
        </w:tc>
      </w:tr>
      <w:tr>
        <w:tblPrEx/>
        <w:trPr/>
        <w:tc>
          <w:tcPr>
            <w:tcW w:w="1650" w:type="dxa"/>
            <w:tcBorders/>
          </w:tcPr>
          <w:p>
            <w:pPr>
              <w:pStyle w:val="style0"/>
              <w:spacing w:before="0"/>
              <w:rPr>
                <w:color w:val="000000"/>
                <w:w w:val="101"/>
                <w:sz w:val="22"/>
              </w:rPr>
            </w:pPr>
            <w:r>
              <w:rPr>
                <w:color w:val="000000"/>
                <w:w w:val="101"/>
                <w:sz w:val="22"/>
              </w:rPr>
              <w:t>GIP</w:t>
            </w:r>
          </w:p>
        </w:tc>
        <w:tc>
          <w:tcPr>
            <w:tcW w:w="416" w:type="dxa"/>
            <w:tcBorders/>
          </w:tcPr>
          <w:p>
            <w:pPr>
              <w:pStyle w:val="style0"/>
              <w:spacing w:before="0"/>
              <w:rPr>
                <w:sz w:val="22"/>
              </w:rPr>
            </w:pPr>
            <w:r>
              <w:rPr>
                <w:sz w:val="22"/>
              </w:rPr>
              <w:t>:</w:t>
            </w:r>
          </w:p>
        </w:tc>
        <w:tc>
          <w:tcPr>
            <w:tcW w:w="7384" w:type="dxa"/>
            <w:tcBorders/>
          </w:tcPr>
          <w:p>
            <w:pPr>
              <w:pStyle w:val="style0"/>
              <w:spacing w:before="0"/>
              <w:rPr>
                <w:color w:val="000000"/>
                <w:spacing w:val="-1"/>
                <w:w w:val="101"/>
                <w:sz w:val="22"/>
              </w:rPr>
            </w:pPr>
            <w:r>
              <w:rPr>
                <w:color w:val="000000"/>
                <w:spacing w:val="-1"/>
                <w:w w:val="101"/>
                <w:sz w:val="22"/>
              </w:rPr>
              <w:t>Gestion intégrée des Pestes</w:t>
            </w:r>
          </w:p>
        </w:tc>
      </w:tr>
      <w:bookmarkStart w:id="7" w:name="_Toc283269366"/>
      <w:bookmarkStart w:id="8" w:name="_Toc283322881"/>
      <w:bookmarkStart w:id="9" w:name="_Toc283323136"/>
      <w:bookmarkStart w:id="10" w:name="_Toc283352144"/>
      <w:bookmarkStart w:id="11" w:name="_Toc283547344"/>
      <w:bookmarkStart w:id="12" w:name="_Toc284183982"/>
      <w:bookmarkStart w:id="13" w:name="_Toc284397348"/>
      <w:bookmarkStart w:id="14" w:name="_Toc284400526"/>
      <w:tr>
        <w:tblPrEx/>
        <w:trPr/>
        <w:tc>
          <w:tcPr>
            <w:tcW w:w="1650" w:type="dxa"/>
            <w:tcBorders/>
          </w:tcPr>
          <w:p>
            <w:pPr>
              <w:pStyle w:val="style0"/>
              <w:spacing w:before="0"/>
              <w:rPr>
                <w:sz w:val="22"/>
              </w:rPr>
            </w:pPr>
            <w:r>
              <w:rPr>
                <w:sz w:val="22"/>
              </w:rPr>
              <w:t>GIPD</w:t>
            </w:r>
            <w:bookmarkEnd w:id="7"/>
            <w:bookmarkEnd w:id="8"/>
            <w:bookmarkEnd w:id="9"/>
            <w:bookmarkEnd w:id="10"/>
            <w:bookmarkEnd w:id="11"/>
            <w:bookmarkEnd w:id="12"/>
            <w:bookmarkEnd w:id="13"/>
            <w:bookmarkEnd w:id="14"/>
          </w:p>
        </w:tc>
        <w:tc>
          <w:tcPr>
            <w:tcW w:w="416" w:type="dxa"/>
            <w:tcBorders/>
          </w:tcPr>
          <w:p>
            <w:pPr>
              <w:pStyle w:val="style0"/>
              <w:spacing w:before="0"/>
              <w:rPr>
                <w:sz w:val="22"/>
              </w:rPr>
            </w:pPr>
            <w:r>
              <w:rPr>
                <w:sz w:val="22"/>
              </w:rPr>
              <w:t>:</w:t>
            </w:r>
          </w:p>
          <w:bookmarkStart w:id="15" w:name="_Toc283269367"/>
          <w:bookmarkStart w:id="16" w:name="_Toc283322882"/>
          <w:bookmarkStart w:id="17" w:name="_Toc283323137"/>
          <w:bookmarkStart w:id="18" w:name="_Toc283352145"/>
          <w:bookmarkStart w:id="19" w:name="_Toc283547345"/>
          <w:bookmarkStart w:id="20" w:name="_Toc284183983"/>
          <w:bookmarkStart w:id="21" w:name="_Toc284397349"/>
          <w:bookmarkStart w:id="22" w:name="_Toc284400527"/>
        </w:tc>
        <w:tc>
          <w:tcPr>
            <w:tcW w:w="7384" w:type="dxa"/>
            <w:tcBorders/>
          </w:tcPr>
          <w:p>
            <w:pPr>
              <w:pStyle w:val="style0"/>
              <w:spacing w:before="0"/>
              <w:rPr>
                <w:sz w:val="22"/>
              </w:rPr>
            </w:pPr>
            <w:r>
              <w:rPr>
                <w:sz w:val="22"/>
              </w:rPr>
              <w:t>Gestion Intégrée de la Production et des Déprédateurs</w:t>
            </w:r>
            <w:bookmarkEnd w:id="15"/>
            <w:bookmarkEnd w:id="16"/>
            <w:bookmarkEnd w:id="17"/>
            <w:bookmarkEnd w:id="18"/>
            <w:bookmarkEnd w:id="19"/>
            <w:bookmarkEnd w:id="20"/>
            <w:bookmarkEnd w:id="21"/>
            <w:bookmarkEnd w:id="22"/>
          </w:p>
        </w:tc>
      </w:tr>
      <w:bookmarkStart w:id="23" w:name="_Toc283269368"/>
      <w:bookmarkStart w:id="24" w:name="_Toc283322883"/>
      <w:bookmarkStart w:id="25" w:name="_Toc283323138"/>
      <w:bookmarkStart w:id="26" w:name="_Toc283352146"/>
      <w:bookmarkStart w:id="27" w:name="_Toc283547346"/>
      <w:bookmarkStart w:id="28" w:name="_Toc284183984"/>
      <w:bookmarkStart w:id="29" w:name="_Toc284397350"/>
      <w:bookmarkStart w:id="30" w:name="_Toc284400528"/>
      <w:tr>
        <w:tblPrEx/>
        <w:trPr/>
        <w:tc>
          <w:tcPr>
            <w:tcW w:w="1650" w:type="dxa"/>
            <w:tcBorders/>
          </w:tcPr>
          <w:p>
            <w:pPr>
              <w:pStyle w:val="style0"/>
              <w:spacing w:before="0"/>
              <w:rPr>
                <w:sz w:val="22"/>
              </w:rPr>
            </w:pPr>
            <w:r>
              <w:rPr>
                <w:sz w:val="22"/>
              </w:rPr>
              <w:t>GPP</w:t>
            </w:r>
            <w:bookmarkEnd w:id="23"/>
            <w:bookmarkEnd w:id="24"/>
            <w:bookmarkEnd w:id="25"/>
            <w:bookmarkEnd w:id="26"/>
            <w:bookmarkEnd w:id="27"/>
            <w:bookmarkEnd w:id="28"/>
            <w:bookmarkEnd w:id="29"/>
            <w:bookmarkEnd w:id="30"/>
          </w:p>
        </w:tc>
        <w:tc>
          <w:tcPr>
            <w:tcW w:w="416" w:type="dxa"/>
            <w:tcBorders/>
          </w:tcPr>
          <w:p>
            <w:pPr>
              <w:pStyle w:val="style0"/>
              <w:spacing w:before="0"/>
              <w:rPr>
                <w:sz w:val="22"/>
              </w:rPr>
            </w:pPr>
            <w:r>
              <w:rPr>
                <w:sz w:val="22"/>
              </w:rPr>
              <w:t>:</w:t>
            </w:r>
          </w:p>
          <w:bookmarkStart w:id="31" w:name="_Toc283269369"/>
          <w:bookmarkStart w:id="32" w:name="_Toc283322884"/>
          <w:bookmarkStart w:id="33" w:name="_Toc283323139"/>
          <w:bookmarkStart w:id="34" w:name="_Toc283352147"/>
          <w:bookmarkStart w:id="35" w:name="_Toc283547347"/>
          <w:bookmarkStart w:id="36" w:name="_Toc284183985"/>
          <w:bookmarkStart w:id="37" w:name="_Toc284397351"/>
          <w:bookmarkStart w:id="38" w:name="_Toc284400529"/>
        </w:tc>
        <w:tc>
          <w:tcPr>
            <w:tcW w:w="7384" w:type="dxa"/>
            <w:tcBorders/>
          </w:tcPr>
          <w:p>
            <w:pPr>
              <w:pStyle w:val="style0"/>
              <w:spacing w:before="0"/>
              <w:rPr>
                <w:sz w:val="22"/>
              </w:rPr>
            </w:pPr>
            <w:r>
              <w:rPr>
                <w:sz w:val="22"/>
              </w:rPr>
              <w:t>Gestion des Pestes et des Pesticides</w:t>
            </w:r>
            <w:bookmarkEnd w:id="31"/>
            <w:bookmarkEnd w:id="32"/>
            <w:bookmarkEnd w:id="33"/>
            <w:bookmarkEnd w:id="34"/>
            <w:bookmarkEnd w:id="35"/>
            <w:bookmarkEnd w:id="36"/>
            <w:bookmarkEnd w:id="37"/>
            <w:bookmarkEnd w:id="38"/>
          </w:p>
        </w:tc>
      </w:tr>
      <w:tr>
        <w:tblPrEx/>
        <w:trPr/>
        <w:tc>
          <w:tcPr>
            <w:tcW w:w="1650" w:type="dxa"/>
            <w:tcBorders/>
          </w:tcPr>
          <w:p>
            <w:pPr>
              <w:pStyle w:val="style0"/>
              <w:spacing w:before="0"/>
              <w:rPr>
                <w:sz w:val="22"/>
              </w:rPr>
            </w:pPr>
            <w:r>
              <w:rPr>
                <w:sz w:val="22"/>
              </w:rPr>
              <w:t>IEC</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Information, Education, Communication</w:t>
            </w:r>
          </w:p>
        </w:tc>
      </w:tr>
      <w:tr>
        <w:tblPrEx/>
        <w:trPr/>
        <w:tc>
          <w:tcPr>
            <w:tcW w:w="1650" w:type="dxa"/>
            <w:tcBorders/>
          </w:tcPr>
          <w:p>
            <w:pPr>
              <w:pStyle w:val="style0"/>
              <w:spacing w:before="0"/>
              <w:rPr>
                <w:sz w:val="22"/>
              </w:rPr>
            </w:pPr>
            <w:r>
              <w:rPr>
                <w:sz w:val="22"/>
              </w:rPr>
              <w:t>IFDC</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Centre International pour la Fertilité des sols et le Développement Agricole</w:t>
            </w:r>
          </w:p>
        </w:tc>
      </w:tr>
      <w:bookmarkStart w:id="39" w:name="_Toc283269370"/>
      <w:bookmarkStart w:id="40" w:name="_Toc283322885"/>
      <w:bookmarkStart w:id="41" w:name="_Toc283323140"/>
      <w:bookmarkStart w:id="42" w:name="_Toc283352148"/>
      <w:bookmarkStart w:id="43" w:name="_Toc283547348"/>
      <w:bookmarkStart w:id="44" w:name="_Toc284183988"/>
      <w:bookmarkStart w:id="45" w:name="_Toc284397354"/>
      <w:bookmarkStart w:id="46" w:name="_Toc284400532"/>
      <w:tr>
        <w:tblPrEx/>
        <w:trPr/>
        <w:tc>
          <w:tcPr>
            <w:tcW w:w="1650" w:type="dxa"/>
            <w:tcBorders/>
          </w:tcPr>
          <w:p>
            <w:pPr>
              <w:pStyle w:val="style0"/>
              <w:spacing w:before="0"/>
              <w:rPr>
                <w:rStyle w:val="style4197"/>
                <w:rFonts w:ascii="Times New Roman" w:cs="Times New Roman" w:hAnsi="Times New Roman"/>
                <w:b w:val="false"/>
                <w:bCs w:val="false"/>
                <w:sz w:val="22"/>
                <w:szCs w:val="24"/>
              </w:rPr>
            </w:pPr>
            <w:r>
              <w:rPr>
                <w:rStyle w:val="style4197"/>
                <w:rFonts w:ascii="Times New Roman" w:cs="Times New Roman" w:hAnsi="Times New Roman"/>
                <w:b w:val="false"/>
                <w:bCs w:val="false"/>
                <w:sz w:val="22"/>
                <w:szCs w:val="24"/>
              </w:rPr>
              <w:t>INERA</w:t>
            </w:r>
            <w:bookmarkEnd w:id="39"/>
            <w:bookmarkEnd w:id="40"/>
            <w:bookmarkEnd w:id="41"/>
            <w:bookmarkEnd w:id="42"/>
            <w:bookmarkEnd w:id="43"/>
            <w:bookmarkEnd w:id="44"/>
            <w:bookmarkEnd w:id="45"/>
            <w:bookmarkEnd w:id="46"/>
          </w:p>
        </w:tc>
        <w:tc>
          <w:tcPr>
            <w:tcW w:w="416" w:type="dxa"/>
            <w:tcBorders/>
          </w:tcPr>
          <w:p>
            <w:pPr>
              <w:pStyle w:val="style0"/>
              <w:spacing w:before="0"/>
              <w:rPr>
                <w:sz w:val="22"/>
              </w:rPr>
            </w:pPr>
            <w:r>
              <w:rPr>
                <w:sz w:val="22"/>
              </w:rPr>
              <w:t>:</w:t>
            </w:r>
          </w:p>
          <w:bookmarkStart w:id="47" w:name="_Toc283269371"/>
          <w:bookmarkStart w:id="48" w:name="_Toc283322886"/>
          <w:bookmarkStart w:id="49" w:name="_Toc283323141"/>
          <w:bookmarkStart w:id="50" w:name="_Toc283352149"/>
          <w:bookmarkStart w:id="51" w:name="_Toc283547349"/>
          <w:bookmarkStart w:id="52" w:name="_Toc284183989"/>
          <w:bookmarkStart w:id="53" w:name="_Toc284397355"/>
          <w:bookmarkStart w:id="54" w:name="_Toc284400533"/>
        </w:tc>
        <w:tc>
          <w:tcPr>
            <w:tcW w:w="7384" w:type="dxa"/>
            <w:tcBorders/>
          </w:tcPr>
          <w:p>
            <w:pPr>
              <w:pStyle w:val="style0"/>
              <w:spacing w:before="0"/>
              <w:rPr>
                <w:rStyle w:val="style4197"/>
                <w:rFonts w:ascii="Times New Roman" w:cs="Times New Roman" w:hAnsi="Times New Roman"/>
                <w:b w:val="false"/>
                <w:bCs w:val="false"/>
                <w:sz w:val="22"/>
                <w:szCs w:val="24"/>
              </w:rPr>
            </w:pPr>
            <w:r>
              <w:rPr>
                <w:rStyle w:val="style4197"/>
                <w:rFonts w:ascii="Times New Roman" w:cs="Times New Roman" w:hAnsi="Times New Roman"/>
                <w:b w:val="false"/>
                <w:bCs w:val="false"/>
                <w:sz w:val="22"/>
                <w:szCs w:val="24"/>
              </w:rPr>
              <w:t>Institut de l’Environnement et de Recherches Agricoles</w:t>
            </w:r>
            <w:bookmarkEnd w:id="47"/>
            <w:bookmarkEnd w:id="48"/>
            <w:bookmarkEnd w:id="49"/>
            <w:bookmarkEnd w:id="50"/>
            <w:bookmarkEnd w:id="51"/>
            <w:bookmarkEnd w:id="52"/>
            <w:bookmarkEnd w:id="53"/>
            <w:bookmarkEnd w:id="54"/>
          </w:p>
        </w:tc>
      </w:tr>
      <w:bookmarkStart w:id="55" w:name="_Toc283269372"/>
      <w:bookmarkStart w:id="56" w:name="_Toc283322887"/>
      <w:bookmarkStart w:id="57" w:name="_Toc283323142"/>
      <w:bookmarkStart w:id="58" w:name="_Toc283352150"/>
      <w:bookmarkStart w:id="59" w:name="_Toc283547350"/>
      <w:bookmarkStart w:id="60" w:name="_Toc284183990"/>
      <w:bookmarkStart w:id="61" w:name="_Toc284397356"/>
      <w:bookmarkStart w:id="62" w:name="_Toc284400534"/>
      <w:tr>
        <w:tblPrEx/>
        <w:trPr/>
        <w:tc>
          <w:tcPr>
            <w:tcW w:w="1650" w:type="dxa"/>
            <w:tcBorders/>
          </w:tcPr>
          <w:p>
            <w:pPr>
              <w:pStyle w:val="style0"/>
              <w:spacing w:before="0"/>
              <w:rPr>
                <w:rStyle w:val="style4197"/>
                <w:rFonts w:ascii="Times New Roman" w:cs="Times New Roman" w:hAnsi="Times New Roman"/>
                <w:b w:val="false"/>
                <w:bCs w:val="false"/>
                <w:sz w:val="22"/>
                <w:szCs w:val="24"/>
              </w:rPr>
            </w:pPr>
            <w:r>
              <w:rPr>
                <w:rStyle w:val="style4197"/>
                <w:rFonts w:ascii="Times New Roman" w:cs="Times New Roman" w:hAnsi="Times New Roman"/>
                <w:b w:val="false"/>
                <w:bCs w:val="false"/>
                <w:sz w:val="22"/>
                <w:szCs w:val="24"/>
              </w:rPr>
              <w:t>IRSS</w:t>
            </w:r>
            <w:bookmarkEnd w:id="55"/>
            <w:bookmarkEnd w:id="56"/>
            <w:bookmarkEnd w:id="57"/>
            <w:bookmarkEnd w:id="58"/>
            <w:bookmarkEnd w:id="59"/>
            <w:bookmarkEnd w:id="60"/>
            <w:bookmarkEnd w:id="61"/>
            <w:bookmarkEnd w:id="62"/>
          </w:p>
        </w:tc>
        <w:tc>
          <w:tcPr>
            <w:tcW w:w="416" w:type="dxa"/>
            <w:tcBorders/>
          </w:tcPr>
          <w:p>
            <w:pPr>
              <w:pStyle w:val="style0"/>
              <w:spacing w:before="0"/>
              <w:rPr>
                <w:sz w:val="22"/>
              </w:rPr>
            </w:pPr>
            <w:r>
              <w:rPr>
                <w:sz w:val="22"/>
              </w:rPr>
              <w:t>:</w:t>
            </w:r>
          </w:p>
          <w:bookmarkStart w:id="63" w:name="_Toc283269373"/>
          <w:bookmarkStart w:id="64" w:name="_Toc283322888"/>
          <w:bookmarkStart w:id="65" w:name="_Toc283323143"/>
          <w:bookmarkStart w:id="66" w:name="_Toc283352151"/>
          <w:bookmarkStart w:id="67" w:name="_Toc283547351"/>
          <w:bookmarkStart w:id="68" w:name="_Toc284183991"/>
          <w:bookmarkStart w:id="69" w:name="_Toc284397357"/>
          <w:bookmarkStart w:id="70" w:name="_Toc284400535"/>
        </w:tc>
        <w:tc>
          <w:tcPr>
            <w:tcW w:w="7384" w:type="dxa"/>
            <w:tcBorders/>
          </w:tcPr>
          <w:p>
            <w:pPr>
              <w:pStyle w:val="style0"/>
              <w:spacing w:before="0"/>
              <w:rPr>
                <w:rStyle w:val="style4197"/>
                <w:rFonts w:ascii="Times New Roman" w:cs="Times New Roman" w:hAnsi="Times New Roman"/>
                <w:b w:val="false"/>
                <w:bCs w:val="false"/>
                <w:sz w:val="22"/>
                <w:szCs w:val="24"/>
              </w:rPr>
            </w:pPr>
            <w:r>
              <w:rPr>
                <w:rStyle w:val="style4197"/>
                <w:rFonts w:ascii="Times New Roman" w:cs="Times New Roman" w:hAnsi="Times New Roman"/>
                <w:b w:val="false"/>
                <w:bCs w:val="false"/>
                <w:sz w:val="22"/>
                <w:szCs w:val="24"/>
              </w:rPr>
              <w:t>Institut de Recherches en Science de la Santé</w:t>
            </w:r>
            <w:bookmarkEnd w:id="63"/>
            <w:bookmarkEnd w:id="64"/>
            <w:bookmarkEnd w:id="65"/>
            <w:bookmarkEnd w:id="66"/>
            <w:bookmarkEnd w:id="67"/>
            <w:bookmarkEnd w:id="68"/>
            <w:bookmarkEnd w:id="69"/>
            <w:bookmarkEnd w:id="70"/>
          </w:p>
        </w:tc>
      </w:tr>
      <w:tr>
        <w:tblPrEx/>
        <w:trPr/>
        <w:tc>
          <w:tcPr>
            <w:tcW w:w="1650" w:type="dxa"/>
            <w:tcBorders/>
          </w:tcPr>
          <w:p>
            <w:pPr>
              <w:pStyle w:val="style0"/>
              <w:spacing w:before="0"/>
              <w:rPr>
                <w:sz w:val="22"/>
              </w:rPr>
            </w:pPr>
            <w:r>
              <w:rPr>
                <w:sz w:val="22"/>
              </w:rPr>
              <w:t>LAQE</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Laboratoire d’Analyse de la Qualité de l’Environnement</w:t>
            </w:r>
          </w:p>
        </w:tc>
      </w:tr>
      <w:tr>
        <w:tblPrEx/>
        <w:trPr/>
        <w:tc>
          <w:tcPr>
            <w:tcW w:w="1650" w:type="dxa"/>
            <w:tcBorders/>
          </w:tcPr>
          <w:p>
            <w:pPr>
              <w:pStyle w:val="style0"/>
              <w:spacing w:before="0"/>
              <w:rPr>
                <w:sz w:val="22"/>
              </w:rPr>
            </w:pPr>
            <w:r>
              <w:rPr>
                <w:sz w:val="22"/>
              </w:rPr>
              <w:t>LDC</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 xml:space="preserve">Louis Dreyfus Commodities </w:t>
            </w:r>
          </w:p>
        </w:tc>
      </w:tr>
      <w:tr>
        <w:tblPrEx/>
        <w:trPr>
          <w:trHeight w:val="158" w:hRule="atLeast"/>
        </w:trPr>
        <w:tc>
          <w:tcPr>
            <w:tcW w:w="1650" w:type="dxa"/>
            <w:tcBorders/>
          </w:tcPr>
          <w:p>
            <w:pPr>
              <w:pStyle w:val="style0"/>
              <w:spacing w:before="0"/>
              <w:rPr>
                <w:sz w:val="22"/>
              </w:rPr>
            </w:pPr>
            <w:r>
              <w:rPr>
                <w:sz w:val="22"/>
              </w:rPr>
              <w:t>LIP</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Lutte Intégrée contre les Parasites</w:t>
            </w:r>
          </w:p>
        </w:tc>
      </w:tr>
      <w:tr>
        <w:tblPrEx/>
        <w:trPr/>
        <w:tc>
          <w:tcPr>
            <w:tcW w:w="1650" w:type="dxa"/>
            <w:tcBorders/>
          </w:tcPr>
          <w:p>
            <w:pPr>
              <w:pStyle w:val="style0"/>
              <w:spacing w:before="0"/>
              <w:rPr>
                <w:sz w:val="22"/>
              </w:rPr>
            </w:pPr>
            <w:r>
              <w:rPr>
                <w:sz w:val="22"/>
              </w:rPr>
              <w:t>LIV</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color w:val="000000"/>
                <w:sz w:val="22"/>
              </w:rPr>
              <w:t>Lutte Intégrée contre les Vecteurs</w:t>
            </w:r>
          </w:p>
        </w:tc>
      </w:tr>
      <w:tr>
        <w:tblPrEx/>
        <w:trPr>
          <w:trHeight w:val="305" w:hRule="atLeast"/>
        </w:trPr>
        <w:tc>
          <w:tcPr>
            <w:tcW w:w="1650" w:type="dxa"/>
            <w:tcBorders/>
          </w:tcPr>
          <w:p>
            <w:pPr>
              <w:pStyle w:val="style0"/>
              <w:spacing w:before="0"/>
              <w:rPr>
                <w:sz w:val="22"/>
              </w:rPr>
            </w:pPr>
            <w:r>
              <w:rPr>
                <w:sz w:val="22"/>
              </w:rPr>
              <w:t>LMR</w:t>
            </w:r>
          </w:p>
        </w:tc>
        <w:tc>
          <w:tcPr>
            <w:tcW w:w="416" w:type="dxa"/>
            <w:tcBorders/>
          </w:tcPr>
          <w:p>
            <w:pPr>
              <w:pStyle w:val="style0"/>
              <w:spacing w:before="0"/>
              <w:rPr>
                <w:sz w:val="22"/>
              </w:rPr>
            </w:pPr>
            <w:r>
              <w:rPr>
                <w:sz w:val="22"/>
              </w:rPr>
              <w:t>:</w:t>
            </w:r>
          </w:p>
        </w:tc>
        <w:tc>
          <w:tcPr>
            <w:tcW w:w="7384" w:type="dxa"/>
            <w:tcBorders/>
          </w:tcPr>
          <w:p>
            <w:pPr>
              <w:pStyle w:val="style0"/>
              <w:spacing w:before="0"/>
              <w:rPr>
                <w:color w:val="000000"/>
                <w:sz w:val="22"/>
              </w:rPr>
            </w:pPr>
            <w:r>
              <w:rPr>
                <w:color w:val="000000"/>
                <w:sz w:val="22"/>
              </w:rPr>
              <w:t>Limites Maximales de Résidus</w:t>
            </w:r>
          </w:p>
        </w:tc>
      </w:tr>
      <w:tr>
        <w:tblPrEx/>
        <w:trPr/>
        <w:tc>
          <w:tcPr>
            <w:tcW w:w="1650" w:type="dxa"/>
            <w:tcBorders/>
          </w:tcPr>
          <w:p>
            <w:pPr>
              <w:pStyle w:val="style0"/>
              <w:spacing w:before="0"/>
              <w:rPr>
                <w:sz w:val="22"/>
              </w:rPr>
            </w:pPr>
            <w:r>
              <w:rPr>
                <w:sz w:val="22"/>
              </w:rPr>
              <w:t>LNSP</w:t>
            </w:r>
          </w:p>
        </w:tc>
        <w:tc>
          <w:tcPr>
            <w:tcW w:w="416" w:type="dxa"/>
            <w:tcBorders/>
          </w:tcPr>
          <w:p>
            <w:pPr>
              <w:pStyle w:val="style0"/>
              <w:spacing w:before="0"/>
              <w:rPr>
                <w:sz w:val="22"/>
              </w:rPr>
            </w:pPr>
            <w:r>
              <w:rPr>
                <w:sz w:val="22"/>
              </w:rPr>
              <w:t>:</w:t>
            </w:r>
          </w:p>
        </w:tc>
        <w:tc>
          <w:tcPr>
            <w:tcW w:w="7384" w:type="dxa"/>
            <w:tcBorders/>
          </w:tcPr>
          <w:p>
            <w:pPr>
              <w:pStyle w:val="style0"/>
              <w:spacing w:before="0"/>
              <w:rPr>
                <w:color w:val="000000"/>
                <w:sz w:val="22"/>
              </w:rPr>
            </w:pPr>
            <w:r>
              <w:rPr>
                <w:color w:val="000000"/>
                <w:sz w:val="22"/>
              </w:rPr>
              <w:t>Laboratoire National de Santé Publique</w:t>
            </w:r>
          </w:p>
        </w:tc>
      </w:tr>
      <w:tr>
        <w:tblPrEx/>
        <w:trPr/>
        <w:tc>
          <w:tcPr>
            <w:tcW w:w="1650" w:type="dxa"/>
            <w:tcBorders/>
          </w:tcPr>
          <w:p>
            <w:pPr>
              <w:pStyle w:val="style0"/>
              <w:spacing w:before="0"/>
              <w:rPr>
                <w:sz w:val="22"/>
              </w:rPr>
            </w:pPr>
            <w:r>
              <w:rPr>
                <w:sz w:val="22"/>
              </w:rPr>
              <w:t>m.a.</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Matière active</w:t>
            </w:r>
          </w:p>
        </w:tc>
      </w:tr>
      <w:tr>
        <w:tblPrEx/>
        <w:trPr>
          <w:trHeight w:val="256" w:hRule="atLeast"/>
        </w:trPr>
        <w:tc>
          <w:tcPr>
            <w:tcW w:w="1650" w:type="dxa"/>
            <w:tcBorders/>
          </w:tcPr>
          <w:p>
            <w:pPr>
              <w:pStyle w:val="style0"/>
              <w:spacing w:before="0"/>
              <w:rPr>
                <w:color w:val="000000"/>
                <w:sz w:val="22"/>
              </w:rPr>
            </w:pPr>
            <w:r>
              <w:rPr>
                <w:color w:val="000000"/>
                <w:sz w:val="22"/>
              </w:rPr>
              <w:t>MAAH</w:t>
            </w:r>
          </w:p>
        </w:tc>
        <w:tc>
          <w:tcPr>
            <w:tcW w:w="416" w:type="dxa"/>
            <w:tcBorders/>
          </w:tcPr>
          <w:p>
            <w:pPr>
              <w:pStyle w:val="style0"/>
              <w:spacing w:before="0"/>
              <w:rPr>
                <w:color w:val="000000"/>
                <w:sz w:val="22"/>
              </w:rPr>
            </w:pPr>
            <w:r>
              <w:rPr>
                <w:color w:val="000000"/>
                <w:sz w:val="22"/>
              </w:rPr>
              <w:t>:</w:t>
            </w:r>
          </w:p>
        </w:tc>
        <w:tc>
          <w:tcPr>
            <w:tcW w:w="7384" w:type="dxa"/>
            <w:tcBorders/>
          </w:tcPr>
          <w:p>
            <w:pPr>
              <w:pStyle w:val="style0"/>
              <w:spacing w:before="0"/>
              <w:rPr>
                <w:color w:val="000000"/>
                <w:sz w:val="22"/>
              </w:rPr>
            </w:pPr>
            <w:r>
              <w:rPr>
                <w:color w:val="000000"/>
                <w:sz w:val="22"/>
              </w:rPr>
              <w:t>Ministère de l’Agriculture et des Aménagements Hydrauliques</w:t>
            </w:r>
          </w:p>
        </w:tc>
      </w:tr>
      <w:tr>
        <w:tblPrEx/>
        <w:trPr/>
        <w:tc>
          <w:tcPr>
            <w:tcW w:w="1650" w:type="dxa"/>
            <w:tcBorders/>
          </w:tcPr>
          <w:p>
            <w:pPr>
              <w:pStyle w:val="style0"/>
              <w:spacing w:before="0"/>
              <w:rPr>
                <w:sz w:val="22"/>
              </w:rPr>
            </w:pPr>
            <w:r>
              <w:rPr>
                <w:sz w:val="22"/>
              </w:rPr>
              <w:t>MEA</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 xml:space="preserve">Ministère de l’Eau et de l’Assainissement </w:t>
            </w:r>
          </w:p>
        </w:tc>
      </w:tr>
      <w:tr>
        <w:tblPrEx/>
        <w:trPr/>
        <w:tc>
          <w:tcPr>
            <w:tcW w:w="1650" w:type="dxa"/>
            <w:tcBorders/>
          </w:tcPr>
          <w:p>
            <w:pPr>
              <w:pStyle w:val="style0"/>
              <w:spacing w:before="0"/>
              <w:rPr>
                <w:sz w:val="22"/>
              </w:rPr>
            </w:pPr>
            <w:r>
              <w:rPr>
                <w:sz w:val="22"/>
              </w:rPr>
              <w:t>MEEVCC</w:t>
            </w:r>
          </w:p>
        </w:tc>
        <w:tc>
          <w:tcPr>
            <w:tcW w:w="416" w:type="dxa"/>
            <w:tcBorders/>
          </w:tcPr>
          <w:p>
            <w:pPr>
              <w:pStyle w:val="style0"/>
              <w:spacing w:before="0"/>
              <w:rPr>
                <w:sz w:val="22"/>
              </w:rPr>
            </w:pPr>
            <w:r>
              <w:rPr>
                <w:sz w:val="22"/>
              </w:rPr>
              <w:t>:</w:t>
            </w:r>
          </w:p>
          <w:bookmarkStart w:id="71" w:name="_Toc284183995"/>
          <w:bookmarkStart w:id="72" w:name="_Toc284397361"/>
          <w:bookmarkStart w:id="73" w:name="_Toc284400539"/>
        </w:tc>
        <w:tc>
          <w:tcPr>
            <w:tcW w:w="7384" w:type="dxa"/>
            <w:tcBorders/>
          </w:tcPr>
          <w:p>
            <w:pPr>
              <w:pStyle w:val="style0"/>
              <w:spacing w:before="0"/>
              <w:rPr>
                <w:sz w:val="22"/>
              </w:rPr>
            </w:pPr>
            <w:r>
              <w:rPr>
                <w:sz w:val="22"/>
              </w:rPr>
              <w:t xml:space="preserve">Ministère de l’Environnement, de l’Economie Verte, et du Changement Climatique </w:t>
            </w:r>
            <w:bookmarkEnd w:id="71"/>
            <w:bookmarkEnd w:id="72"/>
            <w:bookmarkEnd w:id="73"/>
          </w:p>
        </w:tc>
      </w:tr>
      <w:tr>
        <w:tblPrEx/>
        <w:trPr/>
        <w:tc>
          <w:tcPr>
            <w:tcW w:w="1650" w:type="dxa"/>
            <w:tcBorders/>
          </w:tcPr>
          <w:p>
            <w:pPr>
              <w:pStyle w:val="style0"/>
              <w:spacing w:before="0"/>
              <w:rPr>
                <w:sz w:val="22"/>
              </w:rPr>
            </w:pPr>
            <w:r>
              <w:rPr>
                <w:sz w:val="22"/>
              </w:rPr>
              <w:t>MGIP</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 xml:space="preserve">Mesures de Gestion Intégrée des Pestes </w:t>
            </w:r>
          </w:p>
        </w:tc>
      </w:tr>
      <w:tr>
        <w:tblPrEx/>
        <w:trPr/>
        <w:tc>
          <w:tcPr>
            <w:tcW w:w="1650" w:type="dxa"/>
            <w:tcBorders/>
          </w:tcPr>
          <w:p>
            <w:pPr>
              <w:pStyle w:val="style0"/>
              <w:spacing w:before="0"/>
              <w:rPr>
                <w:color w:val="000000"/>
                <w:sz w:val="22"/>
              </w:rPr>
            </w:pPr>
            <w:r>
              <w:rPr>
                <w:color w:val="000000"/>
                <w:sz w:val="22"/>
              </w:rPr>
              <w:t>MILD</w:t>
            </w:r>
          </w:p>
        </w:tc>
        <w:tc>
          <w:tcPr>
            <w:tcW w:w="416" w:type="dxa"/>
            <w:tcBorders/>
          </w:tcPr>
          <w:p>
            <w:pPr>
              <w:pStyle w:val="style0"/>
              <w:spacing w:before="0"/>
              <w:rPr>
                <w:sz w:val="22"/>
              </w:rPr>
            </w:pPr>
            <w:r>
              <w:rPr>
                <w:sz w:val="22"/>
              </w:rPr>
              <w:t>:</w:t>
            </w:r>
          </w:p>
        </w:tc>
        <w:tc>
          <w:tcPr>
            <w:tcW w:w="7384" w:type="dxa"/>
            <w:tcBorders/>
          </w:tcPr>
          <w:p>
            <w:pPr>
              <w:pStyle w:val="style0"/>
              <w:spacing w:before="0"/>
              <w:rPr>
                <w:color w:val="000000"/>
                <w:sz w:val="22"/>
              </w:rPr>
            </w:pPr>
            <w:r>
              <w:rPr>
                <w:color w:val="000000"/>
                <w:sz w:val="22"/>
              </w:rPr>
              <w:t>Moustiquaire Imprégnée à Longue Durée</w:t>
            </w:r>
          </w:p>
        </w:tc>
      </w:tr>
      <w:tr>
        <w:tblPrEx/>
        <w:trPr/>
        <w:tc>
          <w:tcPr>
            <w:tcW w:w="1650" w:type="dxa"/>
            <w:tcBorders/>
          </w:tcPr>
          <w:p>
            <w:pPr>
              <w:pStyle w:val="style0"/>
              <w:spacing w:before="0"/>
              <w:rPr>
                <w:sz w:val="22"/>
              </w:rPr>
            </w:pPr>
            <w:r>
              <w:rPr>
                <w:sz w:val="22"/>
              </w:rPr>
              <w:t>MRA</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 xml:space="preserve">Ministère des Ressources Animales  </w:t>
            </w:r>
          </w:p>
        </w:tc>
      </w:tr>
      <w:tr>
        <w:tblPrEx/>
        <w:trPr/>
        <w:tc>
          <w:tcPr>
            <w:tcW w:w="1650" w:type="dxa"/>
            <w:tcBorders/>
          </w:tcPr>
          <w:p>
            <w:pPr>
              <w:pStyle w:val="style0"/>
              <w:spacing w:before="0"/>
              <w:rPr>
                <w:sz w:val="22"/>
              </w:rPr>
            </w:pPr>
            <w:r>
              <w:rPr>
                <w:sz w:val="22"/>
              </w:rPr>
              <w:t>MTV</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Maladies à Transmission Vectorielle</w:t>
            </w:r>
          </w:p>
        </w:tc>
      </w:tr>
      <w:tr>
        <w:tblPrEx/>
        <w:trPr/>
        <w:tc>
          <w:tcPr>
            <w:tcW w:w="1650" w:type="dxa"/>
            <w:tcBorders/>
          </w:tcPr>
          <w:p>
            <w:pPr>
              <w:pStyle w:val="style0"/>
              <w:spacing w:before="0"/>
              <w:rPr>
                <w:sz w:val="22"/>
              </w:rPr>
            </w:pPr>
            <w:r>
              <w:rPr>
                <w:sz w:val="22"/>
              </w:rPr>
              <w:t>ODD</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Objectifs de Développement Durable</w:t>
            </w:r>
          </w:p>
        </w:tc>
      </w:tr>
      <w:tr>
        <w:tblPrEx/>
        <w:trPr/>
        <w:tc>
          <w:tcPr>
            <w:tcW w:w="1650" w:type="dxa"/>
            <w:tcBorders/>
          </w:tcPr>
          <w:p>
            <w:pPr>
              <w:pStyle w:val="style0"/>
              <w:spacing w:before="0"/>
              <w:rPr>
                <w:color w:val="000000"/>
                <w:sz w:val="22"/>
              </w:rPr>
            </w:pPr>
            <w:r>
              <w:rPr>
                <w:color w:val="000000"/>
                <w:sz w:val="22"/>
              </w:rPr>
              <w:t>OMS</w:t>
            </w:r>
          </w:p>
        </w:tc>
        <w:tc>
          <w:tcPr>
            <w:tcW w:w="416" w:type="dxa"/>
            <w:tcBorders/>
          </w:tcPr>
          <w:p>
            <w:pPr>
              <w:pStyle w:val="style0"/>
              <w:spacing w:before="0"/>
              <w:rPr>
                <w:sz w:val="22"/>
              </w:rPr>
            </w:pPr>
            <w:r>
              <w:rPr>
                <w:sz w:val="22"/>
              </w:rPr>
              <w:t>:</w:t>
            </w:r>
          </w:p>
        </w:tc>
        <w:tc>
          <w:tcPr>
            <w:tcW w:w="7384" w:type="dxa"/>
            <w:tcBorders/>
          </w:tcPr>
          <w:p>
            <w:pPr>
              <w:pStyle w:val="style0"/>
              <w:spacing w:before="0"/>
              <w:rPr>
                <w:color w:val="000000"/>
                <w:sz w:val="22"/>
              </w:rPr>
            </w:pPr>
            <w:r>
              <w:rPr>
                <w:color w:val="000000"/>
                <w:sz w:val="22"/>
              </w:rPr>
              <w:t>Organisation Mondiale de la Santé</w:t>
            </w:r>
          </w:p>
        </w:tc>
      </w:tr>
      <w:tr>
        <w:tblPrEx/>
        <w:trPr/>
        <w:tc>
          <w:tcPr>
            <w:tcW w:w="1650" w:type="dxa"/>
            <w:tcBorders/>
          </w:tcPr>
          <w:p>
            <w:pPr>
              <w:pStyle w:val="style0"/>
              <w:spacing w:before="0"/>
              <w:rPr>
                <w:sz w:val="22"/>
              </w:rPr>
            </w:pPr>
            <w:r>
              <w:rPr>
                <w:sz w:val="22"/>
              </w:rPr>
              <w:t>ONEA</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 xml:space="preserve">Office National de l’Eau et de l’Assainissement </w:t>
            </w:r>
          </w:p>
        </w:tc>
      </w:tr>
      <w:tr>
        <w:tblPrEx/>
        <w:trPr/>
        <w:tc>
          <w:tcPr>
            <w:tcW w:w="1650" w:type="dxa"/>
            <w:tcBorders/>
          </w:tcPr>
          <w:p>
            <w:pPr>
              <w:pStyle w:val="style0"/>
              <w:spacing w:before="0"/>
              <w:rPr>
                <w:color w:val="000000"/>
                <w:sz w:val="22"/>
              </w:rPr>
            </w:pPr>
            <w:r>
              <w:rPr>
                <w:color w:val="000000"/>
                <w:sz w:val="22"/>
              </w:rPr>
              <w:t>ONG</w:t>
            </w:r>
          </w:p>
        </w:tc>
        <w:tc>
          <w:tcPr>
            <w:tcW w:w="416" w:type="dxa"/>
            <w:tcBorders/>
          </w:tcPr>
          <w:p>
            <w:pPr>
              <w:pStyle w:val="style0"/>
              <w:spacing w:before="0"/>
              <w:rPr>
                <w:sz w:val="22"/>
              </w:rPr>
            </w:pPr>
            <w:r>
              <w:rPr>
                <w:sz w:val="22"/>
              </w:rPr>
              <w:t>:</w:t>
            </w:r>
          </w:p>
        </w:tc>
        <w:tc>
          <w:tcPr>
            <w:tcW w:w="7384" w:type="dxa"/>
            <w:tcBorders/>
          </w:tcPr>
          <w:p>
            <w:pPr>
              <w:pStyle w:val="style0"/>
              <w:spacing w:before="0"/>
              <w:rPr>
                <w:color w:val="000000"/>
                <w:sz w:val="22"/>
              </w:rPr>
            </w:pPr>
            <w:r>
              <w:rPr>
                <w:color w:val="000000"/>
                <w:sz w:val="22"/>
              </w:rPr>
              <w:t>Organisation Non Gouvernementale</w:t>
            </w:r>
          </w:p>
        </w:tc>
      </w:tr>
      <w:tr>
        <w:tblPrEx/>
        <w:trPr/>
        <w:tc>
          <w:tcPr>
            <w:tcW w:w="1650" w:type="dxa"/>
            <w:tcBorders/>
          </w:tcPr>
          <w:p>
            <w:pPr>
              <w:pStyle w:val="style0"/>
              <w:spacing w:before="0"/>
              <w:rPr>
                <w:color w:val="000000"/>
                <w:w w:val="101"/>
                <w:sz w:val="22"/>
              </w:rPr>
            </w:pPr>
            <w:r>
              <w:rPr>
                <w:color w:val="000000"/>
                <w:w w:val="101"/>
                <w:sz w:val="22"/>
              </w:rPr>
              <w:t>PAFASP</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bCs/>
                <w:sz w:val="22"/>
              </w:rPr>
              <w:t>Programme d’Appui aux Filières Agro-Sylvo-Pastorales</w:t>
            </w:r>
          </w:p>
        </w:tc>
      </w:tr>
      <w:tr>
        <w:tblPrEx/>
        <w:trPr/>
        <w:tc>
          <w:tcPr>
            <w:tcW w:w="1650" w:type="dxa"/>
            <w:tcBorders/>
          </w:tcPr>
          <w:p>
            <w:pPr>
              <w:pStyle w:val="style0"/>
              <w:spacing w:before="0"/>
              <w:rPr>
                <w:sz w:val="22"/>
              </w:rPr>
            </w:pPr>
            <w:r>
              <w:rPr>
                <w:sz w:val="22"/>
              </w:rPr>
              <w:t>PAN Africa</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Pesticide Action Network Africa</w:t>
            </w:r>
          </w:p>
        </w:tc>
      </w:tr>
      <w:tr>
        <w:tblPrEx/>
        <w:trPr/>
        <w:tc>
          <w:tcPr>
            <w:tcW w:w="1650" w:type="dxa"/>
            <w:tcBorders/>
          </w:tcPr>
          <w:p>
            <w:pPr>
              <w:pStyle w:val="style0"/>
              <w:spacing w:before="0"/>
              <w:rPr>
                <w:sz w:val="22"/>
              </w:rPr>
            </w:pPr>
            <w:r>
              <w:rPr>
                <w:sz w:val="22"/>
              </w:rPr>
              <w:t>PANE</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Plan d’Action National pour l’Environnement</w:t>
            </w:r>
          </w:p>
        </w:tc>
      </w:tr>
      <w:tr>
        <w:tblPrEx/>
        <w:trPr/>
        <w:tc>
          <w:tcPr>
            <w:tcW w:w="1650" w:type="dxa"/>
            <w:tcBorders/>
          </w:tcPr>
          <w:p>
            <w:pPr>
              <w:pStyle w:val="style0"/>
              <w:spacing w:before="0"/>
              <w:rPr>
                <w:sz w:val="22"/>
              </w:rPr>
            </w:pPr>
            <w:r>
              <w:rPr>
                <w:sz w:val="22"/>
              </w:rPr>
              <w:t>PAPSA</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bCs/>
                <w:sz w:val="22"/>
              </w:rPr>
              <w:t>Projet d’Amélioration de la Productivité et de la Sécurité Alimentaire</w:t>
            </w:r>
          </w:p>
        </w:tc>
      </w:tr>
      <w:tr>
        <w:tblPrEx/>
        <w:trPr/>
        <w:tc>
          <w:tcPr>
            <w:tcW w:w="1650" w:type="dxa"/>
            <w:tcBorders/>
          </w:tcPr>
          <w:p>
            <w:pPr>
              <w:pStyle w:val="style0"/>
              <w:spacing w:before="0"/>
              <w:rPr>
                <w:sz w:val="22"/>
              </w:rPr>
            </w:pPr>
            <w:r>
              <w:rPr>
                <w:noProof/>
                <w:sz w:val="22"/>
              </w:rPr>
              <w:t>PARIIS</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noProof/>
                <w:sz w:val="22"/>
              </w:rPr>
              <w:t>Projet d’Appui Régional à l’Initiative pour l’Irrigation au Sahel</w:t>
            </w:r>
          </w:p>
        </w:tc>
      </w:tr>
      <w:tr>
        <w:tblPrEx/>
        <w:trPr/>
        <w:tc>
          <w:tcPr>
            <w:tcW w:w="1650" w:type="dxa"/>
            <w:tcBorders/>
          </w:tcPr>
          <w:p>
            <w:pPr>
              <w:pStyle w:val="style0"/>
              <w:spacing w:before="0"/>
              <w:rPr>
                <w:sz w:val="22"/>
              </w:rPr>
            </w:pPr>
            <w:r>
              <w:rPr>
                <w:sz w:val="22"/>
              </w:rPr>
              <w:t>PCBs</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 xml:space="preserve">PolyChloro Biphényles </w:t>
            </w:r>
          </w:p>
        </w:tc>
      </w:tr>
      <w:tr>
        <w:tblPrEx/>
        <w:trPr/>
        <w:tc>
          <w:tcPr>
            <w:tcW w:w="1650" w:type="dxa"/>
            <w:tcBorders/>
          </w:tcPr>
          <w:p>
            <w:pPr>
              <w:pStyle w:val="style0"/>
              <w:spacing w:before="0"/>
              <w:rPr>
                <w:noProof/>
                <w:sz w:val="22"/>
              </w:rPr>
            </w:pPr>
            <w:r>
              <w:rPr>
                <w:noProof/>
                <w:sz w:val="22"/>
              </w:rPr>
              <w:t>PDCA</w:t>
            </w:r>
          </w:p>
        </w:tc>
        <w:tc>
          <w:tcPr>
            <w:tcW w:w="416" w:type="dxa"/>
            <w:tcBorders/>
          </w:tcPr>
          <w:p>
            <w:pPr>
              <w:pStyle w:val="style0"/>
              <w:spacing w:before="0"/>
              <w:rPr>
                <w:sz w:val="22"/>
              </w:rPr>
            </w:pPr>
          </w:p>
        </w:tc>
        <w:tc>
          <w:tcPr>
            <w:tcW w:w="7384" w:type="dxa"/>
            <w:tcBorders/>
          </w:tcPr>
          <w:p>
            <w:pPr>
              <w:pStyle w:val="style0"/>
              <w:spacing w:before="0"/>
              <w:rPr>
                <w:noProof/>
                <w:sz w:val="22"/>
              </w:rPr>
            </w:pPr>
            <w:r>
              <w:rPr>
                <w:noProof/>
                <w:sz w:val="22"/>
              </w:rPr>
              <w:t xml:space="preserve">Programme de Developpement et de Competitivite Agricole </w:t>
            </w:r>
          </w:p>
        </w:tc>
      </w:tr>
      <w:tr>
        <w:tblPrEx/>
        <w:trPr/>
        <w:tc>
          <w:tcPr>
            <w:tcW w:w="1650" w:type="dxa"/>
            <w:tcBorders/>
          </w:tcPr>
          <w:p>
            <w:pPr>
              <w:pStyle w:val="style0"/>
              <w:spacing w:before="0"/>
              <w:rPr>
                <w:noProof/>
                <w:sz w:val="22"/>
              </w:rPr>
            </w:pPr>
            <w:r>
              <w:rPr>
                <w:sz w:val="22"/>
                <w:lang w:eastAsia="fr-FR"/>
              </w:rPr>
              <w:t>PDRC</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lang w:eastAsia="fr-FR"/>
              </w:rPr>
            </w:pPr>
            <w:r>
              <w:rPr>
                <w:sz w:val="22"/>
                <w:lang w:eastAsia="fr-FR"/>
              </w:rPr>
              <w:t>Programme de Renforcement Des Capacités</w:t>
            </w:r>
          </w:p>
        </w:tc>
      </w:tr>
      <w:tr>
        <w:tblPrEx/>
        <w:trPr/>
        <w:tc>
          <w:tcPr>
            <w:tcW w:w="1650" w:type="dxa"/>
            <w:tcBorders/>
          </w:tcPr>
          <w:p>
            <w:pPr>
              <w:pStyle w:val="style0"/>
              <w:spacing w:before="0"/>
              <w:rPr>
                <w:sz w:val="22"/>
              </w:rPr>
            </w:pPr>
            <w:r>
              <w:rPr>
                <w:sz w:val="22"/>
              </w:rPr>
              <w:t>PDRD</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Programme de Développement Rural Durable</w:t>
            </w:r>
          </w:p>
        </w:tc>
      </w:tr>
      <w:tr>
        <w:tblPrEx/>
        <w:trPr/>
        <w:tc>
          <w:tcPr>
            <w:tcW w:w="1650" w:type="dxa"/>
            <w:tcBorders/>
          </w:tcPr>
          <w:p>
            <w:pPr>
              <w:pStyle w:val="style0"/>
              <w:spacing w:before="0"/>
              <w:rPr>
                <w:sz w:val="22"/>
              </w:rPr>
            </w:pPr>
            <w:r>
              <w:rPr>
                <w:sz w:val="22"/>
              </w:rPr>
              <w:t>PEPPO</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shd w:val="clear" w:color="auto" w:fill="ffffff"/>
                <w:lang w:eastAsia="fr-FR"/>
              </w:rPr>
              <w:t>Projet</w:t>
            </w:r>
            <w:r>
              <w:rPr>
                <w:color w:val="545454"/>
                <w:sz w:val="22"/>
                <w:shd w:val="clear" w:color="auto" w:fill="ffffff"/>
                <w:lang w:eastAsia="fr-FR"/>
              </w:rPr>
              <w:t> d'</w:t>
            </w:r>
            <w:r>
              <w:rPr>
                <w:sz w:val="22"/>
                <w:shd w:val="clear" w:color="auto" w:fill="ffffff"/>
                <w:lang w:eastAsia="fr-FR"/>
              </w:rPr>
              <w:t>Elimination</w:t>
            </w:r>
            <w:r>
              <w:rPr>
                <w:color w:val="545454"/>
                <w:sz w:val="22"/>
                <w:shd w:val="clear" w:color="auto" w:fill="ffffff"/>
                <w:lang w:eastAsia="fr-FR"/>
              </w:rPr>
              <w:t> </w:t>
            </w:r>
            <w:r>
              <w:rPr>
                <w:sz w:val="22"/>
                <w:shd w:val="clear" w:color="auto" w:fill="ffffff"/>
                <w:lang w:eastAsia="fr-FR"/>
              </w:rPr>
              <w:t>et de Prévention des Pesticides Obsolètes</w:t>
            </w:r>
            <w:r>
              <w:rPr>
                <w:color w:val="545454"/>
                <w:sz w:val="22"/>
                <w:shd w:val="clear" w:color="auto" w:fill="ffffff"/>
                <w:lang w:eastAsia="fr-FR"/>
              </w:rPr>
              <w:t> </w:t>
            </w:r>
          </w:p>
        </w:tc>
      </w:tr>
      <w:tr>
        <w:tblPrEx/>
        <w:trPr/>
        <w:tc>
          <w:tcPr>
            <w:tcW w:w="1650" w:type="dxa"/>
            <w:tcBorders/>
          </w:tcPr>
          <w:p>
            <w:pPr>
              <w:pStyle w:val="style0"/>
              <w:spacing w:before="0"/>
              <w:rPr>
                <w:sz w:val="22"/>
              </w:rPr>
            </w:pPr>
            <w:r>
              <w:rPr>
                <w:sz w:val="22"/>
              </w:rPr>
              <w:t>PGP</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Plan de Gestion des Pestes</w:t>
            </w:r>
          </w:p>
        </w:tc>
      </w:tr>
      <w:tr>
        <w:tblPrEx/>
        <w:trPr/>
        <w:tc>
          <w:tcPr>
            <w:tcW w:w="1650" w:type="dxa"/>
            <w:tcBorders/>
          </w:tcPr>
          <w:p>
            <w:pPr>
              <w:pStyle w:val="style0"/>
              <w:spacing w:before="0"/>
              <w:rPr>
                <w:color w:val="000000"/>
                <w:sz w:val="22"/>
              </w:rPr>
            </w:pPr>
            <w:r>
              <w:rPr>
                <w:sz w:val="22"/>
              </w:rPr>
              <w:t>PGPP</w:t>
            </w:r>
          </w:p>
        </w:tc>
        <w:tc>
          <w:tcPr>
            <w:tcW w:w="416" w:type="dxa"/>
            <w:tcBorders/>
          </w:tcPr>
          <w:p>
            <w:pPr>
              <w:pStyle w:val="style0"/>
              <w:spacing w:before="0"/>
              <w:rPr>
                <w:sz w:val="22"/>
              </w:rPr>
            </w:pPr>
            <w:r>
              <w:rPr>
                <w:sz w:val="22"/>
              </w:rPr>
              <w:t>:</w:t>
            </w:r>
          </w:p>
        </w:tc>
        <w:tc>
          <w:tcPr>
            <w:tcW w:w="7384" w:type="dxa"/>
            <w:tcBorders/>
          </w:tcPr>
          <w:p>
            <w:pPr>
              <w:pStyle w:val="style0"/>
              <w:spacing w:before="0"/>
              <w:rPr>
                <w:color w:val="000000"/>
                <w:sz w:val="22"/>
              </w:rPr>
            </w:pPr>
            <w:r>
              <w:rPr>
                <w:color w:val="000000"/>
                <w:sz w:val="22"/>
              </w:rPr>
              <w:t xml:space="preserve">Plan </w:t>
            </w:r>
            <w:r>
              <w:rPr>
                <w:sz w:val="22"/>
              </w:rPr>
              <w:t>de Gestion des Pestes et des Pesticides</w:t>
            </w:r>
          </w:p>
        </w:tc>
      </w:tr>
      <w:tr>
        <w:tblPrEx/>
        <w:trPr/>
        <w:tc>
          <w:tcPr>
            <w:tcW w:w="1650" w:type="dxa"/>
            <w:tcBorders/>
          </w:tcPr>
          <w:p>
            <w:pPr>
              <w:pStyle w:val="style0"/>
              <w:spacing w:before="0"/>
              <w:rPr>
                <w:sz w:val="22"/>
              </w:rPr>
            </w:pPr>
            <w:r>
              <w:rPr>
                <w:sz w:val="22"/>
              </w:rPr>
              <w:t>PIB</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 xml:space="preserve">Produit Intérieur Brut </w:t>
            </w:r>
          </w:p>
        </w:tc>
      </w:tr>
      <w:tr>
        <w:tblPrEx/>
        <w:trPr/>
        <w:tc>
          <w:tcPr>
            <w:tcW w:w="1650" w:type="dxa"/>
            <w:tcBorders/>
          </w:tcPr>
          <w:p>
            <w:pPr>
              <w:pStyle w:val="style0"/>
              <w:spacing w:before="0"/>
              <w:rPr>
                <w:sz w:val="22"/>
              </w:rPr>
            </w:pPr>
            <w:r>
              <w:rPr>
                <w:sz w:val="22"/>
              </w:rPr>
              <w:t>PIC</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Procédure de Consentement préalable en Connaissance de cause</w:t>
            </w:r>
          </w:p>
        </w:tc>
      </w:tr>
      <w:tr>
        <w:tblPrEx/>
        <w:trPr/>
        <w:tc>
          <w:tcPr>
            <w:tcW w:w="1650" w:type="dxa"/>
            <w:tcBorders/>
          </w:tcPr>
          <w:p>
            <w:pPr>
              <w:pStyle w:val="style0"/>
              <w:spacing w:before="0"/>
              <w:rPr>
                <w:sz w:val="22"/>
              </w:rPr>
            </w:pPr>
            <w:r>
              <w:rPr>
                <w:sz w:val="22"/>
              </w:rPr>
              <w:t>PNA</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szCs w:val="22"/>
              </w:rPr>
              <w:t>Plan National d’A</w:t>
            </w:r>
            <w:r>
              <w:rPr>
                <w:sz w:val="22"/>
                <w:szCs w:val="22"/>
              </w:rPr>
              <w:t>daptation aux changements climatiques</w:t>
            </w:r>
          </w:p>
        </w:tc>
      </w:tr>
      <w:tr>
        <w:tblPrEx/>
        <w:trPr/>
        <w:tc>
          <w:tcPr>
            <w:tcW w:w="1650" w:type="dxa"/>
            <w:tcBorders/>
          </w:tcPr>
          <w:p>
            <w:pPr>
              <w:pStyle w:val="style0"/>
              <w:spacing w:before="0"/>
              <w:rPr>
                <w:sz w:val="22"/>
              </w:rPr>
            </w:pPr>
            <w:r>
              <w:rPr>
                <w:sz w:val="22"/>
              </w:rPr>
              <w:t>PNDD</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Politique Nationale de Développement Durable</w:t>
            </w:r>
          </w:p>
        </w:tc>
      </w:tr>
      <w:tr>
        <w:tblPrEx/>
        <w:trPr/>
        <w:tc>
          <w:tcPr>
            <w:tcW w:w="1650" w:type="dxa"/>
            <w:tcBorders/>
          </w:tcPr>
          <w:p>
            <w:pPr>
              <w:pStyle w:val="style0"/>
              <w:spacing w:before="0"/>
              <w:rPr>
                <w:sz w:val="22"/>
              </w:rPr>
            </w:pPr>
            <w:r>
              <w:rPr>
                <w:sz w:val="22"/>
              </w:rPr>
              <w:t>PNDES</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rFonts w:eastAsia="Calibri"/>
                <w:sz w:val="22"/>
              </w:rPr>
              <w:t>Plan National de Développement Economique et Social</w:t>
            </w:r>
          </w:p>
        </w:tc>
      </w:tr>
      <w:tr>
        <w:tblPrEx/>
        <w:trPr/>
        <w:tc>
          <w:tcPr>
            <w:tcW w:w="1650" w:type="dxa"/>
            <w:tcBorders/>
          </w:tcPr>
          <w:p>
            <w:pPr>
              <w:pStyle w:val="style0"/>
              <w:spacing w:before="0"/>
              <w:rPr>
                <w:sz w:val="22"/>
              </w:rPr>
            </w:pPr>
            <w:r>
              <w:rPr>
                <w:sz w:val="22"/>
              </w:rPr>
              <w:t>PNE</w:t>
            </w:r>
          </w:p>
        </w:tc>
        <w:tc>
          <w:tcPr>
            <w:tcW w:w="416" w:type="dxa"/>
            <w:tcBorders/>
          </w:tcPr>
          <w:p>
            <w:pPr>
              <w:pStyle w:val="style0"/>
              <w:spacing w:before="0"/>
              <w:rPr>
                <w:sz w:val="22"/>
              </w:rPr>
            </w:pPr>
            <w:r>
              <w:rPr>
                <w:sz w:val="22"/>
              </w:rPr>
              <w:t>:</w:t>
            </w:r>
          </w:p>
        </w:tc>
        <w:tc>
          <w:tcPr>
            <w:tcW w:w="7384" w:type="dxa"/>
            <w:tcBorders/>
          </w:tcPr>
          <w:p>
            <w:pPr>
              <w:pStyle w:val="style0"/>
              <w:spacing w:before="0"/>
              <w:rPr>
                <w:rFonts w:eastAsia="Calibri"/>
                <w:sz w:val="22"/>
              </w:rPr>
            </w:pPr>
            <w:r>
              <w:rPr>
                <w:sz w:val="22"/>
              </w:rPr>
              <w:t>Politique Nationale d’Environnement</w:t>
            </w:r>
          </w:p>
        </w:tc>
      </w:tr>
      <w:tr>
        <w:tblPrEx/>
        <w:trPr/>
        <w:tc>
          <w:tcPr>
            <w:tcW w:w="1650" w:type="dxa"/>
            <w:tcBorders/>
          </w:tcPr>
          <w:p>
            <w:pPr>
              <w:pStyle w:val="style0"/>
              <w:spacing w:before="0"/>
              <w:rPr>
                <w:noProof/>
                <w:sz w:val="22"/>
              </w:rPr>
            </w:pPr>
            <w:r>
              <w:rPr>
                <w:noProof/>
                <w:sz w:val="22"/>
              </w:rPr>
              <w:t>PNG</w:t>
            </w:r>
          </w:p>
        </w:tc>
        <w:tc>
          <w:tcPr>
            <w:tcW w:w="416" w:type="dxa"/>
            <w:tcBorders/>
          </w:tcPr>
          <w:p>
            <w:pPr>
              <w:pStyle w:val="style0"/>
              <w:spacing w:before="0"/>
              <w:rPr>
                <w:sz w:val="22"/>
              </w:rPr>
            </w:pPr>
            <w:r>
              <w:rPr>
                <w:sz w:val="22"/>
              </w:rPr>
              <w:t>:</w:t>
            </w:r>
          </w:p>
        </w:tc>
        <w:tc>
          <w:tcPr>
            <w:tcW w:w="7384" w:type="dxa"/>
            <w:tcBorders/>
          </w:tcPr>
          <w:p>
            <w:pPr>
              <w:pStyle w:val="style0"/>
              <w:spacing w:before="0"/>
              <w:rPr>
                <w:noProof/>
                <w:sz w:val="22"/>
              </w:rPr>
            </w:pPr>
            <w:r>
              <w:rPr>
                <w:sz w:val="22"/>
                <w:szCs w:val="22"/>
              </w:rPr>
              <w:t>Politique Nationale Genre</w:t>
            </w:r>
            <w:r>
              <w:rPr>
                <w:sz w:val="22"/>
                <w:szCs w:val="22"/>
              </w:rPr>
              <w:t xml:space="preserve"> du Burkina Faso</w:t>
            </w:r>
          </w:p>
        </w:tc>
      </w:tr>
      <w:tr>
        <w:tblPrEx/>
        <w:trPr/>
        <w:tc>
          <w:tcPr>
            <w:tcW w:w="1650" w:type="dxa"/>
            <w:tcBorders/>
          </w:tcPr>
          <w:p>
            <w:pPr>
              <w:pStyle w:val="style0"/>
              <w:spacing w:before="0"/>
              <w:rPr>
                <w:color w:val="000000"/>
                <w:sz w:val="22"/>
              </w:rPr>
            </w:pPr>
            <w:r>
              <w:rPr>
                <w:color w:val="000000"/>
                <w:sz w:val="22"/>
              </w:rPr>
              <w:t>PNLP</w:t>
            </w:r>
          </w:p>
        </w:tc>
        <w:tc>
          <w:tcPr>
            <w:tcW w:w="416" w:type="dxa"/>
            <w:tcBorders/>
          </w:tcPr>
          <w:p>
            <w:pPr>
              <w:pStyle w:val="style0"/>
              <w:spacing w:before="0"/>
              <w:rPr>
                <w:sz w:val="22"/>
              </w:rPr>
            </w:pPr>
            <w:r>
              <w:rPr>
                <w:sz w:val="22"/>
              </w:rPr>
              <w:t>:</w:t>
            </w:r>
          </w:p>
        </w:tc>
        <w:tc>
          <w:tcPr>
            <w:tcW w:w="7384" w:type="dxa"/>
            <w:tcBorders/>
          </w:tcPr>
          <w:p>
            <w:pPr>
              <w:pStyle w:val="style0"/>
              <w:spacing w:before="0"/>
              <w:rPr>
                <w:color w:val="000000"/>
                <w:sz w:val="22"/>
              </w:rPr>
            </w:pPr>
            <w:r>
              <w:rPr>
                <w:color w:val="000000"/>
                <w:sz w:val="22"/>
              </w:rPr>
              <w:t>Programme National de Lutte contre le Paludisme</w:t>
            </w:r>
          </w:p>
        </w:tc>
      </w:tr>
      <w:tr>
        <w:tblPrEx/>
        <w:trPr/>
        <w:tc>
          <w:tcPr>
            <w:tcW w:w="1650" w:type="dxa"/>
            <w:tcBorders/>
          </w:tcPr>
          <w:p>
            <w:pPr>
              <w:pStyle w:val="style0"/>
              <w:spacing w:before="0"/>
              <w:rPr>
                <w:color w:val="000000"/>
                <w:sz w:val="22"/>
              </w:rPr>
            </w:pPr>
            <w:r>
              <w:rPr>
                <w:sz w:val="22"/>
              </w:rPr>
              <w:t>PNSR</w:t>
            </w:r>
          </w:p>
        </w:tc>
        <w:tc>
          <w:tcPr>
            <w:tcW w:w="416" w:type="dxa"/>
            <w:tcBorders/>
          </w:tcPr>
          <w:p>
            <w:pPr>
              <w:pStyle w:val="style0"/>
              <w:spacing w:before="0"/>
              <w:rPr>
                <w:sz w:val="22"/>
              </w:rPr>
            </w:pPr>
            <w:r>
              <w:rPr>
                <w:sz w:val="22"/>
              </w:rPr>
              <w:t>:</w:t>
            </w:r>
          </w:p>
        </w:tc>
        <w:tc>
          <w:tcPr>
            <w:tcW w:w="7384" w:type="dxa"/>
            <w:tcBorders/>
          </w:tcPr>
          <w:p>
            <w:pPr>
              <w:pStyle w:val="style0"/>
              <w:spacing w:before="0"/>
              <w:rPr>
                <w:color w:val="000000"/>
                <w:sz w:val="22"/>
              </w:rPr>
            </w:pPr>
            <w:r>
              <w:rPr>
                <w:sz w:val="22"/>
              </w:rPr>
              <w:t xml:space="preserve">Programme National du Secteur Rural </w:t>
            </w:r>
          </w:p>
        </w:tc>
      </w:tr>
      <w:tr>
        <w:tblPrEx/>
        <w:trPr/>
        <w:tc>
          <w:tcPr>
            <w:tcW w:w="1650" w:type="dxa"/>
            <w:tcBorders/>
          </w:tcPr>
          <w:p>
            <w:pPr>
              <w:pStyle w:val="style0"/>
              <w:spacing w:before="0"/>
              <w:rPr>
                <w:sz w:val="22"/>
              </w:rPr>
            </w:pPr>
            <w:r>
              <w:rPr>
                <w:sz w:val="22"/>
              </w:rPr>
              <w:t>PNUE</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Programme des Nations Unies pour l’Environnement</w:t>
            </w:r>
          </w:p>
        </w:tc>
      </w:tr>
      <w:tr>
        <w:tblPrEx/>
        <w:trPr/>
        <w:tc>
          <w:tcPr>
            <w:tcW w:w="1650" w:type="dxa"/>
            <w:tcBorders/>
          </w:tcPr>
          <w:p>
            <w:pPr>
              <w:pStyle w:val="style0"/>
              <w:spacing w:before="0"/>
              <w:rPr>
                <w:sz w:val="22"/>
              </w:rPr>
            </w:pPr>
            <w:r>
              <w:rPr>
                <w:sz w:val="22"/>
              </w:rPr>
              <w:t>POPs</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Polluants Organiques Persistants</w:t>
            </w:r>
          </w:p>
        </w:tc>
      </w:tr>
      <w:tr>
        <w:tblPrEx/>
        <w:trPr/>
        <w:tc>
          <w:tcPr>
            <w:tcW w:w="1650" w:type="dxa"/>
            <w:tcBorders/>
          </w:tcPr>
          <w:p>
            <w:pPr>
              <w:pStyle w:val="style0"/>
              <w:spacing w:before="0"/>
              <w:rPr>
                <w:sz w:val="22"/>
              </w:rPr>
            </w:pPr>
            <w:r>
              <w:rPr>
                <w:sz w:val="22"/>
              </w:rPr>
              <w:t>PPCS</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Projet Pôle de Croissance du Sahel</w:t>
            </w:r>
          </w:p>
        </w:tc>
      </w:tr>
      <w:tr>
        <w:tblPrEx/>
        <w:trPr/>
        <w:tc>
          <w:tcPr>
            <w:tcW w:w="1650" w:type="dxa"/>
            <w:tcBorders/>
          </w:tcPr>
          <w:p>
            <w:pPr>
              <w:pStyle w:val="style0"/>
              <w:spacing w:before="0"/>
              <w:rPr>
                <w:sz w:val="22"/>
              </w:rPr>
            </w:pPr>
            <w:r>
              <w:rPr>
                <w:sz w:val="22"/>
                <w:lang w:eastAsia="fr-FR"/>
              </w:rPr>
              <w:t>PRCSU</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lang w:eastAsia="fr-FR"/>
              </w:rPr>
            </w:pPr>
            <w:r>
              <w:rPr>
                <w:sz w:val="22"/>
                <w:lang w:eastAsia="fr-FR"/>
              </w:rPr>
              <w:t>Plan de Réponses aux Crises et Situations d’Urgence</w:t>
            </w:r>
          </w:p>
        </w:tc>
      </w:tr>
      <w:tr>
        <w:tblPrEx/>
        <w:trPr/>
        <w:tc>
          <w:tcPr>
            <w:tcW w:w="1650" w:type="dxa"/>
            <w:tcBorders/>
          </w:tcPr>
          <w:p>
            <w:pPr>
              <w:pStyle w:val="style0"/>
              <w:spacing w:before="0"/>
              <w:rPr>
                <w:sz w:val="22"/>
              </w:rPr>
            </w:pPr>
            <w:r>
              <w:rPr>
                <w:sz w:val="22"/>
              </w:rPr>
              <w:t>PTAAO</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Projet de Transformation de l’Agriculture en Afrique de l’Ouest</w:t>
            </w:r>
          </w:p>
        </w:tc>
      </w:tr>
      <w:tr>
        <w:tblPrEx/>
        <w:trPr/>
        <w:tc>
          <w:tcPr>
            <w:tcW w:w="1650" w:type="dxa"/>
            <w:tcBorders/>
          </w:tcPr>
          <w:p>
            <w:pPr>
              <w:pStyle w:val="style0"/>
              <w:spacing w:before="0"/>
              <w:rPr>
                <w:sz w:val="22"/>
              </w:rPr>
            </w:pPr>
            <w:r>
              <w:rPr>
                <w:sz w:val="22"/>
              </w:rPr>
              <w:t>SAPHYTO</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Société Africaine de Produits Phytosanitaires</w:t>
            </w:r>
          </w:p>
        </w:tc>
      </w:tr>
      <w:tr>
        <w:tblPrEx/>
        <w:trPr/>
        <w:tc>
          <w:tcPr>
            <w:tcW w:w="1650" w:type="dxa"/>
            <w:tcBorders/>
          </w:tcPr>
          <w:p>
            <w:pPr>
              <w:pStyle w:val="style0"/>
              <w:spacing w:before="0"/>
              <w:rPr>
                <w:sz w:val="22"/>
              </w:rPr>
            </w:pPr>
            <w:r>
              <w:rPr>
                <w:sz w:val="22"/>
              </w:rPr>
              <w:t>SCAB</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Société Chimique et Agricole Burkinabé</w:t>
            </w:r>
          </w:p>
        </w:tc>
      </w:tr>
      <w:tr>
        <w:tblPrEx/>
        <w:trPr/>
        <w:tc>
          <w:tcPr>
            <w:tcW w:w="1650" w:type="dxa"/>
            <w:tcBorders/>
          </w:tcPr>
          <w:p>
            <w:pPr>
              <w:pStyle w:val="style0"/>
              <w:spacing w:before="0"/>
              <w:rPr>
                <w:color w:val="000000"/>
                <w:sz w:val="22"/>
              </w:rPr>
            </w:pPr>
            <w:r>
              <w:rPr>
                <w:color w:val="000000"/>
                <w:sz w:val="22"/>
              </w:rPr>
              <w:t>SCADD</w:t>
            </w:r>
          </w:p>
        </w:tc>
        <w:tc>
          <w:tcPr>
            <w:tcW w:w="416" w:type="dxa"/>
            <w:tcBorders/>
          </w:tcPr>
          <w:p>
            <w:pPr>
              <w:pStyle w:val="style0"/>
              <w:spacing w:before="0"/>
              <w:rPr>
                <w:sz w:val="22"/>
              </w:rPr>
            </w:pPr>
            <w:r>
              <w:rPr>
                <w:sz w:val="22"/>
              </w:rPr>
              <w:t>:</w:t>
            </w:r>
          </w:p>
        </w:tc>
        <w:tc>
          <w:tcPr>
            <w:tcW w:w="7384" w:type="dxa"/>
            <w:tcBorders/>
          </w:tcPr>
          <w:p>
            <w:pPr>
              <w:pStyle w:val="style0"/>
              <w:spacing w:before="0"/>
              <w:rPr>
                <w:color w:val="000000"/>
                <w:sz w:val="22"/>
              </w:rPr>
            </w:pPr>
            <w:r>
              <w:rPr>
                <w:color w:val="000000"/>
                <w:sz w:val="22"/>
              </w:rPr>
              <w:t>Stratégies de Croissance Accélérées et de Développement Durable</w:t>
            </w:r>
          </w:p>
        </w:tc>
      </w:tr>
      <w:tr>
        <w:tblPrEx/>
        <w:trPr/>
        <w:tc>
          <w:tcPr>
            <w:tcW w:w="1650" w:type="dxa"/>
            <w:tcBorders/>
          </w:tcPr>
          <w:p>
            <w:pPr>
              <w:pStyle w:val="style0"/>
              <w:spacing w:before="0"/>
              <w:rPr>
                <w:color w:val="000000"/>
                <w:sz w:val="22"/>
              </w:rPr>
            </w:pPr>
            <w:r>
              <w:rPr>
                <w:color w:val="000000"/>
                <w:sz w:val="22"/>
              </w:rPr>
              <w:t>SDR</w:t>
            </w:r>
          </w:p>
        </w:tc>
        <w:tc>
          <w:tcPr>
            <w:tcW w:w="416" w:type="dxa"/>
            <w:tcBorders/>
          </w:tcPr>
          <w:p>
            <w:pPr>
              <w:pStyle w:val="style0"/>
              <w:spacing w:before="0"/>
              <w:rPr>
                <w:sz w:val="22"/>
              </w:rPr>
            </w:pPr>
            <w:r>
              <w:rPr>
                <w:sz w:val="22"/>
              </w:rPr>
              <w:t>:</w:t>
            </w:r>
          </w:p>
        </w:tc>
        <w:tc>
          <w:tcPr>
            <w:tcW w:w="7384" w:type="dxa"/>
            <w:tcBorders/>
          </w:tcPr>
          <w:p>
            <w:pPr>
              <w:pStyle w:val="style0"/>
              <w:spacing w:before="0"/>
              <w:rPr>
                <w:color w:val="000000"/>
                <w:sz w:val="22"/>
              </w:rPr>
            </w:pPr>
            <w:r>
              <w:rPr>
                <w:sz w:val="22"/>
              </w:rPr>
              <w:t>Stratégie de Développement Rural</w:t>
            </w:r>
          </w:p>
        </w:tc>
      </w:tr>
      <w:tr>
        <w:tblPrEx/>
        <w:trPr/>
        <w:tc>
          <w:tcPr>
            <w:tcW w:w="1650" w:type="dxa"/>
            <w:tcBorders/>
          </w:tcPr>
          <w:p>
            <w:pPr>
              <w:pStyle w:val="style0"/>
              <w:spacing w:before="0"/>
              <w:rPr>
                <w:color w:val="000000"/>
                <w:sz w:val="22"/>
              </w:rPr>
            </w:pPr>
            <w:r>
              <w:rPr>
                <w:color w:val="000000"/>
                <w:sz w:val="22"/>
              </w:rPr>
              <w:t>SN-SOSUCO</w:t>
            </w:r>
          </w:p>
        </w:tc>
        <w:tc>
          <w:tcPr>
            <w:tcW w:w="416" w:type="dxa"/>
            <w:tcBorders/>
          </w:tcPr>
          <w:p>
            <w:pPr>
              <w:pStyle w:val="style0"/>
              <w:spacing w:before="0"/>
              <w:rPr>
                <w:sz w:val="22"/>
              </w:rPr>
            </w:pPr>
            <w:r>
              <w:rPr>
                <w:sz w:val="22"/>
              </w:rPr>
              <w:t>:</w:t>
            </w:r>
          </w:p>
        </w:tc>
        <w:tc>
          <w:tcPr>
            <w:tcW w:w="7384" w:type="dxa"/>
            <w:tcBorders/>
          </w:tcPr>
          <w:p>
            <w:pPr>
              <w:pStyle w:val="style0"/>
              <w:spacing w:before="0"/>
              <w:rPr>
                <w:color w:val="000000"/>
                <w:sz w:val="22"/>
              </w:rPr>
            </w:pPr>
            <w:r>
              <w:rPr>
                <w:sz w:val="22"/>
              </w:rPr>
              <w:t>Nouvelle Société Sucrière de la Comoé</w:t>
            </w:r>
          </w:p>
        </w:tc>
      </w:tr>
      <w:tr>
        <w:tblPrEx/>
        <w:trPr/>
        <w:tc>
          <w:tcPr>
            <w:tcW w:w="1650" w:type="dxa"/>
            <w:tcBorders/>
          </w:tcPr>
          <w:p>
            <w:pPr>
              <w:pStyle w:val="style0"/>
              <w:spacing w:before="0"/>
              <w:rPr>
                <w:color w:val="000000"/>
                <w:sz w:val="22"/>
              </w:rPr>
            </w:pPr>
            <w:r>
              <w:rPr>
                <w:color w:val="000000"/>
                <w:sz w:val="22"/>
              </w:rPr>
              <w:t>SNIS</w:t>
            </w:r>
          </w:p>
        </w:tc>
        <w:tc>
          <w:tcPr>
            <w:tcW w:w="416" w:type="dxa"/>
            <w:tcBorders/>
          </w:tcPr>
          <w:p>
            <w:pPr>
              <w:pStyle w:val="style0"/>
              <w:spacing w:before="0"/>
              <w:rPr>
                <w:sz w:val="22"/>
              </w:rPr>
            </w:pPr>
            <w:r>
              <w:rPr>
                <w:sz w:val="22"/>
              </w:rPr>
              <w:t>:</w:t>
            </w:r>
          </w:p>
        </w:tc>
        <w:tc>
          <w:tcPr>
            <w:tcW w:w="7384" w:type="dxa"/>
            <w:tcBorders/>
          </w:tcPr>
          <w:p>
            <w:pPr>
              <w:pStyle w:val="style0"/>
              <w:spacing w:before="0"/>
              <w:rPr>
                <w:color w:val="000000"/>
                <w:sz w:val="22"/>
              </w:rPr>
            </w:pPr>
            <w:r>
              <w:rPr>
                <w:color w:val="000000"/>
                <w:sz w:val="22"/>
              </w:rPr>
              <w:t>Système National d’Information Sanitaire</w:t>
            </w:r>
          </w:p>
        </w:tc>
      </w:tr>
      <w:tr>
        <w:tblPrEx/>
        <w:trPr/>
        <w:tc>
          <w:tcPr>
            <w:tcW w:w="1650" w:type="dxa"/>
            <w:tcBorders/>
          </w:tcPr>
          <w:p>
            <w:pPr>
              <w:pStyle w:val="style0"/>
              <w:spacing w:before="0"/>
              <w:rPr>
                <w:sz w:val="22"/>
              </w:rPr>
            </w:pPr>
            <w:r>
              <w:rPr>
                <w:sz w:val="22"/>
              </w:rPr>
              <w:t>SOFITEX</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Société Burkinabé des Fibres et Textiles</w:t>
            </w:r>
          </w:p>
        </w:tc>
      </w:tr>
      <w:tr>
        <w:tblPrEx/>
        <w:trPr/>
        <w:tc>
          <w:tcPr>
            <w:tcW w:w="1650" w:type="dxa"/>
            <w:tcBorders/>
          </w:tcPr>
          <w:p>
            <w:pPr>
              <w:pStyle w:val="style0"/>
              <w:spacing w:before="0"/>
              <w:rPr>
                <w:color w:val="000000"/>
                <w:sz w:val="22"/>
              </w:rPr>
            </w:pPr>
            <w:r>
              <w:rPr>
                <w:color w:val="000000"/>
                <w:sz w:val="22"/>
              </w:rPr>
              <w:t>SP/CNDD</w:t>
            </w:r>
          </w:p>
        </w:tc>
        <w:tc>
          <w:tcPr>
            <w:tcW w:w="416" w:type="dxa"/>
            <w:tcBorders/>
          </w:tcPr>
          <w:p>
            <w:pPr>
              <w:pStyle w:val="style0"/>
              <w:spacing w:before="0"/>
              <w:rPr>
                <w:sz w:val="22"/>
              </w:rPr>
            </w:pPr>
            <w:r>
              <w:rPr>
                <w:sz w:val="22"/>
              </w:rPr>
              <w:t>:</w:t>
            </w:r>
          </w:p>
        </w:tc>
        <w:tc>
          <w:tcPr>
            <w:tcW w:w="7384" w:type="dxa"/>
            <w:tcBorders/>
          </w:tcPr>
          <w:p>
            <w:pPr>
              <w:pStyle w:val="style0"/>
              <w:spacing w:before="0"/>
              <w:rPr>
                <w:color w:val="000000"/>
                <w:sz w:val="22"/>
              </w:rPr>
            </w:pPr>
            <w:r>
              <w:rPr>
                <w:sz w:val="22"/>
              </w:rPr>
              <w:t>Secrétariat Permanent/Conseil National pour le Développement Durable</w:t>
            </w:r>
          </w:p>
        </w:tc>
      </w:tr>
      <w:tr>
        <w:tblPrEx/>
        <w:trPr/>
        <w:tc>
          <w:tcPr>
            <w:tcW w:w="1650" w:type="dxa"/>
            <w:tcBorders/>
          </w:tcPr>
          <w:p>
            <w:pPr>
              <w:pStyle w:val="style0"/>
              <w:spacing w:before="0"/>
              <w:rPr>
                <w:color w:val="000000"/>
                <w:sz w:val="22"/>
              </w:rPr>
            </w:pPr>
            <w:r>
              <w:rPr>
                <w:sz w:val="22"/>
              </w:rPr>
              <w:t>ST-CNPPC</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Secrétariat Technique du Comité National de Pilotage des Pôles de Croissance</w:t>
            </w:r>
          </w:p>
        </w:tc>
      </w:tr>
      <w:tr>
        <w:tblPrEx/>
        <w:trPr/>
        <w:tc>
          <w:tcPr>
            <w:tcW w:w="1650" w:type="dxa"/>
            <w:tcBorders/>
          </w:tcPr>
          <w:p>
            <w:pPr>
              <w:pStyle w:val="style0"/>
              <w:spacing w:before="0"/>
              <w:rPr>
                <w:sz w:val="22"/>
              </w:rPr>
            </w:pPr>
            <w:r>
              <w:rPr>
                <w:sz w:val="22"/>
              </w:rPr>
              <w:t>TDR</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Termes De Référence</w:t>
            </w:r>
          </w:p>
        </w:tc>
      </w:tr>
      <w:tr>
        <w:tblPrEx/>
        <w:trPr/>
        <w:tc>
          <w:tcPr>
            <w:tcW w:w="1650" w:type="dxa"/>
            <w:tcBorders/>
          </w:tcPr>
          <w:p>
            <w:pPr>
              <w:pStyle w:val="style0"/>
              <w:spacing w:before="0"/>
              <w:rPr>
                <w:sz w:val="22"/>
              </w:rPr>
            </w:pPr>
            <w:r>
              <w:rPr>
                <w:sz w:val="22"/>
              </w:rPr>
              <w:t>THA</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Trypanosomiase Humaine Africaine</w:t>
            </w:r>
          </w:p>
        </w:tc>
      </w:tr>
      <w:tr>
        <w:tblPrEx/>
        <w:trPr/>
        <w:tc>
          <w:tcPr>
            <w:tcW w:w="1650" w:type="dxa"/>
            <w:tcBorders/>
          </w:tcPr>
          <w:p>
            <w:pPr>
              <w:pStyle w:val="style0"/>
              <w:spacing w:before="0"/>
              <w:rPr>
                <w:color w:val="000000"/>
                <w:w w:val="101"/>
                <w:sz w:val="22"/>
              </w:rPr>
            </w:pPr>
            <w:r>
              <w:rPr>
                <w:color w:val="000000"/>
                <w:w w:val="101"/>
                <w:sz w:val="22"/>
              </w:rPr>
              <w:t>UA</w:t>
            </w:r>
          </w:p>
        </w:tc>
        <w:tc>
          <w:tcPr>
            <w:tcW w:w="416" w:type="dxa"/>
            <w:tcBorders/>
          </w:tcPr>
          <w:p>
            <w:pPr>
              <w:pStyle w:val="style0"/>
              <w:spacing w:before="0"/>
              <w:rPr>
                <w:sz w:val="22"/>
              </w:rPr>
            </w:pPr>
            <w:r>
              <w:rPr>
                <w:sz w:val="22"/>
              </w:rPr>
              <w:t>:</w:t>
            </w:r>
          </w:p>
        </w:tc>
        <w:tc>
          <w:tcPr>
            <w:tcW w:w="7384" w:type="dxa"/>
            <w:tcBorders/>
          </w:tcPr>
          <w:p>
            <w:pPr>
              <w:pStyle w:val="style0"/>
              <w:spacing w:before="0"/>
              <w:rPr>
                <w:color w:val="000000"/>
                <w:spacing w:val="-1"/>
                <w:w w:val="101"/>
                <w:sz w:val="22"/>
              </w:rPr>
            </w:pPr>
            <w:r>
              <w:rPr>
                <w:color w:val="000000"/>
                <w:spacing w:val="-1"/>
                <w:w w:val="101"/>
                <w:sz w:val="22"/>
              </w:rPr>
              <w:t>Union Afric</w:t>
            </w:r>
            <w:r>
              <w:rPr>
                <w:color w:val="000000"/>
                <w:w w:val="101"/>
                <w:sz w:val="22"/>
              </w:rPr>
              <w:t>aine</w:t>
            </w:r>
          </w:p>
        </w:tc>
      </w:tr>
      <w:tr>
        <w:tblPrEx/>
        <w:trPr/>
        <w:tc>
          <w:tcPr>
            <w:tcW w:w="1650" w:type="dxa"/>
            <w:tcBorders/>
          </w:tcPr>
          <w:p>
            <w:pPr>
              <w:pStyle w:val="style0"/>
              <w:spacing w:before="0"/>
              <w:rPr>
                <w:sz w:val="22"/>
              </w:rPr>
            </w:pPr>
            <w:r>
              <w:rPr>
                <w:sz w:val="22"/>
              </w:rPr>
              <w:t>UE</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Union Européenne</w:t>
            </w:r>
          </w:p>
        </w:tc>
      </w:tr>
      <w:tr>
        <w:tblPrEx/>
        <w:trPr/>
        <w:tc>
          <w:tcPr>
            <w:tcW w:w="1650" w:type="dxa"/>
            <w:tcBorders/>
          </w:tcPr>
          <w:p>
            <w:pPr>
              <w:pStyle w:val="style0"/>
              <w:spacing w:before="0"/>
              <w:rPr>
                <w:sz w:val="22"/>
              </w:rPr>
            </w:pPr>
            <w:r>
              <w:rPr>
                <w:sz w:val="22"/>
              </w:rPr>
              <w:t>UEMOA</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 xml:space="preserve">Union Economique et Monétaire Ouest Africaine </w:t>
            </w:r>
          </w:p>
        </w:tc>
      </w:tr>
      <w:tr>
        <w:tblPrEx/>
        <w:trPr/>
        <w:tc>
          <w:tcPr>
            <w:tcW w:w="1650" w:type="dxa"/>
            <w:tcBorders/>
          </w:tcPr>
          <w:p>
            <w:pPr>
              <w:pStyle w:val="style0"/>
              <w:spacing w:before="0"/>
              <w:rPr>
                <w:sz w:val="22"/>
              </w:rPr>
            </w:pPr>
            <w:r>
              <w:rPr>
                <w:sz w:val="22"/>
              </w:rPr>
              <w:t>UFMB</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Union Fruitière et Maraîchère du Burkina</w:t>
            </w:r>
          </w:p>
        </w:tc>
      </w:tr>
      <w:tr>
        <w:tblPrEx/>
        <w:trPr/>
        <w:tc>
          <w:tcPr>
            <w:tcW w:w="1650" w:type="dxa"/>
            <w:tcBorders/>
          </w:tcPr>
          <w:p>
            <w:pPr>
              <w:pStyle w:val="style0"/>
              <w:spacing w:before="0"/>
              <w:rPr>
                <w:sz w:val="22"/>
              </w:rPr>
            </w:pPr>
            <w:r>
              <w:rPr>
                <w:sz w:val="22"/>
              </w:rPr>
              <w:t>UNC</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Unité Nationale de Coordination</w:t>
            </w:r>
          </w:p>
        </w:tc>
      </w:tr>
      <w:tr>
        <w:tblPrEx/>
        <w:trPr>
          <w:trHeight w:val="218" w:hRule="atLeast"/>
        </w:trPr>
        <w:tc>
          <w:tcPr>
            <w:tcW w:w="1650" w:type="dxa"/>
            <w:tcBorders/>
          </w:tcPr>
          <w:p>
            <w:pPr>
              <w:pStyle w:val="style0"/>
              <w:spacing w:before="0"/>
              <w:rPr>
                <w:sz w:val="22"/>
              </w:rPr>
            </w:pPr>
            <w:r>
              <w:rPr>
                <w:sz w:val="22"/>
              </w:rPr>
              <w:t xml:space="preserve">UNPC </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Union National des Producteurs de Coton</w:t>
            </w:r>
          </w:p>
        </w:tc>
      </w:tr>
      <w:tr>
        <w:tblPrEx/>
        <w:trPr/>
        <w:tc>
          <w:tcPr>
            <w:tcW w:w="1650" w:type="dxa"/>
            <w:tcBorders/>
          </w:tcPr>
          <w:p>
            <w:pPr>
              <w:pStyle w:val="style0"/>
              <w:spacing w:before="0"/>
              <w:rPr>
                <w:sz w:val="22"/>
              </w:rPr>
            </w:pPr>
            <w:r>
              <w:rPr>
                <w:sz w:val="22"/>
              </w:rPr>
              <w:t>URC</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Unité Régionale de Coordination</w:t>
            </w:r>
          </w:p>
        </w:tc>
      </w:tr>
      <w:tr>
        <w:tblPrEx/>
        <w:trPr>
          <w:trHeight w:val="218" w:hRule="atLeast"/>
        </w:trPr>
        <w:tc>
          <w:tcPr>
            <w:tcW w:w="1650" w:type="dxa"/>
            <w:tcBorders/>
          </w:tcPr>
          <w:p>
            <w:pPr>
              <w:pStyle w:val="style0"/>
              <w:spacing w:before="0"/>
              <w:rPr>
                <w:sz w:val="22"/>
              </w:rPr>
            </w:pPr>
            <w:r>
              <w:rPr>
                <w:sz w:val="22"/>
              </w:rPr>
              <w:t>ZIP</w:t>
            </w:r>
          </w:p>
        </w:tc>
        <w:tc>
          <w:tcPr>
            <w:tcW w:w="416" w:type="dxa"/>
            <w:tcBorders/>
          </w:tcPr>
          <w:p>
            <w:pPr>
              <w:pStyle w:val="style0"/>
              <w:spacing w:before="0"/>
              <w:rPr>
                <w:sz w:val="22"/>
              </w:rPr>
            </w:pPr>
            <w:r>
              <w:rPr>
                <w:sz w:val="22"/>
              </w:rPr>
              <w:t>:</w:t>
            </w:r>
          </w:p>
        </w:tc>
        <w:tc>
          <w:tcPr>
            <w:tcW w:w="7384" w:type="dxa"/>
            <w:tcBorders/>
          </w:tcPr>
          <w:p>
            <w:pPr>
              <w:pStyle w:val="style0"/>
              <w:spacing w:before="0"/>
              <w:rPr>
                <w:sz w:val="22"/>
              </w:rPr>
            </w:pPr>
            <w:r>
              <w:rPr>
                <w:sz w:val="22"/>
              </w:rPr>
              <w:t>Zone d’Intervention du Programme</w:t>
            </w:r>
          </w:p>
        </w:tc>
      </w:tr>
      <w:bookmarkStart w:id="74" w:name="_Toc243868995"/>
      <w:bookmarkStart w:id="75" w:name="_Toc247603797"/>
    </w:tbl>
    <w:p>
      <w:pPr>
        <w:pStyle w:val="style1"/>
        <w:numPr>
          <w:ilvl w:val="0"/>
          <w:numId w:val="0"/>
        </w:numPr>
        <w:suppressAutoHyphens w:val="false"/>
        <w:spacing w:before="0"/>
        <w:ind w:left="360"/>
        <w:jc w:val="center"/>
        <w:rPr>
          <w:sz w:val="24"/>
          <w:szCs w:val="24"/>
        </w:rPr>
      </w:pPr>
      <w:r>
        <w:rPr>
          <w:b w:val="false"/>
          <w:sz w:val="24"/>
          <w:szCs w:val="24"/>
        </w:rPr>
        <w:br w:type="page"/>
      </w:r>
      <w:bookmarkStart w:id="76" w:name="OLE_LINK1"/>
      <w:r>
        <w:rPr>
          <w:sz w:val="24"/>
          <w:szCs w:val="24"/>
        </w:rPr>
        <w:t xml:space="preserve"> </w:t>
      </w:r>
    </w:p>
    <w:bookmarkStart w:id="77" w:name="_Toc2831171"/>
    <w:bookmarkEnd w:id="74"/>
    <w:bookmarkEnd w:id="75"/>
    <w:p>
      <w:pPr>
        <w:pStyle w:val="style1"/>
        <w:numPr>
          <w:ilvl w:val="0"/>
          <w:numId w:val="0"/>
        </w:numPr>
        <w:suppressAutoHyphens w:val="false"/>
        <w:ind w:left="360"/>
        <w:rPr>
          <w:color w:val="000000"/>
        </w:rPr>
      </w:pPr>
      <w:r>
        <w:rPr>
          <w:color w:val="000000"/>
          <w:sz w:val="24"/>
          <w:szCs w:val="24"/>
        </w:rPr>
        <w:t>Resume executif</w:t>
      </w:r>
      <w:bookmarkEnd w:id="77"/>
    </w:p>
    <w:p>
      <w:pPr>
        <w:pStyle w:val="style0"/>
        <w:rPr>
          <w:color w:val="ff0000"/>
        </w:rPr>
      </w:pPr>
    </w:p>
    <w:p>
      <w:pPr>
        <w:pStyle w:val="style0"/>
        <w:rPr>
          <w:rFonts w:cs="Arial"/>
          <w:b/>
          <w:color w:val="222222"/>
        </w:rPr>
      </w:pPr>
      <w:r>
        <w:rPr>
          <w:rFonts w:cs="Arial"/>
          <w:b/>
          <w:color w:val="222222"/>
        </w:rPr>
        <w:t>A. Introduction</w:t>
      </w:r>
    </w:p>
    <w:p>
      <w:pPr>
        <w:pStyle w:val="style0"/>
        <w:rPr/>
      </w:pPr>
      <w:r>
        <w:rPr>
          <w:sz w:val="23"/>
          <w:szCs w:val="23"/>
        </w:rPr>
        <w:t>Le secteur agricole demeure une composante</w:t>
      </w:r>
      <w:r>
        <w:rPr>
          <w:sz w:val="23"/>
          <w:szCs w:val="23"/>
        </w:rPr>
        <w:t xml:space="preserve"> déterminante dans l’économie du Burkina Faso. L</w:t>
      </w:r>
      <w:r>
        <w:t>es maladies et ravageurs des cultures et plantations causent des dégâts considérables pouvant engendrer des pertes</w:t>
      </w:r>
      <w:r>
        <w:t xml:space="preserve"> énormes</w:t>
      </w:r>
      <w:r>
        <w:t xml:space="preserve"> en production. </w:t>
      </w:r>
      <w:r>
        <w:rPr>
          <w:rFonts w:cs="Arial"/>
        </w:rPr>
        <w:t>De plus, l’agriculture intensive et sous irrigation entraîne la recrudescence des ennemis des cultures mais également les vecteurs de maladies humaines</w:t>
      </w:r>
      <w:r>
        <w:rPr>
          <w:rFonts w:cs="Arial"/>
        </w:rPr>
        <w:t>,</w:t>
      </w:r>
      <w:r>
        <w:rPr>
          <w:rFonts w:cs="Arial"/>
        </w:rPr>
        <w:t xml:space="preserve"> notamment l’anophèle. </w:t>
      </w:r>
      <w:r>
        <w:t xml:space="preserve">La lutte phytosanitaire est utilisée pour </w:t>
      </w:r>
      <w:r>
        <w:t>contrôler</w:t>
      </w:r>
      <w:r>
        <w:t xml:space="preserve"> </w:t>
      </w:r>
      <w:r>
        <w:t xml:space="preserve">ces ennemis de cultures. </w:t>
      </w:r>
      <w:r>
        <w:t xml:space="preserve">Cette utilisation pourrait avoir des impacts non envisagés dans le cadre de </w:t>
      </w:r>
      <w:r>
        <w:t>la mise en œuvre du</w:t>
      </w:r>
      <w:r>
        <w:t xml:space="preserve"> </w:t>
      </w:r>
      <w:r>
        <w:t>P</w:t>
      </w:r>
      <w:r>
        <w:t>rogramme de Développement et de Compétitivité Agricole (P</w:t>
      </w:r>
      <w:r>
        <w:t>DCA</w:t>
      </w:r>
      <w:r>
        <w:t>)</w:t>
      </w:r>
      <w:r>
        <w:t>,</w:t>
      </w:r>
      <w:r>
        <w:t xml:space="preserve"> </w:t>
      </w:r>
      <w:r>
        <w:t>d</w:t>
      </w:r>
      <w:r>
        <w:t xml:space="preserve">’où </w:t>
      </w:r>
      <w:r>
        <w:t xml:space="preserve">la nécessité de disposer d’un plan de gestion des pestes, et ce en conformité avec la règlementation nationale et la </w:t>
      </w:r>
      <w:r>
        <w:t>Politique</w:t>
      </w:r>
      <w:r>
        <w:rPr>
          <w:b/>
        </w:rPr>
        <w:t xml:space="preserve"> </w:t>
      </w:r>
      <w:r>
        <w:t>Opérationnelle</w:t>
      </w:r>
      <w:r>
        <w:rPr>
          <w:b/>
        </w:rPr>
        <w:t xml:space="preserve"> </w:t>
      </w:r>
      <w:r>
        <w:rPr>
          <w:b/>
        </w:rPr>
        <w:t>PO</w:t>
      </w:r>
      <w:r>
        <w:rPr>
          <w:b/>
        </w:rPr>
        <w:t xml:space="preserve"> 4.09 sur la gestion des pestes</w:t>
      </w:r>
      <w:r>
        <w:t xml:space="preserve"> de la Banque mondiale, </w:t>
      </w:r>
      <w:r>
        <w:t>déclenchée</w:t>
      </w:r>
      <w:r>
        <w:t xml:space="preserve"> </w:t>
      </w:r>
      <w:r>
        <w:t xml:space="preserve">par le </w:t>
      </w:r>
      <w:r>
        <w:t>PDCA</w:t>
      </w:r>
      <w:r>
        <w:t xml:space="preserve">. Le </w:t>
      </w:r>
      <w:r>
        <w:t>Plan de Gestion des Pestes (</w:t>
      </w:r>
      <w:r>
        <w:t>PGP</w:t>
      </w:r>
      <w:r>
        <w:t>)</w:t>
      </w:r>
      <w:r>
        <w:t xml:space="preserve"> vise à </w:t>
      </w:r>
      <w:r>
        <w:t xml:space="preserve">(i) </w:t>
      </w:r>
      <w:r>
        <w:t xml:space="preserve">minimiser les </w:t>
      </w:r>
      <w:r>
        <w:t>impacts</w:t>
      </w:r>
      <w:r>
        <w:t xml:space="preserve"> </w:t>
      </w:r>
      <w:r>
        <w:t xml:space="preserve">potentiels négatifs </w:t>
      </w:r>
      <w:r>
        <w:t xml:space="preserve">des moyens de lutte </w:t>
      </w:r>
      <w:r>
        <w:t>contre les</w:t>
      </w:r>
      <w:r>
        <w:t xml:space="preserve"> pestes </w:t>
      </w:r>
      <w:r>
        <w:t xml:space="preserve">sur la santé humaine, animale et sur l’environnement pouvant </w:t>
      </w:r>
      <w:r>
        <w:t>découler</w:t>
      </w:r>
      <w:r>
        <w:t xml:space="preserve"> de l’utilisation de produits chimiques de synthèse dans la </w:t>
      </w:r>
      <w:r>
        <w:t>gestion des pestes</w:t>
      </w:r>
      <w:r>
        <w:t xml:space="preserve"> et </w:t>
      </w:r>
      <w:r>
        <w:t xml:space="preserve">(ii) </w:t>
      </w:r>
      <w:r>
        <w:t>encourager les méthodes de lut</w:t>
      </w:r>
      <w:r>
        <w:t>t</w:t>
      </w:r>
      <w:r>
        <w:t>e alternatives.</w:t>
      </w:r>
      <w:r>
        <w:t xml:space="preserve"> </w:t>
      </w:r>
    </w:p>
    <w:p>
      <w:pPr>
        <w:pStyle w:val="style0"/>
        <w:rPr>
          <w:rFonts w:cs="Arial"/>
          <w:b/>
          <w:color w:val="222222"/>
        </w:rPr>
      </w:pPr>
    </w:p>
    <w:p>
      <w:pPr>
        <w:pStyle w:val="style0"/>
        <w:rPr>
          <w:rFonts w:cs="Arial"/>
          <w:b/>
          <w:color w:val="222222"/>
        </w:rPr>
      </w:pPr>
      <w:r>
        <w:rPr>
          <w:rFonts w:cs="Arial"/>
          <w:b/>
          <w:color w:val="222222"/>
        </w:rPr>
        <w:t>B. Description du Pro</w:t>
      </w:r>
      <w:r>
        <w:rPr>
          <w:rFonts w:cs="Arial"/>
          <w:b/>
          <w:color w:val="222222"/>
        </w:rPr>
        <w:t xml:space="preserve">gramme </w:t>
      </w:r>
    </w:p>
    <w:p>
      <w:pPr>
        <w:pStyle w:val="style0"/>
        <w:rPr/>
      </w:pPr>
      <w:r>
        <w:t xml:space="preserve">Le PDCA entre dans le cadre des orientations stratégiques du </w:t>
      </w:r>
      <w:r>
        <w:t>Plan National de D</w:t>
      </w:r>
      <w:r>
        <w:t>éveloppe</w:t>
      </w:r>
      <w:r>
        <w:t>ment E</w:t>
      </w:r>
      <w:r>
        <w:t xml:space="preserve">conomique et </w:t>
      </w:r>
      <w:r>
        <w:t>S</w:t>
      </w:r>
      <w:r>
        <w:t>ocial (PNDES) du Burkina Faso</w:t>
      </w:r>
      <w:r>
        <w:t xml:space="preserve"> qui s’étale de 2016 à 2020</w:t>
      </w:r>
      <w:r>
        <w:t>, et entend contribuer à la transformation structurelle du secteur agricole pour booster la croissance économique, améliorer la compétitivité des filières porteuses et assurer de façon durable la sécurité alimentaire et nutritionnelle. Le programme c</w:t>
      </w:r>
      <w:r>
        <w:t>ouvrira quatre régions ayant de</w:t>
      </w:r>
      <w:r>
        <w:t xml:space="preserve"> fortes potentialités en terres aménageables et des retenues d’eau avec pour principales filières ciblées le riz, le maïs, la tomate, l’oignon, et l’arboriculture fruitière. </w:t>
      </w:r>
    </w:p>
    <w:p>
      <w:pPr>
        <w:pStyle w:val="style0"/>
        <w:rPr/>
      </w:pPr>
      <w:r>
        <w:t xml:space="preserve">L’objectif de développement du PDCA est d’accroître la productivité agricole et l’accès au marché pour les petits producteurs et les petites et moyennes entreprises (PME) dans </w:t>
      </w:r>
      <w:r>
        <w:t xml:space="preserve">les chaines de valeur ciblées dans la zone d’intervention du Programme. Il a </w:t>
      </w:r>
      <w:r>
        <w:t>quatre</w:t>
      </w:r>
      <w:r>
        <w:t xml:space="preserve"> composantes,</w:t>
      </w:r>
      <w:r>
        <w:t xml:space="preserve"> </w:t>
      </w:r>
      <w:r>
        <w:t>à savoir :</w:t>
      </w:r>
    </w:p>
    <w:p>
      <w:pPr>
        <w:pStyle w:val="style0"/>
        <w:spacing w:before="0"/>
        <w:rPr/>
      </w:pPr>
      <w:r>
        <w:t xml:space="preserve">Composante 1 - appui à l’amélioration de la productivité agricole ; </w:t>
      </w:r>
    </w:p>
    <w:p>
      <w:pPr>
        <w:pStyle w:val="style0"/>
        <w:spacing w:before="0"/>
        <w:rPr/>
      </w:pPr>
      <w:r>
        <w:t xml:space="preserve">Composante 2 - amélioration de l’accès au marché </w:t>
      </w:r>
    </w:p>
    <w:p>
      <w:pPr>
        <w:pStyle w:val="style0"/>
        <w:spacing w:before="0"/>
        <w:rPr/>
      </w:pPr>
      <w:r>
        <w:t>Composante 3</w:t>
      </w:r>
      <w:r>
        <w:t xml:space="preserve"> -</w:t>
      </w:r>
      <w:r>
        <w:t xml:space="preserve"> appui aux investissements privés et </w:t>
      </w:r>
    </w:p>
    <w:p>
      <w:pPr>
        <w:pStyle w:val="style0"/>
        <w:spacing w:before="0"/>
        <w:rPr/>
      </w:pPr>
      <w:r>
        <w:t xml:space="preserve">Composante </w:t>
      </w:r>
      <w:r>
        <w:t>4</w:t>
      </w:r>
      <w:r>
        <w:t> - prévention et gestion des crises et coordination du Programme.</w:t>
      </w:r>
    </w:p>
    <w:p>
      <w:pPr>
        <w:pStyle w:val="style0"/>
        <w:rPr/>
      </w:pPr>
      <w:r>
        <w:t xml:space="preserve">Pour améliorer la productivité agricole (composante 1), la lutte contre les nuisibles et ravageurs des cultures </w:t>
      </w:r>
      <w:r>
        <w:t xml:space="preserve">demeure une activité importante. Cette activité </w:t>
      </w:r>
      <w:r>
        <w:t xml:space="preserve">peut entrainer l’utilisation des pesticides ou d’autres méthodes de luttes. Une mauvaise utilisation de ces produits chimiques, pourrait entrainer la destruction d’organismes non cibles, la dégradation des sols et la qualité des ressources en eaux avec un impact sur la biodiversité en milieu aquatique ou non, et cela, en fonction de la toxicité des produits utilisés. Cette dégradation, pourrait ainsi compromettre l’objectif d’atteinte de la sécurité alimentaire. </w:t>
      </w:r>
    </w:p>
    <w:p>
      <w:pPr>
        <w:pStyle w:val="style0"/>
        <w:spacing w:before="0"/>
        <w:rPr/>
      </w:pPr>
    </w:p>
    <w:p>
      <w:pPr>
        <w:pStyle w:val="style0"/>
        <w:rPr>
          <w:rFonts w:cs="Arial"/>
          <w:b/>
          <w:color w:val="222222"/>
        </w:rPr>
      </w:pPr>
      <w:r>
        <w:rPr>
          <w:rFonts w:cs="Arial"/>
          <w:b/>
          <w:color w:val="222222"/>
        </w:rPr>
        <w:t xml:space="preserve">C. Approches actuelles de la </w:t>
      </w:r>
      <w:r>
        <w:rPr>
          <w:rFonts w:cs="Arial"/>
          <w:b/>
          <w:color w:val="222222"/>
        </w:rPr>
        <w:t>gestion des pestes</w:t>
      </w:r>
      <w:r>
        <w:rPr>
          <w:rFonts w:cs="Arial"/>
          <w:b/>
          <w:color w:val="222222"/>
        </w:rPr>
        <w:t xml:space="preserve"> dans le secteur du pro</w:t>
      </w:r>
      <w:r>
        <w:rPr>
          <w:rFonts w:cs="Arial"/>
          <w:b/>
          <w:color w:val="222222"/>
        </w:rPr>
        <w:t>gramme</w:t>
      </w:r>
      <w:r>
        <w:rPr>
          <w:rFonts w:cs="Arial"/>
          <w:b/>
          <w:color w:val="222222"/>
        </w:rPr>
        <w:t xml:space="preserve"> dans le pays</w:t>
      </w:r>
    </w:p>
    <w:p>
      <w:pPr>
        <w:pStyle w:val="style0"/>
        <w:rPr/>
      </w:pPr>
      <w:r>
        <w:t>La lutte contre les ennemis des cultures est une préoccupation pour l’Etat, qui s’évertue à mettre en place un mécanisme de gestion et d’utilisation des pesticides appropriés</w:t>
      </w:r>
      <w:r>
        <w:t>. Ainsi, p</w:t>
      </w:r>
      <w:r>
        <w:t xml:space="preserve">lusieurs acteurs sont impliqués dans la </w:t>
      </w:r>
      <w:r>
        <w:t>gestion des pestes</w:t>
      </w:r>
      <w:r>
        <w:t>, et sont regroupés au s</w:t>
      </w:r>
      <w:r>
        <w:t>e</w:t>
      </w:r>
      <w:r>
        <w:t>i</w:t>
      </w:r>
      <w:r>
        <w:t xml:space="preserve">n de la </w:t>
      </w:r>
      <w:r>
        <w:t>Commission Nationale de Gestion des Pesticides (</w:t>
      </w:r>
      <w:r>
        <w:t>CNGP</w:t>
      </w:r>
      <w:r>
        <w:t>)</w:t>
      </w:r>
      <w:r>
        <w:t xml:space="preserve">. </w:t>
      </w:r>
      <w:r>
        <w:t>Il s’agit</w:t>
      </w:r>
      <w:r>
        <w:t>,</w:t>
      </w:r>
      <w:r>
        <w:t xml:space="preserve"> notamment du ministère en charge de l’a</w:t>
      </w:r>
      <w:r>
        <w:t>griculture</w:t>
      </w:r>
      <w:r>
        <w:t xml:space="preserve"> à travers sa </w:t>
      </w:r>
      <w:r>
        <w:t xml:space="preserve">Direction de la Protection des Végétaux et du Conditionnement (DPVC) </w:t>
      </w:r>
      <w:r>
        <w:t>et les</w:t>
      </w:r>
      <w:r>
        <w:t xml:space="preserve"> démembr</w:t>
      </w:r>
      <w:r>
        <w:t>e</w:t>
      </w:r>
      <w:r>
        <w:t>ment</w:t>
      </w:r>
      <w:r>
        <w:t>s</w:t>
      </w:r>
      <w:r>
        <w:t xml:space="preserve"> de la CNGP</w:t>
      </w:r>
      <w:r>
        <w:t xml:space="preserve"> jusqu’au niveau village à travers les Comité</w:t>
      </w:r>
      <w:r>
        <w:t>s</w:t>
      </w:r>
      <w:r>
        <w:t xml:space="preserve"> Régionaux de </w:t>
      </w:r>
      <w:r>
        <w:t>Toxicovi</w:t>
      </w:r>
      <w:r>
        <w:t>gi</w:t>
      </w:r>
      <w:r>
        <w:t>lan</w:t>
      </w:r>
      <w:r>
        <w:t>c</w:t>
      </w:r>
      <w:r>
        <w:t xml:space="preserve">e </w:t>
      </w:r>
      <w:r>
        <w:t>aux Pesticides (CRTP)</w:t>
      </w:r>
      <w:r>
        <w:t>. La DPVC organise des sessions de formation</w:t>
      </w:r>
      <w:r>
        <w:t>, de sensibilisation et de l’information sur les bonnes pratiques phytosanitaires (BPP)</w:t>
      </w:r>
      <w:r>
        <w:t xml:space="preserve">. </w:t>
      </w:r>
    </w:p>
    <w:p>
      <w:pPr>
        <w:pStyle w:val="style0"/>
        <w:rPr/>
      </w:pPr>
      <w:r>
        <w:t>L’</w:t>
      </w:r>
      <w:r>
        <w:t xml:space="preserve">expérience de </w:t>
      </w:r>
      <w:r>
        <w:t>gestion intégrée de la production et des déprédateurs (GIPD), initiée par la FAO en collaboration avec le ministère en charge de l’agriculture (2001 – 2005) a permis d’obtenir des résultats importants sur la</w:t>
      </w:r>
      <w:r>
        <w:t xml:space="preserve"> production du riz et la gestion des </w:t>
      </w:r>
      <w:r>
        <w:t>pestes</w:t>
      </w:r>
      <w:r>
        <w:t xml:space="preserve">. Cette initiative de bonnes pratiques agricoles (BPA) a permis d’améliorer la productivité du riz et de former plusieurs producteurs. </w:t>
      </w:r>
    </w:p>
    <w:p>
      <w:pPr>
        <w:pStyle w:val="style0"/>
        <w:rPr/>
      </w:pPr>
      <w:r>
        <w:t>Les résultats de la recherche, dans le domaine de la lutte biologique, le développement de variétés résistantes, et d’autres alternatives à la lutte chi</w:t>
      </w:r>
      <w:r>
        <w:t>mique sont mis en œuvre par l’Institut de l’Environnement et de Recherches A</w:t>
      </w:r>
      <w:r>
        <w:t xml:space="preserve">gricoles (INERA). </w:t>
      </w:r>
    </w:p>
    <w:p>
      <w:pPr>
        <w:pStyle w:val="style0"/>
        <w:rPr/>
      </w:pPr>
      <w:r>
        <w:t>Le ministère en charge de l’Environnement, à travers le Bureau National des Evaluation</w:t>
      </w:r>
      <w:r>
        <w:t>s</w:t>
      </w:r>
      <w:r>
        <w:t xml:space="preserve"> Environnemental</w:t>
      </w:r>
      <w:r>
        <w:t>e</w:t>
      </w:r>
      <w:r>
        <w:t>s</w:t>
      </w:r>
      <w:r>
        <w:t xml:space="preserve"> (BUNEE</w:t>
      </w:r>
      <w:r>
        <w:t>)</w:t>
      </w:r>
      <w:r>
        <w:t xml:space="preserve"> intervient dans le suivi et la gestion de produits chimiques. De plus, les ministères en charge de la santé, des ressources animales</w:t>
      </w:r>
      <w:r>
        <w:t>, de l’eau</w:t>
      </w:r>
      <w:r>
        <w:t xml:space="preserve"> etc</w:t>
      </w:r>
      <w:r>
        <w:t>.</w:t>
      </w:r>
      <w:r>
        <w:t>, certaines ONG et Partenaires techniques et financiers sont partie</w:t>
      </w:r>
      <w:r>
        <w:t>s</w:t>
      </w:r>
      <w:r>
        <w:t xml:space="preserve"> prenantes dans la </w:t>
      </w:r>
      <w:r>
        <w:t>gestion des nuisibles</w:t>
      </w:r>
      <w:r>
        <w:t xml:space="preserve">. </w:t>
      </w:r>
    </w:p>
    <w:p>
      <w:pPr>
        <w:pStyle w:val="style0"/>
        <w:rPr>
          <w:rFonts w:cs="Arial"/>
          <w:b/>
          <w:color w:val="222222"/>
        </w:rPr>
      </w:pPr>
    </w:p>
    <w:p>
      <w:pPr>
        <w:pStyle w:val="style0"/>
        <w:rPr>
          <w:rFonts w:cs="Arial"/>
          <w:b/>
          <w:color w:val="222222"/>
        </w:rPr>
      </w:pPr>
      <w:r>
        <w:rPr>
          <w:rFonts w:cs="Arial"/>
          <w:b/>
          <w:color w:val="222222"/>
        </w:rPr>
        <w:t xml:space="preserve">D. Problématique actuelle de l’utilisation et gestion des pesticides chimiques de synthèse dans </w:t>
      </w:r>
      <w:r>
        <w:rPr>
          <w:rFonts w:cs="Arial"/>
          <w:b/>
          <w:color w:val="222222"/>
        </w:rPr>
        <w:t>le pays et le secteur du projet</w:t>
      </w:r>
    </w:p>
    <w:p>
      <w:pPr>
        <w:pStyle w:val="style0"/>
        <w:rPr>
          <w:bCs/>
        </w:rPr>
      </w:pPr>
      <w:r>
        <w:t>L</w:t>
      </w:r>
      <w:r>
        <w:t>e diagnostic de la situation</w:t>
      </w:r>
      <w:r>
        <w:t xml:space="preserve"> actuel</w:t>
      </w:r>
      <w:r>
        <w:t>le</w:t>
      </w:r>
      <w:r>
        <w:t xml:space="preserve"> de l’usage des pesticides par les producteurs</w:t>
      </w:r>
      <w:r>
        <w:t xml:space="preserve"> dans les zones d’intervention du programme (ZIP)</w:t>
      </w:r>
      <w:r>
        <w:t xml:space="preserve"> </w:t>
      </w:r>
      <w:r>
        <w:t>établit</w:t>
      </w:r>
      <w:r>
        <w:t xml:space="preserve"> les </w:t>
      </w:r>
      <w:r>
        <w:t>constats</w:t>
      </w:r>
      <w:r>
        <w:t xml:space="preserve"> </w:t>
      </w:r>
      <w:r>
        <w:t>suivants : (i) une méconnaissance des ennemis des cultures en général</w:t>
      </w:r>
      <w:r>
        <w:t> ;</w:t>
      </w:r>
      <w:r>
        <w:t xml:space="preserve"> (ii) une utilisation non contrôlée des pesticides se traduisant par une application dans des conditions peu respectueuses des normes en la matière, avec un risque élevé pour la contamination des sols, des eaux et même de l’hom</w:t>
      </w:r>
      <w:r>
        <w:t>me (consommateur et producteur) ;</w:t>
      </w:r>
      <w:r>
        <w:t xml:space="preserve"> </w:t>
      </w:r>
      <w:r>
        <w:t xml:space="preserve">(iii) </w:t>
      </w:r>
      <w:r>
        <w:t>h</w:t>
      </w:r>
      <w:r>
        <w:t xml:space="preserve">ormis </w:t>
      </w:r>
      <w:r>
        <w:t>quelques vendeurs agrées</w:t>
      </w:r>
      <w:r>
        <w:t xml:space="preserve"> (dont certains vendent en plus des produits </w:t>
      </w:r>
      <w:r>
        <w:t xml:space="preserve">non </w:t>
      </w:r>
      <w:r>
        <w:t>homologués)</w:t>
      </w:r>
      <w:r>
        <w:t xml:space="preserve">, la plupart des </w:t>
      </w:r>
      <w:r>
        <w:t>marchands</w:t>
      </w:r>
      <w:r>
        <w:t xml:space="preserve"> s’adonnent à une vente illicite des pesticides. Ainsi, </w:t>
      </w:r>
      <w:r>
        <w:rPr>
          <w:bCs/>
        </w:rPr>
        <w:t>le circuit actuel d’approvisionnement et de distribution des pesticides, bien qu’ayant connu une certaine amélioration, reste pour la plupart</w:t>
      </w:r>
      <w:r>
        <w:rPr>
          <w:bCs/>
        </w:rPr>
        <w:t>,</w:t>
      </w:r>
      <w:r>
        <w:rPr>
          <w:bCs/>
        </w:rPr>
        <w:t xml:space="preserve"> anarchique et peu respectueux des règles de sécurité. </w:t>
      </w:r>
    </w:p>
    <w:p>
      <w:pPr>
        <w:pStyle w:val="style0"/>
        <w:rPr>
          <w:bCs/>
        </w:rPr>
      </w:pPr>
      <w:r>
        <w:t>Sur le plan du milieu physique, les zones d’interventions du pro</w:t>
      </w:r>
      <w:r>
        <w:t>gramme</w:t>
      </w:r>
      <w:r>
        <w:t xml:space="preserve"> </w:t>
      </w:r>
      <w:r>
        <w:t xml:space="preserve">reposent sur un relief plat parsemé par endroits de collines. Quant à la végétation, elle </w:t>
      </w:r>
      <w:r>
        <w:t xml:space="preserve">est essentiellement composée </w:t>
      </w:r>
      <w:r>
        <w:t xml:space="preserve">de steppe arbustive et arborées, de savanes arbustives et arborées, savane arborée et boisée avec des forêts galeries le long des cours d’eaux. On y rencontre également la steppe arborée, la steppe herbeuse et des formations rupicoles et autres prairies marécageuses occupant les bas-fonds. </w:t>
      </w:r>
      <w:r>
        <w:rPr>
          <w:color w:val="000000"/>
        </w:rPr>
        <w:t xml:space="preserve">Cette végétation subit une forte pression pour le feu de bois, l’alimentation </w:t>
      </w:r>
      <w:r>
        <w:rPr>
          <w:color w:val="000000"/>
        </w:rPr>
        <w:t>du</w:t>
      </w:r>
      <w:r>
        <w:rPr>
          <w:color w:val="000000"/>
        </w:rPr>
        <w:t xml:space="preserve"> bétail et l’aménagement de sites miniers </w:t>
      </w:r>
      <w:r>
        <w:rPr>
          <w:color w:val="000000"/>
        </w:rPr>
        <w:t xml:space="preserve">dans la région </w:t>
      </w:r>
      <w:r>
        <w:rPr>
          <w:color w:val="000000"/>
        </w:rPr>
        <w:t xml:space="preserve">Nord </w:t>
      </w:r>
      <w:r>
        <w:rPr>
          <w:color w:val="000000"/>
        </w:rPr>
        <w:t>avec pour conséquence</w:t>
      </w:r>
      <w:r>
        <w:rPr>
          <w:color w:val="000000"/>
        </w:rPr>
        <w:t>, une dégradation et dénudation du milieu.</w:t>
      </w:r>
      <w:r>
        <w:rPr>
          <w:bCs/>
        </w:rPr>
        <w:t xml:space="preserve"> </w:t>
      </w:r>
    </w:p>
    <w:p>
      <w:pPr>
        <w:pStyle w:val="style0"/>
        <w:rPr/>
      </w:pPr>
      <w:r>
        <w:t>Le contrôle de la qualité des pesticides utilisés, et la quantification de leurs résidus dans l’environnement et dans les produits de la récolte n</w:t>
      </w:r>
      <w:r>
        <w:t xml:space="preserve">e sont </w:t>
      </w:r>
      <w:r>
        <w:t>pas systématique</w:t>
      </w:r>
      <w:r>
        <w:t>s</w:t>
      </w:r>
      <w:r>
        <w:t xml:space="preserve">, et </w:t>
      </w:r>
      <w:r>
        <w:t xml:space="preserve">sont pour la plupart absents. </w:t>
      </w:r>
      <w:r>
        <w:t>En outre</w:t>
      </w:r>
      <w:r>
        <w:t>, le transport des pesticides ne se fait pas dans les normes</w:t>
      </w:r>
      <w:r>
        <w:t xml:space="preserve"> requises (transportés avec d’autres produits alimentaires)</w:t>
      </w:r>
      <w:r>
        <w:t xml:space="preserve">. </w:t>
      </w:r>
      <w:r>
        <w:t xml:space="preserve">Les emballages </w:t>
      </w:r>
      <w:r>
        <w:t xml:space="preserve">vides </w:t>
      </w:r>
      <w:r>
        <w:t>des pesticides sont le plus souvent rassemblés et brûlés par la suite. Certains sont abandonnés dans les champs et sans étiquettes.</w:t>
      </w:r>
      <w:r>
        <w:rPr>
          <w:color w:val="000000"/>
        </w:rPr>
        <w:t xml:space="preserve"> </w:t>
      </w:r>
    </w:p>
    <w:p>
      <w:pPr>
        <w:pStyle w:val="style0"/>
        <w:rPr>
          <w:bCs/>
        </w:rPr>
      </w:pPr>
      <w:r>
        <w:t>Pour minimiser ces risques, le P</w:t>
      </w:r>
      <w:r>
        <w:t xml:space="preserve">DCA </w:t>
      </w:r>
      <w:r>
        <w:t xml:space="preserve">devra soutenir l’organisation de séances de vulgarisation de technologies innovantes n’utilisant pas ou très peu de pesticides de synthèse, et ce, en étroite collaboration avec les agences des Ministères en charge de l’agriculture, de l’environnement et de la recherche, notamment l’INERA. Ainsi, </w:t>
      </w:r>
      <w:r>
        <w:rPr>
          <w:bCs/>
        </w:rPr>
        <w:t xml:space="preserve">l’expérimentation et la mise en œuvre des méthodes alternatives à la lutte chimique en protection des végétaux sont fortement encouragées. Le renforcement des CRTP, système de veille pour la détermination précoce des attaques, des invasions aviaires et acridiennes, et d’autres méthodes de lutte non chimique sont </w:t>
      </w:r>
      <w:r>
        <w:rPr>
          <w:bCs/>
        </w:rPr>
        <w:t>essentiels</w:t>
      </w:r>
      <w:r>
        <w:rPr>
          <w:bCs/>
        </w:rPr>
        <w:t xml:space="preserve">. </w:t>
      </w:r>
    </w:p>
    <w:p>
      <w:pPr>
        <w:pStyle w:val="style0"/>
        <w:rPr>
          <w:rFonts w:cs="Arial"/>
          <w:b/>
          <w:color w:val="222222"/>
        </w:rPr>
      </w:pPr>
      <w:r>
        <w:rPr>
          <w:rFonts w:cs="Arial"/>
          <w:b/>
          <w:color w:val="222222"/>
        </w:rPr>
        <w:t>E. Cadre politique, juridique et institutionnel de gestion intégrée des pestes (GIP)</w:t>
      </w:r>
    </w:p>
    <w:p>
      <w:pPr>
        <w:pStyle w:val="style0"/>
        <w:rPr/>
      </w:pPr>
      <w:r>
        <w:t xml:space="preserve">L'ossature institutionnelle de gestion des pesticides au Burkina Faso repose sur plusieurs ministères et acteurs représentés au sein de la commission nationale de gestion des pesticides (CNGP), créée par le Loi N°026-2017/AN du 15 mai 2017 et portant contrôle de la gestion des pesticides au Burkina Faso. </w:t>
      </w:r>
    </w:p>
    <w:p>
      <w:pPr>
        <w:pStyle w:val="style0"/>
        <w:rPr>
          <w:color w:val="000000"/>
          <w:spacing w:val="3"/>
        </w:rPr>
      </w:pPr>
      <w:r>
        <w:rPr>
          <w:color w:val="000000"/>
          <w:spacing w:val="3"/>
        </w:rPr>
        <w:t xml:space="preserve">Ce contrôle </w:t>
      </w:r>
      <w:r>
        <w:t>porte sur la production</w:t>
      </w:r>
      <w:r>
        <w:t> ;</w:t>
      </w:r>
      <w:r>
        <w:t xml:space="preserve"> </w:t>
      </w:r>
      <w:r>
        <w:t>l’expérimentation</w:t>
      </w:r>
      <w:r>
        <w:t> ;</w:t>
      </w:r>
      <w:r>
        <w:t xml:space="preserve"> </w:t>
      </w:r>
      <w:r>
        <w:t>le reconditionnement</w:t>
      </w:r>
      <w:r>
        <w:t> ;</w:t>
      </w:r>
      <w:r>
        <w:t xml:space="preserve"> </w:t>
      </w:r>
      <w:r>
        <w:t>l’importation</w:t>
      </w:r>
      <w:r>
        <w:t xml:space="preserve"> ; </w:t>
      </w:r>
      <w:r>
        <w:t>l’exportation</w:t>
      </w:r>
      <w:r>
        <w:t> ;</w:t>
      </w:r>
      <w:r>
        <w:t xml:space="preserve"> </w:t>
      </w:r>
      <w:r>
        <w:t>le transit</w:t>
      </w:r>
      <w:r>
        <w:t> ;</w:t>
      </w:r>
      <w:r>
        <w:t xml:space="preserve"> </w:t>
      </w:r>
      <w:r>
        <w:t>le transport</w:t>
      </w:r>
      <w:r>
        <w:t> ;</w:t>
      </w:r>
      <w:r>
        <w:t xml:space="preserve"> </w:t>
      </w:r>
      <w:r>
        <w:t>la distribution</w:t>
      </w:r>
      <w:r>
        <w:t> ;</w:t>
      </w:r>
      <w:r>
        <w:t xml:space="preserve"> </w:t>
      </w:r>
      <w:r>
        <w:t>le stockage</w:t>
      </w:r>
      <w:r>
        <w:t> ;</w:t>
      </w:r>
      <w:r>
        <w:t xml:space="preserve"> </w:t>
      </w:r>
      <w:r>
        <w:t>l’utilisation, la destruction du pesticide et la publicité</w:t>
      </w:r>
      <w:r>
        <w:t> ;</w:t>
      </w:r>
      <w:r>
        <w:t xml:space="preserve"> </w:t>
      </w:r>
      <w:r>
        <w:t>la qualité des pesticides</w:t>
      </w:r>
      <w:r>
        <w:t> ;</w:t>
      </w:r>
      <w:r>
        <w:t xml:space="preserve"> </w:t>
      </w:r>
      <w:r>
        <w:t>le respect des normes d’étiquetage, d’emballages et de procédures d’homologation en vigueur au Burkina Faso.</w:t>
      </w:r>
      <w:r>
        <w:rPr>
          <w:color w:val="000000"/>
          <w:spacing w:val="3"/>
        </w:rPr>
        <w:t xml:space="preserve"> Outre les parties prenantes au niveau national, des observateurs (FAO, OMS …) et des ONGs participent au CNGP. L</w:t>
      </w:r>
      <w:r>
        <w:rPr>
          <w:color w:val="000000"/>
          <w:spacing w:val="3"/>
        </w:rPr>
        <w:t>e</w:t>
      </w:r>
      <w:r>
        <w:rPr>
          <w:color w:val="000000"/>
          <w:spacing w:val="3"/>
        </w:rPr>
        <w:t xml:space="preserve"> CNGP est présidé par le DPVC. </w:t>
      </w:r>
    </w:p>
    <w:p>
      <w:pPr>
        <w:pStyle w:val="style0"/>
        <w:rPr/>
      </w:pPr>
      <w:r>
        <w:t>En ce qui concerne la gestion sécurisée des pesticides, le Gouvernement a promulgué plusieurs lois avec des décrets d’application.</w:t>
      </w:r>
      <w:r>
        <w:t xml:space="preserve"> Toutefois, on assiste </w:t>
      </w:r>
      <w:r>
        <w:t>à</w:t>
      </w:r>
      <w:r>
        <w:t xml:space="preserve"> la non application des textes par plusieurs acteurs soit par méconnaissance, ou par manque de moyens techniques et logistiques</w:t>
      </w:r>
      <w:r>
        <w:t xml:space="preserve"> pour les services techniques</w:t>
      </w:r>
      <w:r>
        <w:t xml:space="preserve">. </w:t>
      </w:r>
    </w:p>
    <w:p>
      <w:pPr>
        <w:pStyle w:val="style0"/>
        <w:rPr/>
      </w:pPr>
      <w:r>
        <w:t>Aussi, est-il fortement recommandé que le P</w:t>
      </w:r>
      <w:r>
        <w:t>DCA</w:t>
      </w:r>
      <w:r>
        <w:t xml:space="preserve"> suscite et encourage l’implication effective des structures étatiques compétentes dans la gestion des</w:t>
      </w:r>
      <w:r>
        <w:t xml:space="preserve"> pestes et l’utilisation des</w:t>
      </w:r>
      <w:r>
        <w:t xml:space="preserve"> pesticides par l’établissement d’un lien entre les producteurs sur place et ces structures, mais aussi par la signature de protocoles d’accords avec elles. En plus, il est </w:t>
      </w:r>
      <w:r>
        <w:t>important</w:t>
      </w:r>
      <w:r>
        <w:t xml:space="preserve"> </w:t>
      </w:r>
      <w:r>
        <w:t xml:space="preserve">que le </w:t>
      </w:r>
      <w:r>
        <w:t xml:space="preserve">programme </w:t>
      </w:r>
      <w:r>
        <w:t xml:space="preserve">œuvre à la mutualisation des ressources, mais aussi à la planification des activités avec des projets et programmes existantes et travaillant dans le même sens tel que le </w:t>
      </w:r>
      <w:r>
        <w:t xml:space="preserve">PTAAO, </w:t>
      </w:r>
      <w:r>
        <w:t xml:space="preserve">l’AMVS, PARIIS, PPCS et Bagré Pôle. </w:t>
      </w:r>
    </w:p>
    <w:p>
      <w:pPr>
        <w:pStyle w:val="style0"/>
        <w:rPr/>
      </w:pPr>
      <w:r>
        <w:t>En plus du cadre national, le Burkina-Fa</w:t>
      </w:r>
      <w:r>
        <w:t xml:space="preserve">so </w:t>
      </w:r>
      <w:r>
        <w:t>a signé et ratifié plusieurs instruments juridiques internationaux relatifs aux produits chimiques.</w:t>
      </w:r>
    </w:p>
    <w:p>
      <w:pPr>
        <w:pStyle w:val="style0"/>
        <w:rPr/>
      </w:pPr>
      <w:r>
        <w:t xml:space="preserve">Les principales </w:t>
      </w:r>
      <w:r>
        <w:t xml:space="preserve">filières ciblées </w:t>
      </w:r>
      <w:r>
        <w:t xml:space="preserve">par le PDCA sont </w:t>
      </w:r>
      <w:r>
        <w:t xml:space="preserve">le riz, le maïs, la tomate, l’oignon, et l’arboriculture fruitière. </w:t>
      </w:r>
      <w:r>
        <w:t xml:space="preserve">Ces activités de production </w:t>
      </w:r>
      <w:r>
        <w:t>pourraient</w:t>
      </w:r>
      <w:r>
        <w:t xml:space="preserve"> nécessiter l’utilisation de pesticides pour le contrôle des nuisibles et des pestes. </w:t>
      </w:r>
      <w:r>
        <w:rPr>
          <w:bCs/>
        </w:rPr>
        <w:t>Les principales pestes des cultures ciblées par le PDCA sont essentiellement les insectes ravageurs et les maladies fongiques. Au titre des insectes ravageurs nous retiendrons les foreurs de tiges de riz (</w:t>
      </w:r>
      <w:r>
        <w:rPr>
          <w:bCs/>
          <w:i/>
        </w:rPr>
        <w:t>Sesamia calamistis</w:t>
      </w:r>
      <w:r>
        <w:rPr>
          <w:bCs/>
        </w:rPr>
        <w:t>, la Cécidomyie du riz (</w:t>
      </w:r>
      <w:r>
        <w:rPr>
          <w:bCs/>
          <w:i/>
          <w:iCs/>
        </w:rPr>
        <w:t>Orseolia oryzivora</w:t>
      </w:r>
      <w:r>
        <w:rPr>
          <w:bCs/>
          <w:iCs/>
        </w:rPr>
        <w:t xml:space="preserve"> et </w:t>
      </w:r>
      <w:r>
        <w:rPr>
          <w:bCs/>
          <w:i/>
          <w:iCs/>
        </w:rPr>
        <w:t>Chilo zacconius</w:t>
      </w:r>
      <w:r>
        <w:rPr>
          <w:bCs/>
          <w:iCs/>
        </w:rPr>
        <w:t>). Concernant les cultures maraîchères les actions de luttes seront orientées contre les mouches blanches (</w:t>
      </w:r>
      <w:r>
        <w:rPr>
          <w:bCs/>
          <w:i/>
          <w:iCs/>
        </w:rPr>
        <w:t>Bemisia tabaci</w:t>
      </w:r>
      <w:r>
        <w:rPr>
          <w:bCs/>
          <w:iCs/>
        </w:rPr>
        <w:t>) la petite chenille de la tomate (</w:t>
      </w:r>
      <w:r>
        <w:rPr>
          <w:bCs/>
          <w:i/>
          <w:iCs/>
        </w:rPr>
        <w:t>Helicoverpa</w:t>
      </w:r>
      <w:r>
        <w:rPr>
          <w:bCs/>
          <w:iCs/>
        </w:rPr>
        <w:t xml:space="preserve"> </w:t>
      </w:r>
      <w:r>
        <w:rPr>
          <w:bCs/>
          <w:i/>
          <w:iCs/>
        </w:rPr>
        <w:t>armigera</w:t>
      </w:r>
      <w:r>
        <w:rPr>
          <w:bCs/>
          <w:iCs/>
        </w:rPr>
        <w:t>), les pucerons (</w:t>
      </w:r>
      <w:r>
        <w:rPr>
          <w:bCs/>
          <w:i/>
          <w:iCs/>
        </w:rPr>
        <w:t>Myzus persicea</w:t>
      </w:r>
      <w:r>
        <w:rPr>
          <w:bCs/>
          <w:iCs/>
        </w:rPr>
        <w:t>), la Teigne des crucifères (</w:t>
      </w:r>
      <w:r>
        <w:rPr>
          <w:bCs/>
          <w:i/>
          <w:iCs/>
        </w:rPr>
        <w:t>Plutella xylostella</w:t>
      </w:r>
      <w:r>
        <w:rPr>
          <w:bCs/>
          <w:iCs/>
        </w:rPr>
        <w:t xml:space="preserve">) et les Thrips sur l’oignon. </w:t>
      </w:r>
      <w:r>
        <w:rPr>
          <w:bCs/>
          <w:iCs/>
        </w:rPr>
        <w:t xml:space="preserve">De plus, au niveau des cultures maraîchères, </w:t>
      </w:r>
      <w:r>
        <w:rPr>
          <w:bCs/>
          <w:iCs/>
        </w:rPr>
        <w:t>les maladies suivantes seront ciblées par le PDCA. Il s’agit de l’Alternariose (</w:t>
      </w:r>
      <w:r>
        <w:rPr>
          <w:bCs/>
          <w:i/>
          <w:iCs/>
        </w:rPr>
        <w:t>Alternaria solani</w:t>
      </w:r>
      <w:r>
        <w:rPr>
          <w:bCs/>
          <w:iCs/>
        </w:rPr>
        <w:t xml:space="preserve">), la maladie des feuilles jaunes en cuillère de la tomate </w:t>
      </w:r>
      <w:r>
        <w:rPr>
          <w:bCs/>
          <w:iCs/>
        </w:rPr>
        <w:br/>
      </w:r>
      <w:r>
        <w:rPr>
          <w:bCs/>
          <w:i/>
          <w:iCs/>
        </w:rPr>
        <w:t>(Tomato Yellow Leaf Curl Virus - TYLCV</w:t>
      </w:r>
      <w:r>
        <w:rPr>
          <w:bCs/>
          <w:iCs/>
        </w:rPr>
        <w:t xml:space="preserve"> ), le Flétriss</w:t>
      </w:r>
      <w:r>
        <w:rPr>
          <w:bCs/>
          <w:iCs/>
        </w:rPr>
        <w:t>em</w:t>
      </w:r>
      <w:r>
        <w:rPr>
          <w:bCs/>
          <w:iCs/>
        </w:rPr>
        <w:t>ent bactérien (</w:t>
      </w:r>
      <w:r>
        <w:rPr>
          <w:bCs/>
          <w:i/>
          <w:iCs/>
        </w:rPr>
        <w:t>Pseudomonas solanacearum).</w:t>
      </w:r>
    </w:p>
    <w:p>
      <w:pPr>
        <w:pStyle w:val="style0"/>
        <w:spacing w:lineRule="auto" w:line="276"/>
        <w:rPr>
          <w:bCs/>
          <w:iCs/>
        </w:rPr>
      </w:pPr>
      <w:r>
        <w:rPr>
          <w:bCs/>
          <w:iCs/>
        </w:rPr>
        <w:t>Pour ce qui concerne les maladies parasitaires, les actions de lutte du PDCA porteront sur la pyriculariose (</w:t>
      </w:r>
      <w:r>
        <w:rPr>
          <w:i/>
        </w:rPr>
        <w:t>Magnaporthe oryzae</w:t>
      </w:r>
      <w:r>
        <w:rPr>
          <w:bCs/>
          <w:iCs/>
        </w:rPr>
        <w:t>), la maladie des taches brunes (</w:t>
      </w:r>
      <w:r>
        <w:rPr>
          <w:bCs/>
          <w:i/>
          <w:iCs/>
        </w:rPr>
        <w:t>Bipolaris oryzae</w:t>
      </w:r>
      <w:r>
        <w:rPr>
          <w:bCs/>
          <w:iCs/>
        </w:rPr>
        <w:t>) et la panachure jaune du riz (</w:t>
      </w:r>
      <w:r>
        <w:rPr>
          <w:bCs/>
          <w:i/>
          <w:iCs/>
        </w:rPr>
        <w:t>Rice Yellow Mosaic Virus (RYMV)</w:t>
      </w:r>
      <w:r>
        <w:rPr>
          <w:bCs/>
          <w:iCs/>
        </w:rPr>
        <w:t>)</w:t>
      </w:r>
    </w:p>
    <w:p>
      <w:pPr>
        <w:pStyle w:val="style0"/>
        <w:rPr/>
      </w:pPr>
      <w:r>
        <w:t>Les p</w:t>
      </w:r>
      <w:r>
        <w:t xml:space="preserve">rincipaux risques </w:t>
      </w:r>
      <w:r>
        <w:t xml:space="preserve">sanitaires </w:t>
      </w:r>
      <w:r>
        <w:t>associ</w:t>
      </w:r>
      <w:r>
        <w:t>é</w:t>
      </w:r>
      <w:r>
        <w:t xml:space="preserve">s </w:t>
      </w:r>
      <w:r>
        <w:t>à</w:t>
      </w:r>
      <w:r>
        <w:t xml:space="preserve"> l’utilisation des pesticides dans la mise en œuvre du PDCA</w:t>
      </w:r>
      <w:r>
        <w:t xml:space="preserve"> </w:t>
      </w:r>
      <w:r>
        <w:t xml:space="preserve">se résument </w:t>
      </w:r>
      <w:r>
        <w:t>aux</w:t>
      </w:r>
      <w:r>
        <w:t> :</w:t>
      </w:r>
      <w:r>
        <w:t xml:space="preserve"> </w:t>
      </w:r>
      <w:r>
        <w:t>(i) intoxications légères se traduisant par des (maux de tête, rhume et larmoiement)</w:t>
      </w:r>
      <w:r>
        <w:t> ;</w:t>
      </w:r>
      <w:r>
        <w:t xml:space="preserve"> (ii) intoxications modérées (Troubles respiratoires, Hypersécrétion broncho-pulmonaire, Vomissements et Diarrhée)</w:t>
      </w:r>
      <w:r>
        <w:t> :</w:t>
      </w:r>
      <w:r>
        <w:t xml:space="preserve"> (iii) intoxications sévères </w:t>
      </w:r>
      <w:r>
        <w:t>(Convulsions, coma, Insuffisance respiratoire et mort).</w:t>
      </w:r>
      <w:r>
        <w:t xml:space="preserve"> </w:t>
      </w:r>
      <w:r>
        <w:t>Au-delà</w:t>
      </w:r>
      <w:r>
        <w:t xml:space="preserve"> de la santé humaine, il faut signaler que l’utilisation des pesticides pourrait susciter la pollution </w:t>
      </w:r>
      <w:r>
        <w:t>de l’environnement (</w:t>
      </w:r>
      <w:r>
        <w:t>points d’eau</w:t>
      </w:r>
      <w:r>
        <w:t>, sols, air),</w:t>
      </w:r>
      <w:r>
        <w:t xml:space="preserve"> si les mesures recommandées ne sont pas respectées. On pourrait également noter les taux élevés de </w:t>
      </w:r>
      <w:r>
        <w:t xml:space="preserve">résidus de pesticides </w:t>
      </w:r>
      <w:r>
        <w:t>dans les produits récoltés si toutefois les délais d’attente ne sont respectés.</w:t>
      </w:r>
    </w:p>
    <w:p>
      <w:pPr>
        <w:pStyle w:val="style0"/>
        <w:rPr/>
      </w:pPr>
    </w:p>
    <w:p>
      <w:pPr>
        <w:pStyle w:val="style0"/>
        <w:spacing w:before="0" w:lineRule="auto" w:line="276"/>
        <w:rPr>
          <w:b/>
          <w:bCs/>
          <w:sz w:val="23"/>
          <w:szCs w:val="23"/>
        </w:rPr>
      </w:pPr>
      <w:r>
        <w:rPr>
          <w:b/>
          <w:bCs/>
          <w:sz w:val="23"/>
          <w:szCs w:val="23"/>
        </w:rPr>
        <w:t xml:space="preserve">Approche de gestion des pestes </w:t>
      </w:r>
      <w:r>
        <w:rPr>
          <w:b/>
          <w:bCs/>
          <w:sz w:val="23"/>
          <w:szCs w:val="23"/>
        </w:rPr>
        <w:t>à</w:t>
      </w:r>
      <w:r>
        <w:rPr>
          <w:b/>
          <w:bCs/>
          <w:sz w:val="23"/>
          <w:szCs w:val="23"/>
        </w:rPr>
        <w:t xml:space="preserve"> promouvoir dans le cadre du PDCA</w:t>
      </w:r>
    </w:p>
    <w:p>
      <w:pPr>
        <w:pStyle w:val="style0"/>
        <w:spacing w:before="0" w:lineRule="auto" w:line="276"/>
        <w:rPr>
          <w:bCs/>
          <w:szCs w:val="23"/>
        </w:rPr>
      </w:pPr>
      <w:r>
        <w:rPr>
          <w:bCs/>
          <w:szCs w:val="23"/>
        </w:rPr>
        <w:t xml:space="preserve">Les directives sur la gestion des pestes dans le cadre du PDCA seront basées sur l’approche de la gestion intégrée des pestes. Cette approche recommande l'association de toutes les méthodes de lutte possibles et utiles contre les organismes nuisibles, tout en envisageant d'utiliser des pesticides chimiques en dernier recours. Ainsi, plusieurs méthodes de contrôle sont </w:t>
      </w:r>
      <w:r>
        <w:rPr>
          <w:bCs/>
          <w:szCs w:val="23"/>
        </w:rPr>
        <w:t>disponibles :</w:t>
      </w:r>
      <w:r>
        <w:rPr>
          <w:bCs/>
          <w:szCs w:val="23"/>
        </w:rPr>
        <w:t xml:space="preserve"> contrôle </w:t>
      </w:r>
      <w:r>
        <w:rPr>
          <w:bCs/>
          <w:szCs w:val="23"/>
        </w:rPr>
        <w:t>biologique</w:t>
      </w:r>
      <w:r>
        <w:rPr>
          <w:bCs/>
          <w:szCs w:val="23"/>
        </w:rPr>
        <w:t> ;</w:t>
      </w:r>
      <w:r>
        <w:rPr>
          <w:bCs/>
          <w:szCs w:val="23"/>
        </w:rPr>
        <w:t xml:space="preserve"> </w:t>
      </w:r>
      <w:r>
        <w:rPr>
          <w:bCs/>
          <w:szCs w:val="23"/>
        </w:rPr>
        <w:t>contrôle agronomique ; contrôle chimique raisonné ;</w:t>
      </w:r>
      <w:r>
        <w:rPr>
          <w:bCs/>
          <w:szCs w:val="23"/>
        </w:rPr>
        <w:t xml:space="preserve"> sélection variétale</w:t>
      </w:r>
      <w:r>
        <w:rPr>
          <w:bCs/>
          <w:szCs w:val="23"/>
        </w:rPr>
        <w:t> ; combat mécanique </w:t>
      </w:r>
      <w:r>
        <w:rPr>
          <w:bCs/>
          <w:szCs w:val="23"/>
        </w:rPr>
        <w:t>,</w:t>
      </w:r>
      <w:r>
        <w:rPr>
          <w:bCs/>
          <w:szCs w:val="23"/>
        </w:rPr>
        <w:t xml:space="preserve"> </w:t>
      </w:r>
      <w:r>
        <w:rPr>
          <w:bCs/>
          <w:szCs w:val="23"/>
        </w:rPr>
        <w:t>génétique et législatif. Elles devront être menées dans le cadre d’une lutte préventive ou curative et inciter les agriculteurs à prendre des décisions en matière de gestion intégrée utilisant l’analyse des agro-écosystèmes.</w:t>
      </w:r>
    </w:p>
    <w:p>
      <w:pPr>
        <w:pStyle w:val="style0"/>
        <w:spacing w:before="0" w:lineRule="auto" w:line="276"/>
        <w:rPr>
          <w:bCs/>
          <w:sz w:val="23"/>
          <w:szCs w:val="23"/>
        </w:rPr>
      </w:pPr>
    </w:p>
    <w:p>
      <w:pPr>
        <w:pStyle w:val="style0"/>
        <w:rPr>
          <w:rFonts w:cs="Arial"/>
          <w:b/>
          <w:color w:val="222222"/>
        </w:rPr>
      </w:pPr>
      <w:r>
        <w:rPr>
          <w:rFonts w:cs="Arial"/>
          <w:b/>
          <w:color w:val="222222"/>
        </w:rPr>
        <w:t xml:space="preserve">F. </w:t>
      </w:r>
      <w:r>
        <w:rPr>
          <w:rFonts w:cs="Arial"/>
          <w:b/>
          <w:color w:val="222222"/>
        </w:rPr>
        <w:t>Plan d’actions</w:t>
      </w:r>
      <w:r>
        <w:rPr>
          <w:rFonts w:cs="Arial"/>
          <w:b/>
          <w:color w:val="222222"/>
        </w:rPr>
        <w:t xml:space="preserve"> </w:t>
      </w:r>
      <w:r>
        <w:rPr>
          <w:rFonts w:cs="Arial"/>
          <w:b/>
          <w:color w:val="222222"/>
        </w:rPr>
        <w:t>de gestion intégrée des pestes</w:t>
      </w:r>
    </w:p>
    <w:p>
      <w:pPr>
        <w:pStyle w:val="style0"/>
        <w:rPr>
          <w:rFonts w:eastAsia="Calibri"/>
        </w:rPr>
      </w:pPr>
      <w:r>
        <w:rPr>
          <w:rFonts w:eastAsia="Calibri"/>
        </w:rPr>
        <w:t xml:space="preserve">Les mesures de gestion intégrée des pestes (MGIP) dans le cadre du PDCA, devront permettre de mieux utiliser des pesticides et surtout de préconiser un ensemble de mesures pour en limiter les effets négatifs dans la mise en œuvre du programme. </w:t>
      </w:r>
      <w:r>
        <w:rPr>
          <w:rFonts w:eastAsia="Calibri"/>
        </w:rPr>
        <w:t>Elle</w:t>
      </w:r>
      <w:r>
        <w:rPr>
          <w:rFonts w:eastAsia="Calibri"/>
        </w:rPr>
        <w:t xml:space="preserve"> devrait favoriser la vulgarisation de techniques alternatives à l’utilisation des pesticides de synthèse</w:t>
      </w:r>
      <w:r>
        <w:rPr>
          <w:rFonts w:eastAsia="Calibri"/>
        </w:rPr>
        <w:t xml:space="preserve">, et </w:t>
      </w:r>
      <w:r>
        <w:rPr>
          <w:rFonts w:eastAsia="Calibri"/>
        </w:rPr>
        <w:t>ainsi contribuer à protéger l’environnement physique et humain</w:t>
      </w:r>
      <w:r>
        <w:rPr>
          <w:rFonts w:eastAsia="Calibri"/>
        </w:rPr>
        <w:t>,</w:t>
      </w:r>
      <w:r>
        <w:rPr>
          <w:rFonts w:eastAsia="Calibri"/>
        </w:rPr>
        <w:t xml:space="preserve"> notamment à travers le contrôle des importations et de la distribution de pesticides, le renforcement des capacités des producteurs ainsi que des structures de contrôle et d’appui, le suivi évaluation et le rapportage de l’impact environnemental des activités susceptibles d’utiliser une quantité considérable de pesticides, le suivi sanitaire des applicateurs et la gestion des contenants et emballages vides. </w:t>
      </w:r>
    </w:p>
    <w:p>
      <w:pPr>
        <w:pStyle w:val="style0"/>
        <w:rPr/>
      </w:pPr>
      <w:r>
        <w:t xml:space="preserve">La DPVC </w:t>
      </w:r>
      <w:r>
        <w:t xml:space="preserve">devra </w:t>
      </w:r>
      <w:r>
        <w:t xml:space="preserve">régulièrement </w:t>
      </w:r>
      <w:r>
        <w:t>organise</w:t>
      </w:r>
      <w:r>
        <w:t>r</w:t>
      </w:r>
      <w:r>
        <w:t xml:space="preserve"> </w:t>
      </w:r>
      <w:r>
        <w:t xml:space="preserve">des formations sur les bonnes pratiques phytosanitaires à l’intention des acteurs du domaine. Ainsi, la signature d’un protocole d’accord entre le </w:t>
      </w:r>
      <w:r>
        <w:rPr>
          <w:noProof/>
        </w:rPr>
        <w:t>P</w:t>
      </w:r>
      <w:r>
        <w:rPr>
          <w:noProof/>
        </w:rPr>
        <w:t>DCA</w:t>
      </w:r>
      <w:r>
        <w:t xml:space="preserve"> et la DPVC pour la formation des producteurs </w:t>
      </w:r>
      <w:r>
        <w:t>constitue un point important</w:t>
      </w:r>
      <w:r>
        <w:t>.</w:t>
      </w:r>
    </w:p>
    <w:p>
      <w:pPr>
        <w:pStyle w:val="style0"/>
        <w:rPr/>
      </w:pPr>
      <w:r>
        <w:t>Dans le cadre de la mise en œuvre du programme de suivi externe notamment</w:t>
      </w:r>
      <w:r>
        <w:t>,</w:t>
      </w:r>
      <w:r>
        <w:t xml:space="preserve"> l’établissement de protocoles et/ou de contrats de service entre le P</w:t>
      </w:r>
      <w:r>
        <w:t xml:space="preserve">DCA </w:t>
      </w:r>
      <w:r>
        <w:t xml:space="preserve">et des </w:t>
      </w:r>
      <w:r>
        <w:t xml:space="preserve">structures étatiques, tel qu’indiqué dans le tableau </w:t>
      </w:r>
      <w:r>
        <w:t>ci-dessous</w:t>
      </w:r>
      <w:r>
        <w:t xml:space="preserve"> contribuera </w:t>
      </w:r>
      <w:r>
        <w:t xml:space="preserve">à </w:t>
      </w:r>
      <w:r>
        <w:t>un meilleur encadrement de l’usage des pesticides.</w:t>
      </w:r>
    </w:p>
    <w:p>
      <w:pPr>
        <w:pStyle w:val="style0"/>
        <w:rPr/>
      </w:pPr>
      <w:r>
        <w:t>Le budget prévisionnel des activités à mettre e</w:t>
      </w:r>
      <w:r>
        <w:t>n œuvre dans le cadre de ce PGP</w:t>
      </w:r>
      <w:r>
        <w:t xml:space="preserve"> e</w:t>
      </w:r>
      <w:r>
        <w:t>s</w:t>
      </w:r>
      <w:r>
        <w:t xml:space="preserve">t </w:t>
      </w:r>
      <w:r>
        <w:t>donné dans le tableau F2</w:t>
      </w:r>
      <w:r>
        <w:t xml:space="preserve"> et</w:t>
      </w:r>
      <w:r>
        <w:t xml:space="preserve"> </w:t>
      </w:r>
      <w:r>
        <w:t>vise à atténuer les contraintes et risques identifiés</w:t>
      </w:r>
      <w:r>
        <w:t>, et</w:t>
      </w:r>
      <w:r>
        <w:t xml:space="preserve"> découle du programme de mise en œuvre du</w:t>
      </w:r>
      <w:r>
        <w:t xml:space="preserve"> MGIP.</w:t>
      </w:r>
      <w:r>
        <w:t xml:space="preserve"> Ainsi, le budget est donné en fonction du besoin de financement des différentes activités identifiées dans le plan. Il est décliné en termes de lignes budgétaires, y compris la formation, l’acquisition de matériel et d’équipements, le fonctionnement et le suivi. </w:t>
      </w:r>
    </w:p>
    <w:p>
      <w:pPr>
        <w:pStyle w:val="style0"/>
        <w:rPr/>
      </w:pPr>
    </w:p>
    <w:p>
      <w:pPr>
        <w:pStyle w:val="style0"/>
        <w:rPr/>
      </w:pPr>
      <w:r>
        <w:t>Tableau F1 : Proposition de collaboration entre le PDCA et d’autre</w:t>
      </w:r>
      <w:r>
        <w:t>s</w:t>
      </w:r>
      <w:r>
        <w:t xml:space="preserve"> partenaire</w:t>
      </w:r>
      <w: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1"/>
        <w:gridCol w:w="1790"/>
        <w:gridCol w:w="4378"/>
      </w:tblGrid>
      <w:tr>
        <w:trPr/>
        <w:tc>
          <w:tcPr>
            <w:tcW w:w="3544" w:type="dxa"/>
            <w:tcBorders/>
            <w:shd w:val="clear" w:color="auto" w:fill="d9d9d9"/>
          </w:tcPr>
          <w:p>
            <w:pPr>
              <w:pStyle w:val="style0"/>
              <w:spacing w:before="0"/>
              <w:rPr>
                <w:b/>
                <w:sz w:val="23"/>
                <w:szCs w:val="23"/>
              </w:rPr>
            </w:pPr>
            <w:r>
              <w:rPr>
                <w:b/>
                <w:sz w:val="23"/>
                <w:szCs w:val="23"/>
              </w:rPr>
              <w:t xml:space="preserve">Activités </w:t>
            </w:r>
          </w:p>
        </w:tc>
        <w:tc>
          <w:tcPr>
            <w:tcW w:w="1809" w:type="dxa"/>
            <w:tcBorders/>
            <w:shd w:val="clear" w:color="auto" w:fill="d9d9d9"/>
          </w:tcPr>
          <w:p>
            <w:pPr>
              <w:pStyle w:val="style0"/>
              <w:spacing w:before="0"/>
              <w:rPr>
                <w:b/>
                <w:sz w:val="23"/>
                <w:szCs w:val="23"/>
              </w:rPr>
            </w:pPr>
            <w:r>
              <w:rPr>
                <w:b/>
                <w:sz w:val="23"/>
                <w:szCs w:val="23"/>
              </w:rPr>
              <w:t>Structures responsables</w:t>
            </w:r>
          </w:p>
        </w:tc>
        <w:tc>
          <w:tcPr>
            <w:tcW w:w="4502" w:type="dxa"/>
            <w:tcBorders/>
            <w:shd w:val="clear" w:color="auto" w:fill="d9d9d9"/>
          </w:tcPr>
          <w:p>
            <w:pPr>
              <w:pStyle w:val="style0"/>
              <w:spacing w:before="0"/>
              <w:rPr>
                <w:b/>
                <w:sz w:val="23"/>
                <w:szCs w:val="23"/>
              </w:rPr>
            </w:pPr>
            <w:r>
              <w:rPr>
                <w:b/>
                <w:sz w:val="23"/>
                <w:szCs w:val="23"/>
              </w:rPr>
              <w:t>Modalités collaboration</w:t>
            </w:r>
          </w:p>
        </w:tc>
      </w:tr>
      <w:tr>
        <w:tblPrEx/>
        <w:trPr/>
        <w:tc>
          <w:tcPr>
            <w:tcW w:w="3544" w:type="dxa"/>
            <w:tcBorders/>
            <w:vAlign w:val="center"/>
          </w:tcPr>
          <w:p>
            <w:pPr>
              <w:pStyle w:val="style0"/>
              <w:autoSpaceDE w:val="false"/>
              <w:autoSpaceDN w:val="false"/>
              <w:adjustRightInd w:val="false"/>
              <w:spacing w:before="0"/>
              <w:rPr>
                <w:sz w:val="23"/>
                <w:szCs w:val="23"/>
              </w:rPr>
            </w:pPr>
            <w:r>
              <w:rPr>
                <w:bCs/>
                <w:sz w:val="23"/>
                <w:szCs w:val="23"/>
              </w:rPr>
              <w:t>Promotion de l’usage de stratégies alternatives de lutte</w:t>
            </w:r>
          </w:p>
        </w:tc>
        <w:tc>
          <w:tcPr>
            <w:tcW w:w="1809" w:type="dxa"/>
            <w:tcBorders/>
          </w:tcPr>
          <w:p>
            <w:pPr>
              <w:pStyle w:val="style0"/>
              <w:spacing w:before="0"/>
              <w:rPr>
                <w:sz w:val="23"/>
                <w:szCs w:val="23"/>
              </w:rPr>
            </w:pPr>
            <w:r>
              <w:rPr>
                <w:sz w:val="23"/>
                <w:szCs w:val="23"/>
              </w:rPr>
              <w:t>DPVC, INERA,</w:t>
            </w:r>
            <w:r>
              <w:rPr>
                <w:sz w:val="23"/>
                <w:szCs w:val="23"/>
              </w:rPr>
              <w:t xml:space="preserve"> CRTP</w:t>
            </w:r>
            <w:r>
              <w:rPr>
                <w:sz w:val="23"/>
                <w:szCs w:val="23"/>
              </w:rPr>
              <w:t xml:space="preserve"> </w:t>
            </w:r>
          </w:p>
        </w:tc>
        <w:tc>
          <w:tcPr>
            <w:tcW w:w="4502" w:type="dxa"/>
            <w:tcBorders/>
          </w:tcPr>
          <w:p>
            <w:pPr>
              <w:pStyle w:val="style0"/>
              <w:spacing w:before="0"/>
              <w:rPr>
                <w:sz w:val="23"/>
                <w:szCs w:val="23"/>
              </w:rPr>
            </w:pPr>
            <w:r>
              <w:rPr>
                <w:sz w:val="23"/>
                <w:szCs w:val="23"/>
              </w:rPr>
              <w:t>Contrats de prestation de service à établir avec la coordination du pro</w:t>
            </w:r>
            <w:r>
              <w:rPr>
                <w:sz w:val="23"/>
                <w:szCs w:val="23"/>
              </w:rPr>
              <w:t xml:space="preserve">gramme </w:t>
            </w:r>
          </w:p>
        </w:tc>
      </w:tr>
      <w:tr>
        <w:tblPrEx/>
        <w:trPr/>
        <w:tc>
          <w:tcPr>
            <w:tcW w:w="3544" w:type="dxa"/>
            <w:tcBorders/>
            <w:vAlign w:val="center"/>
          </w:tcPr>
          <w:p>
            <w:pPr>
              <w:pStyle w:val="style0"/>
              <w:spacing w:before="0"/>
              <w:rPr>
                <w:sz w:val="23"/>
                <w:szCs w:val="23"/>
              </w:rPr>
            </w:pPr>
            <w:r>
              <w:rPr>
                <w:bCs/>
                <w:iCs/>
                <w:sz w:val="23"/>
                <w:szCs w:val="23"/>
              </w:rPr>
              <w:t>Renforcement des capacités des acteurs intermédiaires (revendeurs, contrôleurs aux postes de douane), des acteurs d’appui conseil et des producteurs</w:t>
            </w:r>
          </w:p>
        </w:tc>
        <w:tc>
          <w:tcPr>
            <w:tcW w:w="1809" w:type="dxa"/>
            <w:tcBorders/>
          </w:tcPr>
          <w:p>
            <w:pPr>
              <w:pStyle w:val="style0"/>
              <w:spacing w:before="0"/>
              <w:rPr>
                <w:sz w:val="23"/>
                <w:szCs w:val="23"/>
              </w:rPr>
            </w:pPr>
            <w:r>
              <w:rPr>
                <w:sz w:val="23"/>
                <w:szCs w:val="23"/>
              </w:rPr>
              <w:t xml:space="preserve"> DPVC, </w:t>
            </w:r>
            <w:r>
              <w:rPr>
                <w:sz w:val="23"/>
                <w:szCs w:val="23"/>
              </w:rPr>
              <w:t xml:space="preserve"> INERA</w:t>
            </w:r>
            <w:r>
              <w:rPr>
                <w:sz w:val="23"/>
                <w:szCs w:val="23"/>
              </w:rPr>
              <w:t>, DGHADI</w:t>
            </w:r>
          </w:p>
        </w:tc>
        <w:tc>
          <w:tcPr>
            <w:tcW w:w="4502" w:type="dxa"/>
            <w:tcBorders/>
          </w:tcPr>
          <w:p>
            <w:pPr>
              <w:pStyle w:val="style0"/>
              <w:spacing w:before="0"/>
              <w:rPr>
                <w:sz w:val="23"/>
                <w:szCs w:val="23"/>
              </w:rPr>
            </w:pPr>
            <w:r>
              <w:rPr>
                <w:sz w:val="23"/>
                <w:szCs w:val="23"/>
              </w:rPr>
              <w:t>Protocole de collaboration pour l’encadrement des acteurs en gestion des pesticides, à établir avec la coordination du pro</w:t>
            </w:r>
            <w:r>
              <w:rPr>
                <w:sz w:val="23"/>
                <w:szCs w:val="23"/>
              </w:rPr>
              <w:t xml:space="preserve">gramme </w:t>
            </w:r>
          </w:p>
        </w:tc>
      </w:tr>
      <w:tr>
        <w:tblPrEx/>
        <w:trPr/>
        <w:tc>
          <w:tcPr>
            <w:tcW w:w="3544" w:type="dxa"/>
            <w:tcBorders/>
            <w:vAlign w:val="center"/>
          </w:tcPr>
          <w:p>
            <w:pPr>
              <w:pStyle w:val="style0"/>
              <w:autoSpaceDE w:val="false"/>
              <w:autoSpaceDN w:val="false"/>
              <w:adjustRightInd w:val="false"/>
              <w:spacing w:before="0"/>
              <w:rPr>
                <w:bCs/>
                <w:iCs/>
                <w:sz w:val="23"/>
                <w:szCs w:val="23"/>
              </w:rPr>
            </w:pPr>
            <w:r>
              <w:rPr>
                <w:bCs/>
                <w:iCs/>
                <w:sz w:val="23"/>
                <w:szCs w:val="23"/>
              </w:rPr>
              <w:t>Renforcement des capacités des formations sanitaires et du LNSP</w:t>
            </w:r>
          </w:p>
        </w:tc>
        <w:tc>
          <w:tcPr>
            <w:tcW w:w="1809" w:type="dxa"/>
            <w:tcBorders/>
          </w:tcPr>
          <w:p>
            <w:pPr>
              <w:pStyle w:val="style0"/>
              <w:spacing w:before="0"/>
              <w:rPr>
                <w:sz w:val="23"/>
                <w:szCs w:val="23"/>
              </w:rPr>
            </w:pPr>
            <w:r>
              <w:rPr>
                <w:sz w:val="23"/>
                <w:szCs w:val="23"/>
              </w:rPr>
              <w:t>Ministère de la santé, P</w:t>
            </w:r>
            <w:r>
              <w:rPr>
                <w:sz w:val="23"/>
                <w:szCs w:val="23"/>
              </w:rPr>
              <w:t>DCA</w:t>
            </w:r>
            <w:r>
              <w:rPr>
                <w:sz w:val="23"/>
                <w:szCs w:val="23"/>
              </w:rPr>
              <w:t>,  IRSS</w:t>
            </w:r>
          </w:p>
        </w:tc>
        <w:tc>
          <w:tcPr>
            <w:tcW w:w="4502" w:type="dxa"/>
            <w:tcBorders/>
          </w:tcPr>
          <w:p>
            <w:pPr>
              <w:pStyle w:val="style0"/>
              <w:spacing w:before="0"/>
              <w:rPr>
                <w:sz w:val="23"/>
                <w:szCs w:val="23"/>
              </w:rPr>
            </w:pPr>
            <w:r>
              <w:rPr>
                <w:sz w:val="23"/>
                <w:szCs w:val="23"/>
              </w:rPr>
              <w:t>-</w:t>
            </w:r>
            <w:r>
              <w:rPr>
                <w:sz w:val="23"/>
                <w:szCs w:val="23"/>
              </w:rPr>
              <w:t>Le pro</w:t>
            </w:r>
            <w:r>
              <w:rPr>
                <w:sz w:val="23"/>
                <w:szCs w:val="23"/>
              </w:rPr>
              <w:t>gramme facilitera l’organisation de</w:t>
            </w:r>
            <w:r>
              <w:rPr>
                <w:sz w:val="23"/>
                <w:szCs w:val="23"/>
              </w:rPr>
              <w:t xml:space="preserve"> formation des agents et </w:t>
            </w:r>
            <w:r>
              <w:rPr>
                <w:sz w:val="23"/>
                <w:szCs w:val="23"/>
              </w:rPr>
              <w:t xml:space="preserve">fera </w:t>
            </w:r>
            <w:r>
              <w:rPr>
                <w:sz w:val="23"/>
                <w:szCs w:val="23"/>
              </w:rPr>
              <w:t xml:space="preserve">des </w:t>
            </w:r>
            <w:r>
              <w:rPr>
                <w:sz w:val="23"/>
                <w:szCs w:val="23"/>
              </w:rPr>
              <w:t>don</w:t>
            </w:r>
            <w:r>
              <w:rPr>
                <w:sz w:val="23"/>
                <w:szCs w:val="23"/>
              </w:rPr>
              <w:t>s</w:t>
            </w:r>
            <w:r>
              <w:rPr>
                <w:sz w:val="23"/>
                <w:szCs w:val="23"/>
              </w:rPr>
              <w:t xml:space="preserve"> </w:t>
            </w:r>
            <w:r>
              <w:rPr>
                <w:sz w:val="23"/>
                <w:szCs w:val="23"/>
              </w:rPr>
              <w:t xml:space="preserve">en kit </w:t>
            </w:r>
            <w:r>
              <w:rPr>
                <w:sz w:val="23"/>
                <w:szCs w:val="23"/>
              </w:rPr>
              <w:t xml:space="preserve">à </w:t>
            </w:r>
            <w:r>
              <w:rPr>
                <w:sz w:val="23"/>
                <w:szCs w:val="23"/>
              </w:rPr>
              <w:t>des formations sanitaires</w:t>
            </w:r>
            <w:r>
              <w:rPr>
                <w:sz w:val="23"/>
                <w:szCs w:val="23"/>
              </w:rPr>
              <w:t xml:space="preserve"> des sites en concertation avec le</w:t>
            </w:r>
            <w:r>
              <w:rPr>
                <w:sz w:val="23"/>
                <w:szCs w:val="23"/>
              </w:rPr>
              <w:t xml:space="preserve"> Ministère de la santé</w:t>
            </w:r>
          </w:p>
          <w:p>
            <w:pPr>
              <w:pStyle w:val="style0"/>
              <w:spacing w:before="0"/>
              <w:rPr>
                <w:sz w:val="23"/>
                <w:szCs w:val="23"/>
              </w:rPr>
            </w:pPr>
            <w:r>
              <w:rPr>
                <w:sz w:val="23"/>
                <w:szCs w:val="23"/>
              </w:rPr>
              <w:t>-</w:t>
            </w:r>
            <w:r>
              <w:rPr>
                <w:sz w:val="23"/>
                <w:szCs w:val="23"/>
              </w:rPr>
              <w:t xml:space="preserve">Partenariat avec le LNSP pour l’analyse périodique de résidus de pesticides dans l’environnement et dans les récoltes. </w:t>
            </w:r>
          </w:p>
        </w:tc>
      </w:tr>
      <w:tr>
        <w:tblPrEx/>
        <w:trPr/>
        <w:tc>
          <w:tcPr>
            <w:tcW w:w="3544" w:type="dxa"/>
            <w:tcBorders/>
            <w:vAlign w:val="center"/>
          </w:tcPr>
          <w:p>
            <w:pPr>
              <w:pStyle w:val="style0"/>
              <w:spacing w:before="0"/>
              <w:rPr>
                <w:sz w:val="23"/>
                <w:szCs w:val="23"/>
              </w:rPr>
            </w:pPr>
            <w:r>
              <w:rPr>
                <w:sz w:val="23"/>
                <w:szCs w:val="23"/>
              </w:rPr>
              <w:t>Gestion des contenants vides de pesticides</w:t>
            </w:r>
          </w:p>
        </w:tc>
        <w:tc>
          <w:tcPr>
            <w:tcW w:w="1809" w:type="dxa"/>
            <w:tcBorders/>
          </w:tcPr>
          <w:p>
            <w:pPr>
              <w:pStyle w:val="style0"/>
              <w:spacing w:before="0"/>
              <w:rPr>
                <w:sz w:val="23"/>
                <w:szCs w:val="23"/>
              </w:rPr>
            </w:pPr>
            <w:r>
              <w:rPr>
                <w:sz w:val="23"/>
                <w:szCs w:val="23"/>
              </w:rPr>
              <w:t>DPVC, INERA, PDCA, SAPHYTO</w:t>
            </w:r>
          </w:p>
        </w:tc>
        <w:tc>
          <w:tcPr>
            <w:tcW w:w="4502" w:type="dxa"/>
            <w:tcBorders/>
          </w:tcPr>
          <w:p>
            <w:pPr>
              <w:pStyle w:val="style0"/>
              <w:spacing w:before="0"/>
              <w:rPr>
                <w:sz w:val="23"/>
                <w:szCs w:val="23"/>
              </w:rPr>
            </w:pPr>
            <w:r>
              <w:rPr>
                <w:sz w:val="23"/>
                <w:szCs w:val="23"/>
              </w:rPr>
              <w:t>Signature d’un protocole de collaboration avec la coordination du projet pour la collecte et l’élimination des contenants vides</w:t>
            </w:r>
          </w:p>
        </w:tc>
      </w:tr>
      <w:tr>
        <w:tblPrEx/>
        <w:trPr/>
        <w:tc>
          <w:tcPr>
            <w:tcW w:w="3544" w:type="dxa"/>
            <w:tcBorders/>
          </w:tcPr>
          <w:p>
            <w:pPr>
              <w:pStyle w:val="style0"/>
              <w:autoSpaceDE w:val="false"/>
              <w:autoSpaceDN w:val="false"/>
              <w:adjustRightInd w:val="false"/>
              <w:spacing w:before="0"/>
              <w:rPr>
                <w:bCs/>
                <w:sz w:val="23"/>
                <w:szCs w:val="23"/>
              </w:rPr>
            </w:pPr>
            <w:r>
              <w:rPr>
                <w:bCs/>
                <w:sz w:val="23"/>
                <w:szCs w:val="23"/>
              </w:rPr>
              <w:t xml:space="preserve">Suivi/Surveillance environnementale </w:t>
            </w:r>
          </w:p>
        </w:tc>
        <w:tc>
          <w:tcPr>
            <w:tcW w:w="1809" w:type="dxa"/>
            <w:tcBorders/>
          </w:tcPr>
          <w:p>
            <w:pPr>
              <w:pStyle w:val="style0"/>
              <w:autoSpaceDE w:val="false"/>
              <w:autoSpaceDN w:val="false"/>
              <w:adjustRightInd w:val="false"/>
              <w:spacing w:before="0"/>
              <w:rPr>
                <w:sz w:val="23"/>
                <w:szCs w:val="23"/>
              </w:rPr>
            </w:pPr>
            <w:r>
              <w:rPr>
                <w:sz w:val="23"/>
                <w:szCs w:val="23"/>
              </w:rPr>
              <w:t>LAQE, BUNEE</w:t>
            </w:r>
            <w:r>
              <w:rPr>
                <w:sz w:val="23"/>
                <w:szCs w:val="23"/>
              </w:rPr>
              <w:t>, LNSP</w:t>
            </w:r>
          </w:p>
        </w:tc>
        <w:tc>
          <w:tcPr>
            <w:tcW w:w="4502" w:type="dxa"/>
            <w:tcBorders/>
          </w:tcPr>
          <w:p>
            <w:pPr>
              <w:pStyle w:val="style0"/>
              <w:spacing w:before="0"/>
              <w:rPr>
                <w:sz w:val="23"/>
                <w:szCs w:val="23"/>
              </w:rPr>
            </w:pPr>
            <w:r>
              <w:rPr>
                <w:sz w:val="23"/>
                <w:szCs w:val="23"/>
              </w:rPr>
              <w:t>Ces structures travailleront ensemble</w:t>
            </w:r>
            <w:r>
              <w:rPr>
                <w:sz w:val="23"/>
                <w:szCs w:val="23"/>
              </w:rPr>
              <w:t>.</w:t>
            </w:r>
            <w:r>
              <w:rPr>
                <w:sz w:val="23"/>
                <w:szCs w:val="23"/>
              </w:rPr>
              <w:t xml:space="preserve"> </w:t>
            </w:r>
            <w:r>
              <w:rPr>
                <w:sz w:val="23"/>
                <w:szCs w:val="23"/>
              </w:rPr>
              <w:t>L</w:t>
            </w:r>
            <w:r>
              <w:rPr>
                <w:sz w:val="23"/>
                <w:szCs w:val="23"/>
              </w:rPr>
              <w:t xml:space="preserve">e </w:t>
            </w:r>
            <w:r>
              <w:rPr>
                <w:sz w:val="23"/>
                <w:szCs w:val="23"/>
              </w:rPr>
              <w:t xml:space="preserve">LNSP et le LAQE travailleront en étroite collaboration avec les structures régionales </w:t>
            </w:r>
            <w:r>
              <w:rPr>
                <w:sz w:val="23"/>
                <w:szCs w:val="23"/>
              </w:rPr>
              <w:t xml:space="preserve">pour </w:t>
            </w:r>
            <w:r>
              <w:rPr>
                <w:sz w:val="23"/>
                <w:szCs w:val="23"/>
              </w:rPr>
              <w:t xml:space="preserve">la détermination de résidus de pesticides. </w:t>
            </w:r>
            <w:r>
              <w:rPr>
                <w:sz w:val="23"/>
                <w:szCs w:val="23"/>
              </w:rPr>
              <w:t>Un protocole de collaboration sera établi ent</w:t>
            </w:r>
            <w:r>
              <w:rPr>
                <w:sz w:val="23"/>
                <w:szCs w:val="23"/>
              </w:rPr>
              <w:t>r</w:t>
            </w:r>
            <w:r>
              <w:rPr>
                <w:sz w:val="23"/>
                <w:szCs w:val="23"/>
              </w:rPr>
              <w:t xml:space="preserve">e </w:t>
            </w:r>
            <w:r>
              <w:rPr>
                <w:sz w:val="23"/>
                <w:szCs w:val="23"/>
              </w:rPr>
              <w:t xml:space="preserve">le </w:t>
            </w:r>
            <w:r>
              <w:rPr>
                <w:sz w:val="23"/>
                <w:szCs w:val="23"/>
              </w:rPr>
              <w:t xml:space="preserve">projet et </w:t>
            </w:r>
            <w:r>
              <w:rPr>
                <w:sz w:val="23"/>
                <w:szCs w:val="23"/>
              </w:rPr>
              <w:t xml:space="preserve">le </w:t>
            </w:r>
            <w:r>
              <w:rPr>
                <w:sz w:val="23"/>
                <w:szCs w:val="23"/>
              </w:rPr>
              <w:t>LNSP/ LAQE en termes d’équipements et de prestations de services.</w:t>
            </w:r>
          </w:p>
        </w:tc>
      </w:tr>
    </w:tbl>
    <w:p>
      <w:pPr>
        <w:pStyle w:val="style0"/>
        <w:spacing w:before="0"/>
        <w:rPr>
          <w:sz w:val="23"/>
          <w:szCs w:val="23"/>
        </w:rPr>
      </w:pPr>
    </w:p>
    <w:p>
      <w:pPr>
        <w:pStyle w:val="style0"/>
        <w:rPr>
          <w:rFonts w:eastAsia="Calibri"/>
          <w:i/>
          <w:iCs/>
          <w:color w:val="1f497d"/>
          <w:sz w:val="20"/>
          <w:szCs w:val="20"/>
        </w:rPr>
      </w:pPr>
      <w:r>
        <w:t>Tableau F2 : Budget prévisionnel du coût estimatif de mise en œuvre du MGIP (XOF)</w:t>
      </w:r>
    </w:p>
    <w:tbl>
      <w:tblPr>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3"/>
        <w:gridCol w:w="2018"/>
      </w:tblGrid>
      <w:tr>
        <w:trPr>
          <w:jc w:val="center"/>
        </w:trPr>
        <w:tc>
          <w:tcPr>
            <w:tcW w:w="7083" w:type="dxa"/>
            <w:tcBorders/>
          </w:tcPr>
          <w:p>
            <w:pPr>
              <w:pStyle w:val="style0"/>
              <w:autoSpaceDE w:val="false"/>
              <w:autoSpaceDN w:val="false"/>
              <w:adjustRightInd w:val="false"/>
              <w:rPr>
                <w:sz w:val="23"/>
                <w:szCs w:val="23"/>
              </w:rPr>
            </w:pPr>
            <w:r>
              <w:rPr>
                <w:sz w:val="23"/>
                <w:szCs w:val="23"/>
              </w:rPr>
              <w:t>Mise en œuvre du PGP avec un suivi évaluation de sa mise en œuvre</w:t>
            </w:r>
          </w:p>
        </w:tc>
        <w:tc>
          <w:tcPr>
            <w:tcW w:w="2018" w:type="dxa"/>
            <w:tcBorders/>
          </w:tcPr>
          <w:p>
            <w:pPr>
              <w:pStyle w:val="style0"/>
              <w:autoSpaceDE w:val="false"/>
              <w:autoSpaceDN w:val="false"/>
              <w:adjustRightInd w:val="false"/>
              <w:rPr>
                <w:sz w:val="23"/>
                <w:szCs w:val="23"/>
              </w:rPr>
            </w:pPr>
            <w:r>
              <w:rPr>
                <w:sz w:val="23"/>
                <w:szCs w:val="23"/>
              </w:rPr>
              <w:t>49 500 000</w:t>
            </w:r>
          </w:p>
        </w:tc>
      </w:tr>
      <w:tr>
        <w:tblPrEx/>
        <w:trPr>
          <w:jc w:val="center"/>
        </w:trPr>
        <w:tc>
          <w:tcPr>
            <w:tcW w:w="7083" w:type="dxa"/>
            <w:tcBorders/>
          </w:tcPr>
          <w:p>
            <w:pPr>
              <w:pStyle w:val="style0"/>
              <w:autoSpaceDE w:val="false"/>
              <w:autoSpaceDN w:val="false"/>
              <w:adjustRightInd w:val="false"/>
              <w:spacing w:before="0"/>
              <w:rPr>
                <w:sz w:val="23"/>
                <w:szCs w:val="23"/>
              </w:rPr>
            </w:pPr>
            <w:r>
              <w:rPr>
                <w:sz w:val="23"/>
                <w:szCs w:val="23"/>
              </w:rPr>
              <w:t>Information / sensibilisation, renforcement des capacités des acteurs</w:t>
            </w:r>
          </w:p>
        </w:tc>
        <w:tc>
          <w:tcPr>
            <w:tcW w:w="2018" w:type="dxa"/>
            <w:tcBorders/>
          </w:tcPr>
          <w:p>
            <w:pPr>
              <w:pStyle w:val="style0"/>
              <w:autoSpaceDE w:val="false"/>
              <w:autoSpaceDN w:val="false"/>
              <w:adjustRightInd w:val="false"/>
              <w:spacing w:before="0"/>
              <w:rPr>
                <w:sz w:val="23"/>
                <w:szCs w:val="23"/>
              </w:rPr>
            </w:pPr>
            <w:r>
              <w:rPr>
                <w:sz w:val="23"/>
                <w:szCs w:val="23"/>
              </w:rPr>
              <w:t>11</w:t>
            </w:r>
            <w:r>
              <w:rPr>
                <w:sz w:val="23"/>
                <w:szCs w:val="23"/>
              </w:rPr>
              <w:t>2</w:t>
            </w:r>
            <w:r>
              <w:rPr>
                <w:sz w:val="23"/>
                <w:szCs w:val="23"/>
              </w:rPr>
              <w:t xml:space="preserve"> 000 000</w:t>
            </w:r>
          </w:p>
        </w:tc>
      </w:tr>
      <w:tr>
        <w:tblPrEx/>
        <w:trPr>
          <w:jc w:val="center"/>
        </w:trPr>
        <w:tc>
          <w:tcPr>
            <w:tcW w:w="7083" w:type="dxa"/>
            <w:tcBorders/>
          </w:tcPr>
          <w:p>
            <w:pPr>
              <w:pStyle w:val="style0"/>
              <w:autoSpaceDE w:val="false"/>
              <w:autoSpaceDN w:val="false"/>
              <w:adjustRightInd w:val="false"/>
              <w:spacing w:before="0"/>
              <w:rPr>
                <w:sz w:val="23"/>
                <w:szCs w:val="23"/>
              </w:rPr>
            </w:pPr>
            <w:r>
              <w:rPr>
                <w:sz w:val="23"/>
                <w:szCs w:val="23"/>
              </w:rPr>
              <w:t>Acquisition d’équipements, de produits et contrôle de l’environnement</w:t>
            </w:r>
          </w:p>
        </w:tc>
        <w:tc>
          <w:tcPr>
            <w:tcW w:w="2018" w:type="dxa"/>
            <w:tcBorders/>
          </w:tcPr>
          <w:p>
            <w:pPr>
              <w:pStyle w:val="style0"/>
              <w:autoSpaceDE w:val="false"/>
              <w:autoSpaceDN w:val="false"/>
              <w:adjustRightInd w:val="false"/>
              <w:spacing w:before="0"/>
              <w:rPr>
                <w:sz w:val="23"/>
                <w:szCs w:val="23"/>
              </w:rPr>
            </w:pPr>
            <w:r>
              <w:rPr>
                <w:sz w:val="23"/>
                <w:szCs w:val="23"/>
              </w:rPr>
              <w:t>1</w:t>
            </w:r>
            <w:r>
              <w:rPr>
                <w:sz w:val="23"/>
                <w:szCs w:val="23"/>
              </w:rPr>
              <w:t>3</w:t>
            </w:r>
            <w:r>
              <w:rPr>
                <w:sz w:val="23"/>
                <w:szCs w:val="23"/>
              </w:rPr>
              <w:t>5</w:t>
            </w:r>
            <w:r>
              <w:rPr>
                <w:sz w:val="23"/>
                <w:szCs w:val="23"/>
              </w:rPr>
              <w:t xml:space="preserve"> 000 000</w:t>
            </w:r>
          </w:p>
        </w:tc>
      </w:tr>
    </w:tbl>
    <w:p>
      <w:pPr>
        <w:pStyle w:val="style0"/>
        <w:rPr>
          <w:rFonts w:cs="Arial"/>
          <w:b/>
          <w:color w:val="222222"/>
        </w:rPr>
      </w:pPr>
    </w:p>
    <w:p>
      <w:pPr>
        <w:pStyle w:val="style0"/>
        <w:rPr>
          <w:sz w:val="22"/>
          <w:szCs w:val="22"/>
        </w:rPr>
      </w:pPr>
      <w:r>
        <w:rPr>
          <w:rFonts w:cs="Arial"/>
          <w:b/>
          <w:color w:val="222222"/>
        </w:rPr>
        <w:t>G. Conclusion</w:t>
      </w:r>
    </w:p>
    <w:p>
      <w:pPr>
        <w:pStyle w:val="style0"/>
        <w:rPr/>
      </w:pPr>
      <w:r>
        <w:t>A</w:t>
      </w:r>
      <w:r>
        <w:t xml:space="preserve">u regard de l’importance de tout ce qui précède, il s’avère que la mise en œuvre effective du présent </w:t>
      </w:r>
      <w:r>
        <w:t>PGP</w:t>
      </w:r>
      <w:r>
        <w:t xml:space="preserve"> </w:t>
      </w:r>
      <w:r>
        <w:t xml:space="preserve">permettra de minimiser les dommages à causer tant à l’environnement biophysique qu’humain. </w:t>
      </w:r>
    </w:p>
    <w:p>
      <w:pPr>
        <w:pStyle w:val="style0"/>
        <w:rPr>
          <w:bCs/>
        </w:rPr>
      </w:pPr>
      <w:r>
        <w:t xml:space="preserve">Le cout prévisionnel des mesures envisagées est estimé à </w:t>
      </w:r>
      <w:r>
        <w:rPr>
          <w:b/>
        </w:rPr>
        <w:t xml:space="preserve">deux cent </w:t>
      </w:r>
      <w:r>
        <w:rPr>
          <w:b/>
        </w:rPr>
        <w:t>quatre-vingt</w:t>
      </w:r>
      <w:r>
        <w:rPr>
          <w:b/>
        </w:rPr>
        <w:t>-</w:t>
      </w:r>
      <w:r>
        <w:rPr>
          <w:b/>
        </w:rPr>
        <w:t>seize</w:t>
      </w:r>
      <w:r>
        <w:rPr>
          <w:b/>
        </w:rPr>
        <w:t xml:space="preserve"> </w:t>
      </w:r>
      <w:r>
        <w:rPr>
          <w:b/>
        </w:rPr>
        <w:t xml:space="preserve">millions cinq cent mille </w:t>
      </w:r>
      <w:r>
        <w:t>(</w:t>
      </w:r>
      <w:r>
        <w:t>296</w:t>
      </w:r>
      <w:r>
        <w:t xml:space="preserve"> </w:t>
      </w:r>
      <w:r>
        <w:t>5</w:t>
      </w:r>
      <w:r>
        <w:t>00 000) FCFA</w:t>
      </w:r>
      <w:r>
        <w:rPr>
          <w:b/>
        </w:rPr>
        <w:t xml:space="preserve">. </w:t>
      </w:r>
      <w:r>
        <w:t>Ce budget couvre le renforcement des capacités des acteurs institutionnels, les besoins en renforcement des capacités des producteurs, l’amélioration des systèmes d’approvisionnement et prend en compte le suivi et l’évaluation de la mise en œuvre du plan.</w:t>
      </w:r>
    </w:p>
    <w:p>
      <w:pPr>
        <w:pStyle w:val="style0"/>
        <w:rPr>
          <w:color w:val="ff0000"/>
          <w:sz w:val="28"/>
          <w:highlight w:val="yellow"/>
        </w:rPr>
      </w:pPr>
    </w:p>
    <w:p>
      <w:pPr>
        <w:pStyle w:val="style1"/>
        <w:numPr>
          <w:ilvl w:val="0"/>
          <w:numId w:val="0"/>
        </w:numPr>
        <w:suppressAutoHyphens w:val="false"/>
        <w:ind w:left="360"/>
        <w:rPr>
          <w:color w:val="000000"/>
          <w:sz w:val="24"/>
          <w:szCs w:val="24"/>
          <w:lang w:val="en-US"/>
        </w:rPr>
      </w:pPr>
      <w:r>
        <w:rPr>
          <w:b w:val="false"/>
          <w:color w:val="ff0000"/>
          <w:highlight w:val="yellow"/>
          <w:lang w:val="en-US" w:eastAsia="fr-FR"/>
        </w:rPr>
        <w:br w:type="page"/>
      </w:r>
      <w:r>
        <w:rPr>
          <w:color w:val="000000"/>
          <w:sz w:val="24"/>
          <w:szCs w:val="24"/>
          <w:lang w:val="en-US"/>
        </w:rPr>
        <w:t xml:space="preserve"> </w:t>
      </w:r>
      <w:bookmarkStart w:id="78" w:name="_Toc2831172"/>
      <w:r>
        <w:rPr>
          <w:color w:val="000000"/>
          <w:sz w:val="24"/>
          <w:szCs w:val="24"/>
          <w:lang w:val="en-US"/>
        </w:rPr>
        <w:t xml:space="preserve">EXECUTIVE </w:t>
      </w:r>
      <w:r>
        <w:rPr>
          <w:color w:val="000000"/>
          <w:sz w:val="24"/>
          <w:szCs w:val="24"/>
          <w:lang w:val="en-US"/>
        </w:rPr>
        <w:t>SUMMARY</w:t>
      </w:r>
      <w:bookmarkEnd w:id="78"/>
    </w:p>
    <w:p>
      <w:pPr>
        <w:pStyle w:val="style0"/>
        <w:rPr>
          <w:color w:val="000000"/>
          <w:lang w:val="en-US" w:eastAsia="fr-FR"/>
        </w:rPr>
      </w:pPr>
      <w:r>
        <w:rPr>
          <w:b/>
          <w:bCs/>
          <w:color w:val="222222"/>
          <w:lang w:val="en-US" w:eastAsia="fr-FR"/>
        </w:rPr>
        <w:t>A. Introduction</w:t>
      </w:r>
    </w:p>
    <w:p>
      <w:pPr>
        <w:pStyle w:val="style0"/>
        <w:rPr>
          <w:color w:val="000000"/>
          <w:lang w:val="en-US" w:eastAsia="fr-FR"/>
        </w:rPr>
      </w:pPr>
      <w:r>
        <w:rPr>
          <w:color w:val="000000"/>
          <w:lang w:val="en-US" w:eastAsia="fr-FR"/>
        </w:rPr>
        <w:t>The agricultural sector remains a significant component in Burkina Faso's economy.  Plant diseases and pests cause considerable damage that can lead to huge losses in production. In addition, intensive agriculture under irrigation leads to the recrudescence of pests but also the vectors of human diseases, including anopheles. Phytosanitary control is used to control these pests of crops. This may have impacts not considered in the context of the implementation of the Agricultural Development and Competitiveness Program (PDCA in French), hence the need for a pest management plan, and compliance with the national regulations and the Operational Policy </w:t>
      </w:r>
      <w:r>
        <w:rPr>
          <w:b/>
          <w:bCs/>
          <w:color w:val="000000"/>
          <w:lang w:val="en-US" w:eastAsia="fr-FR"/>
        </w:rPr>
        <w:t>OP</w:t>
      </w:r>
      <w:r>
        <w:rPr>
          <w:color w:val="000000"/>
          <w:lang w:val="en-US" w:eastAsia="fr-FR"/>
        </w:rPr>
        <w:t> </w:t>
      </w:r>
      <w:r>
        <w:rPr>
          <w:b/>
          <w:bCs/>
          <w:color w:val="000000"/>
          <w:lang w:val="en-US" w:eastAsia="fr-FR"/>
        </w:rPr>
        <w:t>4.09 on pest management</w:t>
      </w:r>
      <w:r>
        <w:rPr>
          <w:color w:val="000000"/>
          <w:lang w:val="en-US" w:eastAsia="fr-FR"/>
        </w:rPr>
        <w:t> of the World Bank, triggered by the PDCA. The Pest Management Plan (PMP) aims to (i) minimize the potential negative impacts of pest control on human, animal and environmental health that may result from the use of synthetic chemicals in pest control and management and to (ii) encourage alternative control methods.</w:t>
      </w:r>
    </w:p>
    <w:p>
      <w:pPr>
        <w:pStyle w:val="style0"/>
        <w:rPr>
          <w:color w:val="000000"/>
          <w:lang w:val="en-US" w:eastAsia="fr-FR"/>
        </w:rPr>
      </w:pPr>
      <w:r>
        <w:rPr>
          <w:color w:val="000000"/>
          <w:lang w:val="en-US" w:eastAsia="fr-FR"/>
        </w:rPr>
        <w:t> </w:t>
      </w:r>
      <w:r>
        <w:rPr>
          <w:b/>
          <w:bCs/>
          <w:color w:val="222222"/>
          <w:lang w:val="en-US" w:eastAsia="fr-FR"/>
        </w:rPr>
        <w:t xml:space="preserve">B. Program Description </w:t>
      </w:r>
    </w:p>
    <w:p>
      <w:pPr>
        <w:pStyle w:val="style0"/>
        <w:rPr>
          <w:color w:val="000000"/>
          <w:lang w:val="en-US" w:eastAsia="fr-FR"/>
        </w:rPr>
      </w:pPr>
      <w:r>
        <w:rPr>
          <w:color w:val="000000"/>
          <w:lang w:val="en-US" w:eastAsia="fr-FR"/>
        </w:rPr>
        <w:t>The PDCA is part of the strategic directions of the National Economic and Social Development Plan (PNDES, 2016 - 2010) of Burkina Faso, and intends to contribute to the structural transformation of the agricultural sector to boost growth, improve the competitiveness of promising sectors and ensure sustainable food and nutrition security. The Program will cover four regions with high potential for developable land and reservoirs with rice, maize, tomato, onion and fruit growing as main target sectors.</w:t>
      </w:r>
    </w:p>
    <w:p>
      <w:pPr>
        <w:pStyle w:val="style0"/>
        <w:rPr>
          <w:color w:val="000000"/>
          <w:lang w:val="en-US" w:eastAsia="fr-FR"/>
        </w:rPr>
      </w:pPr>
      <w:r>
        <w:rPr>
          <w:color w:val="000000"/>
          <w:lang w:val="en-US" w:eastAsia="fr-FR"/>
        </w:rPr>
        <w:t>The development objective of the PDCA is to increase agricultural productivity and market access for small producers and small and medium-size enterprises (SMEs) in targeted value chains in the Program's intervention area. It has three components, namely:</w:t>
      </w:r>
    </w:p>
    <w:p>
      <w:pPr>
        <w:pStyle w:val="style0"/>
        <w:rPr>
          <w:color w:val="000000"/>
          <w:lang w:val="en-US" w:eastAsia="fr-FR"/>
        </w:rPr>
      </w:pPr>
      <w:r>
        <w:rPr>
          <w:color w:val="000000"/>
          <w:lang w:val="en-US" w:eastAsia="fr-FR"/>
        </w:rPr>
        <w:t>Component 1   - support for the improvement of agricultural productivity;</w:t>
      </w:r>
    </w:p>
    <w:p>
      <w:pPr>
        <w:pStyle w:val="style0"/>
        <w:rPr>
          <w:color w:val="000000"/>
          <w:lang w:val="en-US" w:eastAsia="fr-FR"/>
        </w:rPr>
      </w:pPr>
      <w:r>
        <w:rPr>
          <w:color w:val="000000"/>
          <w:lang w:val="en-US" w:eastAsia="fr-FR"/>
        </w:rPr>
        <w:t>Component 2   - improved market access and support for private investment and</w:t>
      </w:r>
    </w:p>
    <w:p>
      <w:pPr>
        <w:pStyle w:val="style0"/>
        <w:rPr>
          <w:color w:val="000000"/>
          <w:lang w:val="en-US" w:eastAsia="fr-FR"/>
        </w:rPr>
      </w:pPr>
      <w:r>
        <w:rPr>
          <w:color w:val="000000"/>
          <w:lang w:val="en-US" w:eastAsia="fr-FR"/>
        </w:rPr>
        <w:t>Component 3   - crisis prevention and management and program coordination.</w:t>
      </w:r>
    </w:p>
    <w:p>
      <w:pPr>
        <w:pStyle w:val="style0"/>
        <w:rPr>
          <w:color w:val="000000"/>
          <w:lang w:val="en-US" w:eastAsia="fr-FR"/>
        </w:rPr>
      </w:pPr>
      <w:r>
        <w:rPr>
          <w:color w:val="000000"/>
          <w:lang w:val="en-US" w:eastAsia="fr-FR"/>
        </w:rPr>
        <w:t>To improve agricultural productivity (component 1), the fight against pest control remains an important activity. This activity can lead to the use of pesticides or other methods of struggle. Misuse of these chemicals could lead to the destruction of non-target organisms, soil degradation and the quality of water resources with an impact on biodiversity in aquatic environments or not, depending on the toxicity of the products used. This degradation could thus compromise the goal of achieving food security.</w:t>
      </w:r>
    </w:p>
    <w:p>
      <w:pPr>
        <w:pStyle w:val="style0"/>
        <w:rPr>
          <w:color w:val="000000"/>
          <w:lang w:val="en-US" w:eastAsia="fr-FR"/>
        </w:rPr>
      </w:pPr>
      <w:r>
        <w:rPr>
          <w:color w:val="000000"/>
          <w:lang w:val="en-US" w:eastAsia="fr-FR"/>
        </w:rPr>
        <w:t> </w:t>
      </w:r>
      <w:r>
        <w:rPr>
          <w:b/>
          <w:bCs/>
          <w:color w:val="222222"/>
          <w:lang w:val="en-US" w:eastAsia="fr-FR"/>
        </w:rPr>
        <w:t>C. Current approaches to</w:t>
      </w:r>
      <w:r>
        <w:rPr>
          <w:color w:val="000000"/>
          <w:lang w:val="en-US" w:eastAsia="fr-FR"/>
        </w:rPr>
        <w:t> </w:t>
      </w:r>
      <w:r>
        <w:rPr>
          <w:b/>
          <w:bCs/>
          <w:color w:val="222222"/>
          <w:lang w:val="en-US" w:eastAsia="fr-FR"/>
        </w:rPr>
        <w:t>pest management</w:t>
      </w:r>
      <w:r>
        <w:rPr>
          <w:color w:val="000000"/>
          <w:lang w:val="en-US" w:eastAsia="fr-FR"/>
        </w:rPr>
        <w:t> </w:t>
      </w:r>
      <w:r>
        <w:rPr>
          <w:b/>
          <w:bCs/>
          <w:color w:val="222222"/>
          <w:lang w:val="en-US" w:eastAsia="fr-FR"/>
        </w:rPr>
        <w:t>in the program area in the country</w:t>
      </w:r>
    </w:p>
    <w:p>
      <w:pPr>
        <w:pStyle w:val="style0"/>
        <w:rPr>
          <w:color w:val="000000"/>
          <w:lang w:val="en-US" w:eastAsia="fr-FR"/>
        </w:rPr>
      </w:pPr>
      <w:r>
        <w:rPr>
          <w:color w:val="000000"/>
          <w:lang w:val="en-US" w:eastAsia="fr-FR"/>
        </w:rPr>
        <w:t>Pests control is a concern for the Government, which strives to put in place a mechanism for the management and use of appropriate pesticides. Thus, several actors are involved in the management of pests, and are grouped within the National Commission for Pesticide Management (CNGP). This involves, in particular, the Ministry in charge of Agriculture through its Directorate of Plant Protection and Conditioning (DPVC) and the dismemberment of the CNGP up to the village level through the Regional Pesticide Toxico-vigilance Committees (CRTP). The DPVC organizes training sessions, sensitization and information on good phytosanitary practices (GPP).</w:t>
      </w:r>
    </w:p>
    <w:p>
      <w:pPr>
        <w:pStyle w:val="style0"/>
        <w:rPr>
          <w:color w:val="000000"/>
          <w:lang w:val="en-US" w:eastAsia="fr-FR"/>
        </w:rPr>
      </w:pPr>
      <w:r>
        <w:rPr>
          <w:color w:val="000000"/>
          <w:lang w:val="en-US" w:eastAsia="fr-FR"/>
        </w:rPr>
        <w:t xml:space="preserve">The Integrated Production and Pest Management (IPPM) experiment, initiated by FAO in collaboration with the Ministry of Agriculture (2001 - 2005), achieved important results on rice production and pest management. This Good Agricultural Practice (GAP) initiative has improved rice productivity and trained several producers. </w:t>
      </w:r>
    </w:p>
    <w:p>
      <w:pPr>
        <w:pStyle w:val="style0"/>
        <w:rPr>
          <w:color w:val="000000"/>
          <w:lang w:val="en-US" w:eastAsia="fr-FR"/>
        </w:rPr>
      </w:pPr>
      <w:r>
        <w:rPr>
          <w:color w:val="000000"/>
          <w:lang w:val="en-US" w:eastAsia="fr-FR"/>
        </w:rPr>
        <w:t>The results of research, in the field of biological control, the development of varietal resistance varieties, and other alternatives to chemical control are being implemented by the Institute of the Environment and Agricultural Research (INERA).</w:t>
      </w:r>
    </w:p>
    <w:p>
      <w:pPr>
        <w:pStyle w:val="style0"/>
        <w:rPr>
          <w:color w:val="000000"/>
          <w:lang w:val="en-US" w:eastAsia="fr-FR"/>
        </w:rPr>
      </w:pPr>
      <w:r>
        <w:rPr>
          <w:color w:val="000000"/>
          <w:lang w:val="en-US" w:eastAsia="fr-FR"/>
        </w:rPr>
        <w:t>The Ministry in charge of the Environment, through the National Bureau of Environmental Assessments (BUNEE) is involved in the monitoring and management of chemicals. In addition, ministries in charge of health, animal resources, water, etc., some NGOs and Technical and Financial Partners are stakeholders in   pest management.</w:t>
      </w:r>
    </w:p>
    <w:p>
      <w:pPr>
        <w:pStyle w:val="style0"/>
        <w:rPr>
          <w:color w:val="000000"/>
          <w:lang w:val="en-US" w:eastAsia="fr-FR"/>
        </w:rPr>
      </w:pPr>
      <w:r>
        <w:rPr>
          <w:color w:val="000000"/>
          <w:lang w:val="en-US" w:eastAsia="fr-FR"/>
        </w:rPr>
        <w:t> </w:t>
      </w:r>
      <w:r>
        <w:rPr>
          <w:b/>
          <w:bCs/>
          <w:color w:val="222222"/>
          <w:lang w:val="en-US" w:eastAsia="fr-FR"/>
        </w:rPr>
        <w:t>D. Current issues in the use and management of synthetic chemical pesticides in</w:t>
      </w:r>
      <w:r>
        <w:rPr>
          <w:color w:val="000000"/>
          <w:lang w:val="en-US" w:eastAsia="fr-FR"/>
        </w:rPr>
        <w:t> </w:t>
      </w:r>
      <w:r>
        <w:rPr>
          <w:b/>
          <w:bCs/>
          <w:color w:val="222222"/>
          <w:lang w:val="en-US" w:eastAsia="fr-FR"/>
        </w:rPr>
        <w:t>the country and program sector</w:t>
      </w:r>
    </w:p>
    <w:p>
      <w:pPr>
        <w:pStyle w:val="style0"/>
        <w:rPr>
          <w:color w:val="000000"/>
          <w:lang w:val="en-US" w:eastAsia="fr-FR"/>
        </w:rPr>
      </w:pPr>
      <w:r>
        <w:rPr>
          <w:color w:val="000000"/>
          <w:lang w:val="en-US" w:eastAsia="fr-FR"/>
        </w:rPr>
        <w:t>The diagnosis of the current situation of the use of pesticides by farmers in the program intervention areas (ZIP) establishes the following findings: (i) a lack of knowledge of the enemies of cultures in general; (ii) an uncontrolled use of pesticides resulting in application in conditions that are not respectful of the relevant standards, with a high risk for soil, water and even human (consumer and producer) contamination; (iii) in addition to a few licensed sellers (some of whom also sell unregistered products) , most traders engage in the illegal sale of pesticides. Thus, the current pesticides supply and distribution circuit, although having experienced some improvement, mostly remains, anarchic and disrespectful of safety rules.</w:t>
      </w:r>
    </w:p>
    <w:p>
      <w:pPr>
        <w:pStyle w:val="style0"/>
        <w:rPr>
          <w:color w:val="000000"/>
          <w:lang w:val="en-US" w:eastAsia="fr-FR"/>
        </w:rPr>
      </w:pPr>
      <w:r>
        <w:rPr>
          <w:color w:val="000000"/>
          <w:lang w:val="en-US" w:eastAsia="fr-FR"/>
        </w:rPr>
        <w:t>In terms of the physical environment, the program intervention areas are based on a flat landscape dotted with places of hills. As for the vegetation, it is mainly composed of shrub steppe and trees, shrubs and tree savannas, wooded savannah and wooded with gallery forests along the rivers. There are also steppe trees, grassy steppe and rupicolous formations and other swampy meadows occupying the lowlands. This vegetation is under pressure for firewood, livestock feed and mining sites in the northern region with the result of degradation and denudation of the environment.</w:t>
      </w:r>
    </w:p>
    <w:p>
      <w:pPr>
        <w:pStyle w:val="style0"/>
        <w:rPr>
          <w:color w:val="000000"/>
          <w:lang w:val="en-US" w:eastAsia="fr-FR"/>
        </w:rPr>
      </w:pPr>
      <w:r>
        <w:rPr>
          <w:color w:val="000000"/>
          <w:lang w:val="en-US" w:eastAsia="fr-FR"/>
        </w:rPr>
        <w:t>The quality control of the pesticides used, and the quantification of their residues in the environment and in the products of the harvest are not systematic, and are for the most part absent. In addition, pesticides transport is not done in the required standards (transported with other food products). Empty packaging of pesticides is most often collected and burned afterwards. Some are abandoned in the fields and without labels.</w:t>
      </w:r>
    </w:p>
    <w:p>
      <w:pPr>
        <w:pStyle w:val="style0"/>
        <w:rPr>
          <w:color w:val="000000"/>
          <w:lang w:val="en-US" w:eastAsia="fr-FR"/>
        </w:rPr>
      </w:pPr>
      <w:r>
        <w:rPr>
          <w:color w:val="000000"/>
          <w:lang w:val="en-US" w:eastAsia="fr-FR"/>
        </w:rPr>
        <w:t>To minimize these risks, the PDCA will have to support the organization of sessions of popularization of innovative technologies using no or very few synthetic pesticides, and this, in close collaboration with the agencies of the Ministries in charge of agriculture, environment and research, including INERA. Thus, experimentation and the implementation of alternative methods to chemical control in plant protection are strongly encouraged. Strengthening CRTPs, a monitoring system for the early identification of attacks, avian and locust infestations, and other non-chemical control methods are essential.</w:t>
      </w:r>
    </w:p>
    <w:p>
      <w:pPr>
        <w:pStyle w:val="style0"/>
        <w:rPr>
          <w:color w:val="000000"/>
          <w:lang w:val="en-US" w:eastAsia="fr-FR"/>
        </w:rPr>
      </w:pPr>
      <w:r>
        <w:rPr>
          <w:color w:val="000000"/>
          <w:lang w:val="en-US" w:eastAsia="fr-FR"/>
        </w:rPr>
        <w:t> </w:t>
      </w:r>
    </w:p>
    <w:p>
      <w:pPr>
        <w:pStyle w:val="style0"/>
        <w:rPr>
          <w:color w:val="000000"/>
          <w:lang w:val="en-US" w:eastAsia="fr-FR"/>
        </w:rPr>
      </w:pPr>
      <w:r>
        <w:rPr>
          <w:b/>
          <w:bCs/>
          <w:color w:val="222222"/>
          <w:lang w:val="en-US" w:eastAsia="fr-FR"/>
        </w:rPr>
        <w:t>E. Policy, Legal and Institutional Framework for Integrated Pest Management (IPM)</w:t>
      </w:r>
    </w:p>
    <w:p>
      <w:pPr>
        <w:pStyle w:val="style0"/>
        <w:rPr>
          <w:color w:val="000000"/>
          <w:lang w:val="en-US" w:eastAsia="fr-FR"/>
        </w:rPr>
      </w:pPr>
      <w:r>
        <w:rPr>
          <w:color w:val="000000"/>
          <w:lang w:val="en-US" w:eastAsia="fr-FR"/>
        </w:rPr>
        <w:t>The institutional framework for pesticide management in Burkina Faso is based on several ministries and stakeholders represented in the National Pesticides Management Commission (CNGP), established by Law N°026-2017/AN of May 15, 2017, and controlling pesticide management in Burkina Faso.</w:t>
      </w:r>
    </w:p>
    <w:p>
      <w:pPr>
        <w:pStyle w:val="style0"/>
        <w:rPr>
          <w:color w:val="000000"/>
          <w:lang w:val="en-US" w:eastAsia="fr-FR"/>
        </w:rPr>
      </w:pPr>
      <w:r>
        <w:rPr>
          <w:color w:val="000000"/>
          <w:lang w:val="en-US" w:eastAsia="fr-FR"/>
        </w:rPr>
        <w:t>This control relates to production, experimentation, repackaging, import, export, transit, transportation, distribution, storage, use, pesticide destruction and advertising, pesticides quality, compliance with labeling, packaging and approval procedures in force in Burkina Faso. In addition to stakeholders at the national level, observers (FAO, WHO ...) and NGOs participate in the CNGP. The CNGP is chaired by the DPVC. With regard to pesticides safe management, the Government has enacted several laws with implementing decrees. However, we are witnessing the non-application texts by several actors either by lack of knowledge, or lack of technical and logistical means for the technical services.</w:t>
      </w:r>
    </w:p>
    <w:p>
      <w:pPr>
        <w:pStyle w:val="style0"/>
        <w:rPr>
          <w:color w:val="000000"/>
          <w:lang w:val="en-US" w:eastAsia="fr-FR"/>
        </w:rPr>
      </w:pPr>
      <w:r>
        <w:rPr>
          <w:color w:val="000000"/>
          <w:lang w:val="en-US" w:eastAsia="fr-FR"/>
        </w:rPr>
        <w:t>Therefore, it is strongly recommended that the PDCA encourage the effective involvement of the relevant Government structures in pest management and the use of pesticides by establishing a link between local producers and these structures, but also by signing memoranda of understanding with them. In addition, it is important for the program to pool resources, but also to plan activities with existing projects and programs working in the same direction such as WAAPP, AMVS, PARIIS, PPCS and Bagré Pôle.</w:t>
      </w:r>
    </w:p>
    <w:p>
      <w:pPr>
        <w:pStyle w:val="style0"/>
        <w:rPr>
          <w:color w:val="000000"/>
          <w:lang w:val="en-US" w:eastAsia="fr-FR"/>
        </w:rPr>
      </w:pPr>
      <w:r>
        <w:rPr>
          <w:color w:val="000000"/>
          <w:lang w:val="en-US" w:eastAsia="fr-FR"/>
        </w:rPr>
        <w:t>In addition to the national framework, Burkina Faso has signed and ratified several international legal instruments related to chemicals.</w:t>
      </w:r>
    </w:p>
    <w:p>
      <w:pPr>
        <w:pStyle w:val="style0"/>
        <w:rPr>
          <w:color w:val="000000"/>
          <w:lang w:val="en-US" w:eastAsia="fr-FR"/>
        </w:rPr>
      </w:pPr>
      <w:r>
        <w:rPr>
          <w:color w:val="000000"/>
          <w:lang w:val="en-US" w:eastAsia="fr-FR"/>
        </w:rPr>
        <w:t>The main sectors targeted by the PDCA are rice, corn, tomato, onion, and fruit growing. These production activities may require the use of pesticides for pest control. The main pests of crops targeted by the PDCA are mainly insect pests and fungal diseases. In terms of insect pests, we will remember the drillers of rice stalks (</w:t>
      </w:r>
      <w:r>
        <w:rPr>
          <w:i/>
          <w:iCs/>
          <w:color w:val="000000"/>
          <w:lang w:val="en-US" w:eastAsia="fr-FR"/>
        </w:rPr>
        <w:t>Sesamia calamistis</w:t>
      </w:r>
      <w:r>
        <w:rPr>
          <w:color w:val="000000"/>
          <w:lang w:val="en-US" w:eastAsia="fr-FR"/>
        </w:rPr>
        <w:t>, the rice midge (</w:t>
      </w:r>
      <w:r>
        <w:rPr>
          <w:i/>
          <w:iCs/>
          <w:color w:val="000000"/>
          <w:lang w:val="en-US" w:eastAsia="fr-FR"/>
        </w:rPr>
        <w:t>Orseolia oryzivora</w:t>
      </w:r>
      <w:r>
        <w:rPr>
          <w:color w:val="000000"/>
          <w:lang w:val="en-US" w:eastAsia="fr-FR"/>
        </w:rPr>
        <w:t> and </w:t>
      </w:r>
      <w:r>
        <w:rPr>
          <w:i/>
          <w:iCs/>
          <w:color w:val="000000"/>
          <w:lang w:val="en-US" w:eastAsia="fr-FR"/>
        </w:rPr>
        <w:t>Chilo zacconius</w:t>
      </w:r>
      <w:r>
        <w:rPr>
          <w:color w:val="000000"/>
          <w:lang w:val="en-US" w:eastAsia="fr-FR"/>
        </w:rPr>
        <w:t> ). Concerning market gardening, the fight will be directed against white flies (</w:t>
      </w:r>
      <w:r>
        <w:rPr>
          <w:i/>
          <w:color w:val="000000"/>
          <w:lang w:val="en-US" w:eastAsia="fr-FR"/>
        </w:rPr>
        <w:t>Bemisia tabaci</w:t>
      </w:r>
      <w:r>
        <w:rPr>
          <w:color w:val="000000"/>
          <w:lang w:val="en-US" w:eastAsia="fr-FR"/>
        </w:rPr>
        <w:t>), the small tomato worm (</w:t>
      </w:r>
      <w:r>
        <w:rPr>
          <w:i/>
          <w:color w:val="000000"/>
          <w:lang w:val="en-US" w:eastAsia="fr-FR"/>
        </w:rPr>
        <w:t>Helicoverpa</w:t>
      </w:r>
      <w:r>
        <w:rPr>
          <w:color w:val="000000"/>
          <w:lang w:val="en-US" w:eastAsia="fr-FR"/>
        </w:rPr>
        <w:t xml:space="preserve"> </w:t>
      </w:r>
      <w:r>
        <w:rPr>
          <w:i/>
          <w:color w:val="000000"/>
          <w:lang w:val="en-US" w:eastAsia="fr-FR"/>
        </w:rPr>
        <w:t>armigera</w:t>
      </w:r>
      <w:r>
        <w:rPr>
          <w:color w:val="000000"/>
          <w:lang w:val="en-US" w:eastAsia="fr-FR"/>
        </w:rPr>
        <w:t>), the aphids (</w:t>
      </w:r>
      <w:r>
        <w:rPr>
          <w:i/>
          <w:color w:val="000000"/>
          <w:lang w:val="en-US" w:eastAsia="fr-FR"/>
        </w:rPr>
        <w:t>Myzus persicea</w:t>
      </w:r>
      <w:r>
        <w:rPr>
          <w:color w:val="000000"/>
          <w:lang w:val="en-US" w:eastAsia="fr-FR"/>
        </w:rPr>
        <w:t>), the crucifer moth (</w:t>
      </w:r>
      <w:r>
        <w:rPr>
          <w:i/>
          <w:color w:val="000000"/>
          <w:lang w:val="en-US" w:eastAsia="fr-FR"/>
        </w:rPr>
        <w:t>Plutella xylostella</w:t>
      </w:r>
      <w:r>
        <w:rPr>
          <w:color w:val="000000"/>
          <w:lang w:val="en-US" w:eastAsia="fr-FR"/>
        </w:rPr>
        <w:t xml:space="preserve">) and the Thrips on the onion. In addition, at the level of vegetable crops, the following </w:t>
      </w:r>
      <w:r>
        <w:rPr>
          <w:color w:val="000000"/>
          <w:lang w:val="en-US" w:eastAsia="fr-FR"/>
        </w:rPr>
        <w:t>diseases will be targeted by the PDCA. These are Alternaria (</w:t>
      </w:r>
      <w:r>
        <w:rPr>
          <w:i/>
          <w:color w:val="000000"/>
          <w:lang w:val="en-US" w:eastAsia="fr-FR"/>
        </w:rPr>
        <w:t>Alternaria solani),</w:t>
      </w:r>
      <w:r>
        <w:rPr>
          <w:color w:val="000000"/>
          <w:lang w:val="en-US" w:eastAsia="fr-FR"/>
        </w:rPr>
        <w:t xml:space="preserve"> Tomato yellow leaf curl disease (</w:t>
      </w:r>
      <w:r>
        <w:rPr>
          <w:i/>
          <w:color w:val="000000"/>
          <w:lang w:val="en-US" w:eastAsia="fr-FR"/>
        </w:rPr>
        <w:t>TYLCV</w:t>
      </w:r>
      <w:r>
        <w:rPr>
          <w:color w:val="000000"/>
          <w:lang w:val="en-US" w:eastAsia="fr-FR"/>
        </w:rPr>
        <w:t>), Bacterial wilt (</w:t>
      </w:r>
      <w:r>
        <w:rPr>
          <w:i/>
          <w:color w:val="000000"/>
          <w:lang w:val="en-US" w:eastAsia="fr-FR"/>
        </w:rPr>
        <w:t xml:space="preserve">Pseudomonas solanacearum). </w:t>
      </w:r>
      <w:r>
        <w:rPr>
          <w:color w:val="000000"/>
          <w:lang w:val="en-US" w:eastAsia="fr-FR"/>
        </w:rPr>
        <w:t>With regard to parasitic diseases, PDCA control actions will focus on blast ( </w:t>
      </w:r>
      <w:r>
        <w:rPr>
          <w:i/>
          <w:iCs/>
          <w:color w:val="000000"/>
          <w:lang w:val="en-US" w:eastAsia="fr-FR"/>
        </w:rPr>
        <w:t>Magnaporthe oryzae</w:t>
      </w:r>
      <w:r>
        <w:rPr>
          <w:color w:val="000000"/>
          <w:lang w:val="en-US" w:eastAsia="fr-FR"/>
        </w:rPr>
        <w:t> ), brown spot disease ( </w:t>
      </w:r>
      <w:r>
        <w:rPr>
          <w:i/>
          <w:iCs/>
          <w:color w:val="000000"/>
          <w:lang w:val="en-US" w:eastAsia="fr-FR"/>
        </w:rPr>
        <w:t>Bipolaris oryzae</w:t>
      </w:r>
      <w:r>
        <w:rPr>
          <w:color w:val="000000"/>
          <w:lang w:val="en-US" w:eastAsia="fr-FR"/>
        </w:rPr>
        <w:t> ) and yellow rice </w:t>
      </w:r>
      <w:r>
        <w:rPr>
          <w:i/>
          <w:iCs/>
          <w:color w:val="000000"/>
          <w:lang w:val="en-US" w:eastAsia="fr-FR"/>
        </w:rPr>
        <w:t>mosaic virus (RYMV</w:t>
      </w:r>
      <w:r>
        <w:rPr>
          <w:color w:val="000000"/>
          <w:lang w:val="en-US" w:eastAsia="fr-FR"/>
        </w:rPr>
        <w:t> ).</w:t>
      </w:r>
    </w:p>
    <w:p>
      <w:pPr>
        <w:pStyle w:val="style0"/>
        <w:rPr>
          <w:color w:val="000000"/>
          <w:lang w:val="en-US" w:eastAsia="fr-FR"/>
        </w:rPr>
      </w:pPr>
      <w:r>
        <w:rPr>
          <w:color w:val="000000"/>
          <w:lang w:val="en-US" w:eastAsia="fr-FR"/>
        </w:rPr>
        <w:t>The main health risks associated with the use of pesticides in the implementation of the PDCA are summarized in (I) slight poisoning resulting in (headache, cold and tearing); (ii) moderate intoxications (Respiratory Disorders, Bronchopulmonary Hypersecretion, Vomiting and Diarrhea), (iii) severe poisoning (Convulsions, coma, respiratory failure and death). Beyond human health, it should be noted that the use of pesticides could cause environmental pollution (water points, soil, air), if the recommended measures are not respected. High levels of pesticide residues in harvested products could also be noted if wait times are not respected.</w:t>
      </w:r>
    </w:p>
    <w:p>
      <w:pPr>
        <w:pStyle w:val="style0"/>
        <w:rPr>
          <w:color w:val="000000"/>
          <w:lang w:val="en-US" w:eastAsia="fr-FR"/>
        </w:rPr>
      </w:pPr>
      <w:r>
        <w:rPr>
          <w:color w:val="000000"/>
          <w:lang w:val="en-US" w:eastAsia="fr-FR"/>
        </w:rPr>
        <w:t> </w:t>
      </w:r>
    </w:p>
    <w:p>
      <w:pPr>
        <w:pStyle w:val="style0"/>
        <w:spacing w:lineRule="atLeast" w:line="264"/>
        <w:rPr>
          <w:color w:val="000000"/>
          <w:lang w:val="en-US" w:eastAsia="fr-FR"/>
        </w:rPr>
      </w:pPr>
      <w:r>
        <w:rPr>
          <w:b/>
          <w:bCs/>
          <w:color w:val="000000"/>
          <w:lang w:val="en-US" w:eastAsia="fr-FR"/>
        </w:rPr>
        <w:t>Pest management approach</w:t>
      </w:r>
      <w:r>
        <w:rPr>
          <w:color w:val="000000"/>
          <w:lang w:val="en-US" w:eastAsia="fr-FR"/>
        </w:rPr>
        <w:t> </w:t>
      </w:r>
      <w:r>
        <w:rPr>
          <w:b/>
          <w:bCs/>
          <w:color w:val="000000"/>
          <w:lang w:val="en-US" w:eastAsia="fr-FR"/>
        </w:rPr>
        <w:t>to be</w:t>
      </w:r>
      <w:r>
        <w:rPr>
          <w:color w:val="000000"/>
          <w:lang w:val="en-US" w:eastAsia="fr-FR"/>
        </w:rPr>
        <w:t> </w:t>
      </w:r>
      <w:r>
        <w:rPr>
          <w:b/>
          <w:bCs/>
          <w:color w:val="000000"/>
          <w:lang w:val="en-US" w:eastAsia="fr-FR"/>
        </w:rPr>
        <w:t>promoted under the PDCA</w:t>
      </w:r>
    </w:p>
    <w:p>
      <w:pPr>
        <w:pStyle w:val="style0"/>
        <w:spacing w:lineRule="atLeast" w:line="276"/>
        <w:rPr>
          <w:color w:val="000000"/>
          <w:lang w:val="en-US" w:eastAsia="fr-FR"/>
        </w:rPr>
      </w:pPr>
      <w:r>
        <w:rPr>
          <w:color w:val="000000"/>
          <w:lang w:val="en-US" w:eastAsia="fr-FR"/>
        </w:rPr>
        <w:t>The PDCA pest management guidelines will be based on the integrated pest management approach. This approach recommends the combination of all possible and effective control methods against pests, while considering the use of chemical pesticides as a last resort. Thus, several control methods are available: biological control; agronomic control; reasoned chemical control; variety selection; mechanical, genetic and legislative fight. They should be carried out as part of a preventive or curative struggle and encourage farmers to make decisions on integrated management using agro-ecosystems analysis.</w:t>
      </w:r>
    </w:p>
    <w:p>
      <w:pPr>
        <w:pStyle w:val="style0"/>
        <w:spacing w:lineRule="atLeast" w:line="276"/>
        <w:rPr>
          <w:color w:val="000000"/>
          <w:lang w:val="en-US" w:eastAsia="fr-FR"/>
        </w:rPr>
      </w:pPr>
      <w:r>
        <w:rPr>
          <w:color w:val="000000"/>
          <w:lang w:val="en-US" w:eastAsia="fr-FR"/>
        </w:rPr>
        <w:t> </w:t>
      </w:r>
    </w:p>
    <w:p>
      <w:pPr>
        <w:pStyle w:val="style0"/>
        <w:rPr>
          <w:color w:val="000000"/>
          <w:lang w:val="en-US" w:eastAsia="fr-FR"/>
        </w:rPr>
      </w:pPr>
      <w:r>
        <w:rPr>
          <w:b/>
          <w:bCs/>
          <w:color w:val="222222"/>
          <w:lang w:val="en-US" w:eastAsia="fr-FR"/>
        </w:rPr>
        <w:t>F.</w:t>
      </w:r>
      <w:r>
        <w:rPr>
          <w:color w:val="000000"/>
          <w:lang w:val="en-US" w:eastAsia="fr-FR"/>
        </w:rPr>
        <w:t> </w:t>
      </w:r>
      <w:r>
        <w:rPr>
          <w:b/>
          <w:color w:val="222222"/>
          <w:lang w:val="en-US"/>
        </w:rPr>
        <w:t>Integrated pest management measures (IPMM) as part of the program</w:t>
      </w:r>
    </w:p>
    <w:p>
      <w:pPr>
        <w:pStyle w:val="style0"/>
        <w:rPr>
          <w:color w:val="000000"/>
          <w:lang w:val="en-US" w:eastAsia="fr-FR"/>
        </w:rPr>
      </w:pPr>
      <w:r>
        <w:rPr>
          <w:color w:val="000000"/>
          <w:lang w:val="en-US" w:eastAsia="fr-FR"/>
        </w:rPr>
        <w:t xml:space="preserve">The Integrated Pest Management Measures (IPMM) measures within the framework of the PDCA will have to allow better use of pesticides and particularly to recommend a set of measures to limit the negative effects in the implementation of the program. It should promote the dissemination of alternative techniques to the use of synthetic pesticides , and thus contribute to the protection of the physical and human environment , in particular </w:t>
      </w:r>
      <w:r>
        <w:rPr>
          <w:color w:val="000000"/>
          <w:lang w:val="en-US" w:eastAsia="fr-FR"/>
        </w:rPr>
        <w:t>through the control of imports and the distribution of pesticides, the strengthening of producers' capacities as well as control and support structures, monitoring and evaluation of the environmental impact of activities likely to use a considerable quantity of pesticides, health monitoring of applicators and management of empty containers and packaging.</w:t>
      </w:r>
    </w:p>
    <w:p>
      <w:pPr>
        <w:pStyle w:val="style0"/>
        <w:rPr>
          <w:color w:val="000000"/>
          <w:lang w:val="en-US" w:eastAsia="fr-FR"/>
        </w:rPr>
      </w:pPr>
      <w:r>
        <w:rPr>
          <w:color w:val="000000"/>
          <w:lang w:val="en-US" w:eastAsia="fr-FR"/>
        </w:rPr>
        <w:t>The DPVC will regularly organizes training on good plant protection practices for actors in the field. Thus, the signing of a memorandum of understanding between the PDCA and the DPVC for the training of producers is an important point.</w:t>
      </w:r>
    </w:p>
    <w:p>
      <w:pPr>
        <w:pStyle w:val="style0"/>
        <w:rPr>
          <w:color w:val="000000"/>
          <w:lang w:val="en-US" w:eastAsia="fr-FR"/>
        </w:rPr>
      </w:pPr>
      <w:r>
        <w:rPr>
          <w:color w:val="000000"/>
          <w:lang w:val="en-US" w:eastAsia="fr-FR"/>
        </w:rPr>
        <w:t>As part of the implementation of the external monitoring program in particular, the establishment of protocols and/or service contracts between the PDCA and Government structures, as indicated in the table below, will contribute to a better supervision of the use of pesticides.</w:t>
      </w:r>
    </w:p>
    <w:p>
      <w:pPr>
        <w:pStyle w:val="style0"/>
        <w:rPr>
          <w:color w:val="000000"/>
          <w:lang w:val="en-US" w:eastAsia="fr-FR"/>
        </w:rPr>
      </w:pPr>
      <w:r>
        <w:rPr>
          <w:color w:val="000000"/>
          <w:lang w:val="en-US" w:eastAsia="fr-FR"/>
        </w:rPr>
        <w:t>The estimated budget for the activities to be implemented as part of the PGP is given in Table F2 and aims to mitigate the identified constraints and risks, and stems from the implementation of ILMM program. Thus, the budget is given according to the need for financing of the various activities identified in the plan. It is broken down in terms of budget lines, including training, procurement of equipment and materials, operation and monitoring.</w:t>
      </w:r>
    </w:p>
    <w:p>
      <w:pPr>
        <w:pStyle w:val="style0"/>
        <w:rPr>
          <w:color w:val="000000"/>
          <w:lang w:val="en-US" w:eastAsia="fr-FR"/>
        </w:rPr>
      </w:pPr>
      <w:r>
        <w:rPr>
          <w:color w:val="000000"/>
          <w:lang w:val="en-US" w:eastAsia="fr-FR"/>
        </w:rPr>
        <w:t> </w:t>
      </w:r>
    </w:p>
    <w:p>
      <w:pPr>
        <w:pStyle w:val="style0"/>
        <w:rPr>
          <w:color w:val="000000"/>
          <w:lang w:val="en-US" w:eastAsia="fr-FR"/>
        </w:rPr>
      </w:pPr>
      <w:r>
        <w:rPr>
          <w:color w:val="000000"/>
          <w:lang w:val="en-US" w:eastAsia="fr-FR"/>
        </w:rPr>
        <w:t>Table F: Proposal for collaboration between the PDCA and other partners</w:t>
      </w:r>
    </w:p>
    <w:tbl>
      <w:tblPr>
        <w:tblW w:w="0" w:type="auto"/>
        <w:tblCellMar>
          <w:left w:w="0" w:type="dxa"/>
          <w:right w:w="0" w:type="dxa"/>
        </w:tblCellMar>
        <w:tblLook w:val="04A0" w:firstRow="1" w:lastRow="0" w:firstColumn="1" w:lastColumn="0" w:noHBand="0" w:noVBand="1"/>
      </w:tblPr>
      <w:tblGrid>
        <w:gridCol w:w="3436"/>
        <w:gridCol w:w="1836"/>
        <w:gridCol w:w="4367"/>
      </w:tblGrid>
      <w:tr>
        <w:trPr/>
        <w:tc>
          <w:tcPr>
            <w:tcW w:w="3544"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pPr>
              <w:pStyle w:val="style0"/>
              <w:rPr>
                <w:lang w:val="en-US" w:eastAsia="fr-FR"/>
              </w:rPr>
            </w:pPr>
            <w:r>
              <w:rPr>
                <w:b/>
                <w:bCs/>
                <w:lang w:val="en-US" w:eastAsia="fr-FR"/>
              </w:rPr>
              <w:t xml:space="preserve">Activities </w:t>
            </w:r>
          </w:p>
        </w:tc>
        <w:tc>
          <w:tcPr>
            <w:tcW w:w="1809"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pPr>
              <w:pStyle w:val="style0"/>
              <w:rPr>
                <w:lang w:val="en-US" w:eastAsia="fr-FR"/>
              </w:rPr>
            </w:pPr>
            <w:r>
              <w:rPr>
                <w:b/>
                <w:bCs/>
                <w:lang w:val="en-US" w:eastAsia="fr-FR"/>
              </w:rPr>
              <w:t>Responsible structures</w:t>
            </w:r>
          </w:p>
        </w:tc>
        <w:tc>
          <w:tcPr>
            <w:tcW w:w="450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hideMark/>
          </w:tcPr>
          <w:p>
            <w:pPr>
              <w:pStyle w:val="style0"/>
              <w:rPr>
                <w:lang w:val="en-US" w:eastAsia="fr-FR"/>
              </w:rPr>
            </w:pPr>
            <w:r>
              <w:rPr>
                <w:b/>
                <w:bCs/>
                <w:lang w:val="en-US" w:eastAsia="fr-FR"/>
              </w:rPr>
              <w:t>Collaboration modalities</w:t>
            </w:r>
          </w:p>
        </w:tc>
      </w:tr>
      <w:tr>
        <w:tblPrEx/>
        <w:trPr/>
        <w:tc>
          <w:tcPr>
            <w:tcW w:w="35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pPr>
              <w:pStyle w:val="style0"/>
              <w:rPr>
                <w:lang w:val="en-US" w:eastAsia="fr-FR"/>
              </w:rPr>
            </w:pPr>
            <w:r>
              <w:rPr>
                <w:lang w:val="en-US" w:eastAsia="fr-FR"/>
              </w:rPr>
              <w:t>Promotion of the use of alternative strategies of struggle</w:t>
            </w:r>
          </w:p>
        </w:tc>
        <w:tc>
          <w:tcPr>
            <w:tcW w:w="18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pPr>
              <w:pStyle w:val="style0"/>
              <w:rPr>
                <w:lang w:val="en-US" w:eastAsia="fr-FR"/>
              </w:rPr>
            </w:pPr>
            <w:r>
              <w:rPr>
                <w:lang w:val="en-US" w:eastAsia="fr-FR"/>
              </w:rPr>
              <w:t>DPVC, INERA,CRTP</w:t>
            </w:r>
          </w:p>
        </w:tc>
        <w:tc>
          <w:tcPr>
            <w:tcW w:w="45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pPr>
              <w:pStyle w:val="style0"/>
              <w:rPr>
                <w:lang w:val="en-US" w:eastAsia="fr-FR"/>
              </w:rPr>
            </w:pPr>
            <w:r>
              <w:rPr>
                <w:lang w:val="en-US" w:eastAsia="fr-FR"/>
              </w:rPr>
              <w:t>Service delivery contracts to establish with the program coordination</w:t>
            </w:r>
          </w:p>
        </w:tc>
      </w:tr>
      <w:tr>
        <w:tblPrEx/>
        <w:trPr/>
        <w:tc>
          <w:tcPr>
            <w:tcW w:w="35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pPr>
              <w:pStyle w:val="style0"/>
              <w:rPr>
                <w:lang w:val="en-US" w:eastAsia="fr-FR"/>
              </w:rPr>
            </w:pPr>
            <w:r>
              <w:rPr>
                <w:lang w:val="en-US" w:eastAsia="fr-FR"/>
              </w:rPr>
              <w:t>Capacity building of intermediary actors (resellers, controllers at customs posts), consulting-support actors and producers</w:t>
            </w:r>
          </w:p>
        </w:tc>
        <w:tc>
          <w:tcPr>
            <w:tcW w:w="18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pPr>
              <w:pStyle w:val="style0"/>
              <w:rPr>
                <w:lang w:val="en-US" w:eastAsia="fr-FR"/>
              </w:rPr>
            </w:pPr>
            <w:r>
              <w:rPr>
                <w:lang w:val="en-US" w:eastAsia="fr-FR"/>
              </w:rPr>
              <w:t>DPVC, INERA , DGHADI</w:t>
            </w:r>
          </w:p>
        </w:tc>
        <w:tc>
          <w:tcPr>
            <w:tcW w:w="45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pPr>
              <w:pStyle w:val="style0"/>
              <w:rPr>
                <w:lang w:val="en-US" w:eastAsia="fr-FR"/>
              </w:rPr>
            </w:pPr>
            <w:r>
              <w:rPr>
                <w:lang w:val="en-US" w:eastAsia="fr-FR"/>
              </w:rPr>
              <w:t xml:space="preserve">Cooperation Protocol for the supervision of pesticide management by actors, to be established with the program coordination </w:t>
            </w:r>
          </w:p>
        </w:tc>
      </w:tr>
      <w:tr>
        <w:tblPrEx/>
        <w:trPr/>
        <w:tc>
          <w:tcPr>
            <w:tcW w:w="35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pPr>
              <w:pStyle w:val="style0"/>
              <w:rPr>
                <w:lang w:val="en-US" w:eastAsia="fr-FR"/>
              </w:rPr>
            </w:pPr>
            <w:r>
              <w:rPr>
                <w:lang w:val="en-US" w:eastAsia="fr-FR"/>
              </w:rPr>
              <w:t>Capacity building of health facilities and the LNSP</w:t>
            </w:r>
          </w:p>
        </w:tc>
        <w:tc>
          <w:tcPr>
            <w:tcW w:w="18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pPr>
              <w:pStyle w:val="style0"/>
              <w:rPr>
                <w:lang w:val="en-US" w:eastAsia="fr-FR"/>
              </w:rPr>
            </w:pPr>
            <w:r>
              <w:rPr>
                <w:lang w:val="en-US" w:eastAsia="fr-FR"/>
              </w:rPr>
              <w:t>Ministry of Health, P DCA , IRSS</w:t>
            </w:r>
          </w:p>
        </w:tc>
        <w:tc>
          <w:tcPr>
            <w:tcW w:w="45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pPr>
              <w:pStyle w:val="style0"/>
              <w:rPr>
                <w:lang w:val="en-US" w:eastAsia="fr-FR"/>
              </w:rPr>
            </w:pPr>
            <w:r>
              <w:rPr>
                <w:lang w:val="en-US" w:eastAsia="fr-FR"/>
              </w:rPr>
              <w:t>- The program will facilitate the organization of training for the agents and will make donations in kits to health facilities of the sites in consultation with the Ministry of Health</w:t>
            </w:r>
          </w:p>
          <w:p>
            <w:pPr>
              <w:pStyle w:val="style0"/>
              <w:rPr>
                <w:lang w:val="en-US" w:eastAsia="fr-FR"/>
              </w:rPr>
            </w:pPr>
            <w:r>
              <w:rPr>
                <w:lang w:val="en-US" w:eastAsia="fr-FR"/>
              </w:rPr>
              <w:t>-Partnership with the LNSP for periodic analysis of pesticide residues in the environment and in crops.</w:t>
            </w:r>
          </w:p>
        </w:tc>
      </w:tr>
      <w:tr>
        <w:tblPrEx/>
        <w:trPr/>
        <w:tc>
          <w:tcPr>
            <w:tcW w:w="35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pPr>
              <w:pStyle w:val="style0"/>
              <w:rPr>
                <w:lang w:val="en-US" w:eastAsia="fr-FR"/>
              </w:rPr>
            </w:pPr>
            <w:r>
              <w:rPr>
                <w:lang w:val="en-US" w:eastAsia="fr-FR"/>
              </w:rPr>
              <w:t>Management of empty pesticide containers</w:t>
            </w:r>
          </w:p>
        </w:tc>
        <w:tc>
          <w:tcPr>
            <w:tcW w:w="18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pPr>
              <w:pStyle w:val="style0"/>
              <w:rPr>
                <w:lang w:val="en-US" w:eastAsia="fr-FR"/>
              </w:rPr>
            </w:pPr>
            <w:r>
              <w:rPr>
                <w:lang w:val="en-US" w:eastAsia="fr-FR"/>
              </w:rPr>
              <w:t>DPVC, INERA, PDCA, SAPHYTO</w:t>
            </w:r>
          </w:p>
        </w:tc>
        <w:tc>
          <w:tcPr>
            <w:tcW w:w="45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pPr>
              <w:pStyle w:val="style0"/>
              <w:rPr>
                <w:lang w:val="en-US" w:eastAsia="fr-FR"/>
              </w:rPr>
            </w:pPr>
            <w:r>
              <w:rPr>
                <w:lang w:val="en-US" w:eastAsia="fr-FR"/>
              </w:rPr>
              <w:t>Signature of a collaboration protocol with the project coordination for the collection and disposal of empty containers</w:t>
            </w:r>
          </w:p>
        </w:tc>
      </w:tr>
      <w:tr>
        <w:tblPrEx/>
        <w:trPr/>
        <w:tc>
          <w:tcPr>
            <w:tcW w:w="35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pPr>
              <w:pStyle w:val="style0"/>
              <w:rPr>
                <w:lang w:val="en-US" w:eastAsia="fr-FR"/>
              </w:rPr>
            </w:pPr>
            <w:r>
              <w:rPr>
                <w:lang w:val="en-US" w:eastAsia="fr-FR"/>
              </w:rPr>
              <w:t xml:space="preserve">Environmental </w:t>
            </w:r>
            <w:r>
              <w:rPr>
                <w:bCs/>
                <w:lang w:val="en-US"/>
              </w:rPr>
              <w:t>Surveillance</w:t>
            </w:r>
            <w:r>
              <w:rPr>
                <w:lang w:val="en-US" w:eastAsia="fr-FR"/>
              </w:rPr>
              <w:t>/ Monitoring</w:t>
            </w:r>
          </w:p>
        </w:tc>
        <w:tc>
          <w:tcPr>
            <w:tcW w:w="18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pPr>
              <w:pStyle w:val="style0"/>
              <w:rPr>
                <w:lang w:val="en-US" w:eastAsia="fr-FR"/>
              </w:rPr>
            </w:pPr>
            <w:r>
              <w:rPr>
                <w:lang w:val="en-US" w:eastAsia="fr-FR"/>
              </w:rPr>
              <w:t>LAQE, BUNEE ,LNSP</w:t>
            </w:r>
          </w:p>
        </w:tc>
        <w:tc>
          <w:tcPr>
            <w:tcW w:w="450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pPr>
              <w:pStyle w:val="style0"/>
              <w:rPr>
                <w:lang w:val="en-US" w:eastAsia="fr-FR"/>
              </w:rPr>
            </w:pPr>
            <w:r>
              <w:rPr>
                <w:lang w:val="en-US" w:eastAsia="fr-FR"/>
              </w:rPr>
              <w:t>These structures will work together. The LNSP and the LAQE will work closely with regional structures for the determination of pesticide residues. A collaboration protocol will be established between the project coordination and the LNSP/ EQIA in terms of facilities and services.</w:t>
            </w:r>
          </w:p>
        </w:tc>
      </w:tr>
    </w:tbl>
    <w:p>
      <w:pPr>
        <w:pStyle w:val="style0"/>
        <w:rPr>
          <w:color w:val="000000"/>
          <w:lang w:val="en-US" w:eastAsia="fr-FR"/>
        </w:rPr>
      </w:pPr>
      <w:r>
        <w:rPr>
          <w:color w:val="000000"/>
          <w:lang w:val="en-US" w:eastAsia="fr-FR"/>
        </w:rPr>
        <w:t> </w:t>
      </w:r>
    </w:p>
    <w:p>
      <w:pPr>
        <w:pStyle w:val="style0"/>
        <w:rPr>
          <w:color w:val="000000"/>
          <w:lang w:val="en-US" w:eastAsia="fr-FR"/>
        </w:rPr>
      </w:pPr>
      <w:r>
        <w:rPr>
          <w:color w:val="000000"/>
          <w:lang w:val="en-US" w:eastAsia="fr-FR"/>
        </w:rPr>
        <w:t>Table F2: Estimated budget for the estimated cost of implementing the MGIP (XOF)</w:t>
      </w:r>
    </w:p>
    <w:tbl>
      <w:tblPr>
        <w:tblW w:w="9101" w:type="dxa"/>
        <w:jc w:val="center"/>
        <w:tblCellMar>
          <w:left w:w="0" w:type="dxa"/>
          <w:right w:w="0" w:type="dxa"/>
        </w:tblCellMar>
        <w:tblLook w:val="04A0" w:firstRow="1" w:lastRow="0" w:firstColumn="1" w:lastColumn="0" w:noHBand="0" w:noVBand="1"/>
      </w:tblPr>
      <w:tblGrid>
        <w:gridCol w:w="7083"/>
        <w:gridCol w:w="2018"/>
      </w:tblGrid>
      <w:tr>
        <w:trPr>
          <w:jc w:val="center"/>
        </w:trPr>
        <w:tc>
          <w:tcPr>
            <w:tcW w:w="70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pPr>
              <w:pStyle w:val="style0"/>
              <w:rPr>
                <w:sz w:val="22"/>
                <w:lang w:val="en-US" w:eastAsia="fr-FR"/>
              </w:rPr>
            </w:pPr>
            <w:r>
              <w:rPr>
                <w:sz w:val="22"/>
                <w:lang w:val="en-US" w:eastAsia="fr-FR"/>
              </w:rPr>
              <w:t>Implementation of the PMP with monitoring and evaluation of its implementation</w:t>
            </w:r>
          </w:p>
        </w:tc>
        <w:tc>
          <w:tcPr>
            <w:tcW w:w="20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pPr>
              <w:pStyle w:val="style0"/>
              <w:rPr>
                <w:sz w:val="22"/>
                <w:lang w:val="en-US" w:eastAsia="fr-FR"/>
              </w:rPr>
            </w:pPr>
            <w:r>
              <w:rPr>
                <w:sz w:val="22"/>
                <w:lang w:val="en-US" w:eastAsia="fr-FR"/>
              </w:rPr>
              <w:t>49,500,000</w:t>
            </w:r>
          </w:p>
        </w:tc>
      </w:tr>
      <w:tr>
        <w:tblPrEx/>
        <w:trPr>
          <w:jc w:val="center"/>
        </w:trPr>
        <w:tc>
          <w:tcPr>
            <w:tcW w:w="70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pPr>
              <w:pStyle w:val="style0"/>
              <w:rPr>
                <w:sz w:val="22"/>
                <w:lang w:val="en-US" w:eastAsia="fr-FR"/>
              </w:rPr>
            </w:pPr>
            <w:r>
              <w:rPr>
                <w:sz w:val="22"/>
                <w:lang w:val="en-US" w:eastAsia="fr-FR"/>
              </w:rPr>
              <w:t>Information/awareness raising, capacity building of actors</w:t>
            </w:r>
          </w:p>
        </w:tc>
        <w:tc>
          <w:tcPr>
            <w:tcW w:w="20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pPr>
              <w:pStyle w:val="style0"/>
              <w:rPr>
                <w:sz w:val="22"/>
                <w:lang w:val="en-US" w:eastAsia="fr-FR"/>
              </w:rPr>
            </w:pPr>
            <w:r>
              <w:rPr>
                <w:sz w:val="22"/>
                <w:lang w:val="en-US" w:eastAsia="fr-FR"/>
              </w:rPr>
              <w:t xml:space="preserve">112, </w:t>
            </w:r>
            <w:r>
              <w:rPr>
                <w:sz w:val="22"/>
                <w:lang w:val="en-US"/>
              </w:rPr>
              <w:t>000, 000</w:t>
            </w:r>
          </w:p>
        </w:tc>
      </w:tr>
      <w:tr>
        <w:tblPrEx/>
        <w:trPr>
          <w:jc w:val="center"/>
        </w:trPr>
        <w:tc>
          <w:tcPr>
            <w:tcW w:w="70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pPr>
              <w:pStyle w:val="style0"/>
              <w:rPr>
                <w:sz w:val="22"/>
                <w:lang w:val="en-US" w:eastAsia="fr-FR"/>
              </w:rPr>
            </w:pPr>
            <w:r>
              <w:rPr>
                <w:sz w:val="22"/>
                <w:lang w:val="en-US" w:eastAsia="fr-FR"/>
              </w:rPr>
              <w:t>Acquisition of equipment, products and environmental control</w:t>
            </w:r>
          </w:p>
        </w:tc>
        <w:tc>
          <w:tcPr>
            <w:tcW w:w="20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pPr>
              <w:pStyle w:val="style0"/>
              <w:rPr>
                <w:sz w:val="22"/>
                <w:lang w:val="en-US" w:eastAsia="fr-FR"/>
              </w:rPr>
            </w:pPr>
            <w:r>
              <w:rPr>
                <w:sz w:val="22"/>
                <w:lang w:val="en-US" w:eastAsia="fr-FR"/>
              </w:rPr>
              <w:t>135, 000, 000</w:t>
            </w:r>
          </w:p>
        </w:tc>
      </w:tr>
    </w:tbl>
    <w:p>
      <w:pPr>
        <w:pStyle w:val="style0"/>
        <w:rPr>
          <w:b/>
          <w:bCs/>
          <w:color w:val="222222"/>
          <w:lang w:val="en-US" w:eastAsia="fr-FR"/>
        </w:rPr>
      </w:pPr>
    </w:p>
    <w:p>
      <w:pPr>
        <w:pStyle w:val="style0"/>
        <w:rPr>
          <w:color w:val="000000"/>
          <w:lang w:val="en-US" w:eastAsia="fr-FR"/>
        </w:rPr>
      </w:pPr>
      <w:r>
        <w:rPr>
          <w:b/>
          <w:bCs/>
          <w:color w:val="222222"/>
          <w:lang w:val="en-US" w:eastAsia="fr-FR"/>
        </w:rPr>
        <w:t>G. Conclusion</w:t>
      </w:r>
    </w:p>
    <w:p>
      <w:pPr>
        <w:pStyle w:val="style0"/>
        <w:rPr>
          <w:color w:val="000000"/>
          <w:lang w:val="en-US" w:eastAsia="fr-FR"/>
        </w:rPr>
      </w:pPr>
      <w:r>
        <w:rPr>
          <w:color w:val="000000"/>
          <w:lang w:val="en-US" w:eastAsia="fr-FR"/>
        </w:rPr>
        <w:t>In view of the importance of all the above, it turns out that the effective implementation of this PGP will minimize the damage to both the biophysical and human environment.</w:t>
      </w:r>
    </w:p>
    <w:p>
      <w:pPr>
        <w:pStyle w:val="style0"/>
        <w:rPr>
          <w:lang w:val="en-GB"/>
        </w:rPr>
      </w:pPr>
      <w:r>
        <w:rPr>
          <w:color w:val="000000"/>
          <w:lang w:val="en-US" w:eastAsia="fr-FR"/>
        </w:rPr>
        <w:t>The estimated cost of the measures envisaged is estimated at </w:t>
      </w:r>
      <w:r>
        <w:rPr>
          <w:b/>
          <w:bCs/>
          <w:color w:val="000000"/>
          <w:lang w:val="en-US" w:eastAsia="fr-FR"/>
        </w:rPr>
        <w:t>two hundred and ninety-six million five hundred thousand</w:t>
      </w:r>
      <w:r>
        <w:rPr>
          <w:color w:val="000000"/>
          <w:lang w:val="en-US" w:eastAsia="fr-FR"/>
        </w:rPr>
        <w:t> (29</w:t>
      </w:r>
      <w:r>
        <w:rPr>
          <w:color w:val="000000"/>
          <w:lang w:val="en-US" w:eastAsia="fr-FR"/>
        </w:rPr>
        <w:t>6</w:t>
      </w:r>
      <w:r>
        <w:rPr>
          <w:color w:val="000000"/>
          <w:lang w:val="en-US" w:eastAsia="fr-FR"/>
        </w:rPr>
        <w:t xml:space="preserve">,500,000) </w:t>
      </w:r>
      <w:r>
        <w:rPr>
          <w:b/>
          <w:color w:val="000000"/>
          <w:lang w:val="en-US" w:eastAsia="fr-FR"/>
        </w:rPr>
        <w:t>CFA</w:t>
      </w:r>
      <w:r>
        <w:rPr>
          <w:color w:val="000000"/>
          <w:lang w:val="en-US" w:eastAsia="fr-FR"/>
        </w:rPr>
        <w:t> </w:t>
      </w:r>
      <w:r>
        <w:rPr>
          <w:b/>
          <w:bCs/>
          <w:color w:val="000000"/>
          <w:lang w:val="en-US" w:eastAsia="fr-FR"/>
        </w:rPr>
        <w:t>francs.</w:t>
      </w:r>
      <w:r>
        <w:rPr>
          <w:color w:val="000000"/>
          <w:lang w:val="en-US" w:eastAsia="fr-FR"/>
        </w:rPr>
        <w:t> This budget covers, capacity building of institutional actors, capacity building needs of producers, improvement of supply systems and takes into account monitoring and evaluation of the plan implementation.</w:t>
      </w:r>
    </w:p>
    <w:p>
      <w:pPr>
        <w:pStyle w:val="style1"/>
        <w:numPr>
          <w:ilvl w:val="0"/>
          <w:numId w:val="0"/>
        </w:numPr>
        <w:suppressAutoHyphens w:val="false"/>
        <w:ind w:left="360"/>
        <w:rPr>
          <w:sz w:val="24"/>
          <w:szCs w:val="24"/>
          <w:lang w:val="en-US"/>
        </w:rPr>
      </w:pPr>
    </w:p>
    <w:p>
      <w:pPr>
        <w:pStyle w:val="style1"/>
        <w:numPr>
          <w:ilvl w:val="0"/>
          <w:numId w:val="0"/>
        </w:numPr>
        <w:suppressAutoHyphens w:val="false"/>
        <w:ind w:left="360"/>
        <w:rPr>
          <w:sz w:val="24"/>
          <w:szCs w:val="24"/>
          <w:lang w:val="en-US"/>
        </w:rPr>
      </w:pPr>
      <w:r>
        <w:rPr>
          <w:sz w:val="24"/>
          <w:szCs w:val="24"/>
          <w:lang w:val="en-US"/>
        </w:rPr>
        <w:t xml:space="preserve"> </w:t>
      </w:r>
    </w:p>
    <w:p>
      <w:pPr>
        <w:pStyle w:val="style0"/>
        <w:rPr>
          <w:color w:val="333333"/>
          <w:sz w:val="22"/>
          <w:szCs w:val="22"/>
          <w:lang w:val="en-US" w:eastAsia="fr-FR"/>
        </w:rPr>
      </w:pPr>
    </w:p>
    <w:p>
      <w:pPr>
        <w:pStyle w:val="style0"/>
        <w:rPr>
          <w:color w:val="333333"/>
          <w:lang w:val="en-US" w:eastAsia="fr-FR"/>
        </w:rPr>
      </w:pPr>
    </w:p>
    <w:bookmarkEnd w:id="76"/>
    <w:p>
      <w:pPr>
        <w:pStyle w:val="style0"/>
        <w:rPr>
          <w:color w:val="333333"/>
          <w:lang w:val="en-US" w:eastAsia="fr-FR"/>
        </w:rPr>
      </w:pPr>
    </w:p>
    <w:p>
      <w:pPr>
        <w:pStyle w:val="style0"/>
        <w:rPr>
          <w:sz w:val="28"/>
          <w:lang w:val="en-US"/>
        </w:rPr>
        <w:sectPr>
          <w:pgSz w:w="11907" w:h="16840" w:orient="portrait" w:code="9"/>
          <w:pgMar w:top="1134" w:right="1134" w:bottom="1134" w:left="1134" w:header="720" w:footer="720" w:gutter="0"/>
          <w:pgNumType w:fmt="lowerRoman"/>
          <w:cols w:space="720"/>
          <w:titlePg/>
        </w:sectPr>
      </w:pPr>
    </w:p>
    <w:bookmarkStart w:id="79" w:name="_Toc208906007"/>
    <w:bookmarkStart w:id="80" w:name="_Toc2831173"/>
    <w:p>
      <w:pPr>
        <w:pStyle w:val="style1"/>
        <w:numPr>
          <w:ilvl w:val="0"/>
          <w:numId w:val="54"/>
        </w:numPr>
        <w:suppressAutoHyphens w:val="false"/>
        <w:rPr>
          <w:sz w:val="24"/>
          <w:szCs w:val="24"/>
        </w:rPr>
      </w:pPr>
      <w:r>
        <w:rPr>
          <w:caps w:val="false"/>
          <w:sz w:val="24"/>
          <w:szCs w:val="24"/>
        </w:rPr>
        <w:t>INTRODUCTION</w:t>
      </w:r>
      <w:bookmarkEnd w:id="79"/>
      <w:bookmarkEnd w:id="80"/>
    </w:p>
    <w:bookmarkStart w:id="81" w:name="_Toc2831174"/>
    <w:p>
      <w:pPr>
        <w:pStyle w:val="style2"/>
        <w:numPr>
          <w:ilvl w:val="1"/>
          <w:numId w:val="42"/>
        </w:numPr>
        <w:rPr/>
      </w:pPr>
      <w:r>
        <w:t xml:space="preserve">Contexte </w:t>
      </w:r>
      <w:r>
        <w:t xml:space="preserve"> </w:t>
      </w:r>
      <w:r>
        <w:t xml:space="preserve">du programme </w:t>
      </w:r>
      <w:r>
        <w:t xml:space="preserve">et justification </w:t>
      </w:r>
      <w:r>
        <w:t>de l’étude</w:t>
      </w:r>
      <w:bookmarkEnd w:id="81"/>
    </w:p>
    <w:bookmarkStart w:id="82" w:name="_Toc80761704"/>
    <w:p>
      <w:pPr>
        <w:pStyle w:val="style0"/>
        <w:rPr/>
      </w:pPr>
      <w:r>
        <w:t>Aux termes de la conférence internationale sur le financement du Plan national de développement économique et social (PNDES), tenue en décembre 2016 à Paris, la Banque mondiale a affirmé son intention d’accompagner le Burkina Faso dans la mise en œuvre du PNDES avec une enveloppe globale de 3,8 milliards de dollars sur la période 2016-2020. Cette enveloppe financière est destinée à financer la mise en œuvre d’un ensemble d’actions dans les secteurs prioritaires du pays dont celui de l’agriculture. L’agriculture au Burkina Faso emploie plus de 80% de la main d’œuvre et la plupart de ceux qui y travaillent vivent en milieu rural.</w:t>
      </w:r>
    </w:p>
    <w:p>
      <w:pPr>
        <w:pStyle w:val="style0"/>
        <w:rPr/>
      </w:pPr>
      <w:r>
        <w:t xml:space="preserve">L’analyse des indicateurs de la pauvreté selon la branche d’activité du chef de ménage révèle que c’est dans les ménages dirigés par des agriculteurs vivriers que l’incidence de la pauvreté est la plus élevée. Il en est de même pour la profondeur et la sévérité de la pauvreté. En effet, dans ce groupe de ménages, l’incidence de pauvreté est de 50,1%, soit dix points de pourcentage au-dessus du taux national. La profondeur et la sévérité de la pauvreté sont respectivement de 12,1% et de 4,1% pour ce même groupe. Près de huit pauvres sur dix (78%) vivent dans des ménages dont les chefs sont des agriculteurs vivriers. </w:t>
      </w:r>
    </w:p>
    <w:p>
      <w:pPr>
        <w:pStyle w:val="style0"/>
        <w:rPr/>
      </w:pPr>
      <w:r>
        <w:t>Cependant, le pays regorge d’énormes potentialités et offre d’énormes atouts pour l’amélioration de la performance de l’agriculture afin qu’elle soit un levier pour la croissance économique et un moyen de réduction de la pauvreté. En effet, le potentiel en terre</w:t>
      </w:r>
      <w:r>
        <w:t>s</w:t>
      </w:r>
      <w:r>
        <w:t xml:space="preserve"> cultivables est estimé à environ 233 500 ha de terres irrigables et 500 000 ha de bas-fonds. En plus de cela, le pays dispose d’environ 1200 plans d’eau d’une capacité cumulée de 5 milliards de m</w:t>
      </w:r>
      <w:r>
        <w:rPr>
          <w:vertAlign w:val="superscript"/>
        </w:rPr>
        <w:t>3</w:t>
      </w:r>
      <w:r>
        <w:t xml:space="preserve"> par an pour le développement de l’irrigation et d’une demande en produits alimentaires non satisfaite. La valorisation de ces potentialités contribuera sans doute à la transformation structurelle de l’agriculture burkinabé telle que déclinée dans le PNDES.</w:t>
      </w:r>
    </w:p>
    <w:p>
      <w:pPr>
        <w:pStyle w:val="style0"/>
        <w:rPr/>
      </w:pPr>
      <w:r>
        <w:t xml:space="preserve">C’est dans ce contexte et afin de mobiliser les ressources financières annoncées, que des échanges ont été enclenchés entre la Banque mondiale et le Gouvernement sur les priorités </w:t>
      </w:r>
      <w:r>
        <w:t>du secteur agricole, afin d’orienter les choix possibles pour la définition d’un nouveau programme intégré de soutien à la production agricole. Ce programme qui se veut ambitieux, s’inscrit dans une approche intégrée en cohérence avec les ambitions déclinées dans le PNDES. Les domaines prioritaires d’interventions du programme sont les aménagements hydroagricoles, le soutien à la production, l’entreprenariat agricole et le désenclavement des grandes zones de production.</w:t>
      </w:r>
    </w:p>
    <w:p>
      <w:pPr>
        <w:pStyle w:val="style0"/>
        <w:rPr/>
      </w:pPr>
      <w:r>
        <w:t>Au Burkina Faso et particulièrement dans le domaine</w:t>
      </w:r>
      <w:r>
        <w:t xml:space="preserve"> agricole, les maladies et ravageurs des cultures et plantations causent des dégâts considérables pouvant engendrer dans certains cas, des pertes en production s’élevant à plus de 30%. </w:t>
      </w:r>
      <w:r>
        <w:rPr>
          <w:rFonts w:cs="Arial"/>
        </w:rPr>
        <w:t xml:space="preserve">De plus, l’agriculture intensive et sous irrigation entraîne à coup sûr la recrudescence des ennemis des cultures mais également les vecteurs de maladies humaines notamment l’anophèle. </w:t>
      </w:r>
      <w:r>
        <w:t>La lutte phytosanitaire est utilisée pour endiguer ces ennemis de cultures</w:t>
      </w:r>
      <w:r>
        <w:t>,</w:t>
      </w:r>
      <w:r>
        <w:t xml:space="preserve"> en particulier ceux des cultures intensives.</w:t>
      </w:r>
      <w:r>
        <w:t xml:space="preserve"> </w:t>
      </w:r>
      <w:r>
        <w:t>Cependant, les pesticides représentent de réels dangers liés à leur toxicité pour les utilisateurs en milieu agricole et les professionnels de l’industrie phytosanitaire (</w:t>
      </w:r>
      <w:r>
        <w:rPr>
          <w:noProof/>
        </w:rPr>
        <w:t xml:space="preserve">Toé </w:t>
      </w:r>
      <w:r>
        <w:rPr>
          <w:i/>
          <w:iCs/>
          <w:noProof/>
        </w:rPr>
        <w:t>et al</w:t>
      </w:r>
      <w:r>
        <w:rPr>
          <w:noProof/>
        </w:rPr>
        <w:t>., 2002 ;</w:t>
      </w:r>
      <w:r>
        <w:rPr>
          <w:caps/>
        </w:rPr>
        <w:t xml:space="preserve"> f</w:t>
      </w:r>
      <w:r>
        <w:t xml:space="preserve">ournier et </w:t>
      </w:r>
      <w:r>
        <w:rPr>
          <w:caps/>
        </w:rPr>
        <w:t>b</w:t>
      </w:r>
      <w:r>
        <w:t>onderef, 1983 ;</w:t>
      </w:r>
      <w:r>
        <w:rPr>
          <w:caps/>
        </w:rPr>
        <w:t xml:space="preserve"> r</w:t>
      </w:r>
      <w:r>
        <w:t>amade, 1992</w:t>
      </w:r>
      <w:r>
        <w:rPr>
          <w:noProof/>
        </w:rPr>
        <w:t xml:space="preserve">). </w:t>
      </w:r>
      <w:r>
        <w:t>Ainsi, c</w:t>
      </w:r>
      <w:r>
        <w:t>ette utilisation des pesticides dans le cadre du contrôle des insectes</w:t>
      </w:r>
      <w:r>
        <w:t xml:space="preserve"> ravageurs et vecteurs de maladies </w:t>
      </w:r>
      <w:r>
        <w:t xml:space="preserve">ou des mauvaises herbes peut causer dépendamment de leur nature ou leur mode d’utilisation, des dommages sociaux, sanitaires et environnementaux pouvant différer l’atteinte des objectifs du </w:t>
      </w:r>
      <w:r>
        <w:t>programme</w:t>
      </w:r>
      <w:r>
        <w:t xml:space="preserve">. </w:t>
      </w:r>
      <w:r>
        <w:t xml:space="preserve">C’est donc dans le but </w:t>
      </w:r>
      <w:r>
        <w:t>d’encadrer l’utilisation éventuelle des pesticides dans le cadre du présent programme, qu’il s’est avéré nécessaire</w:t>
      </w:r>
      <w:r>
        <w:t xml:space="preserve"> de disposer d’un plan de gestion de ces produits, et ce en conformité avec la règlementation nationale et la </w:t>
      </w:r>
      <w:r>
        <w:t xml:space="preserve">Politique </w:t>
      </w:r>
      <w:r>
        <w:t>Opérationnelle</w:t>
      </w:r>
      <w:r>
        <w:rPr>
          <w:b/>
        </w:rPr>
        <w:t xml:space="preserve"> </w:t>
      </w:r>
      <w:r>
        <w:rPr>
          <w:b/>
        </w:rPr>
        <w:t>(</w:t>
      </w:r>
      <w:r>
        <w:rPr>
          <w:b/>
        </w:rPr>
        <w:t>P</w:t>
      </w:r>
      <w:r>
        <w:rPr>
          <w:b/>
        </w:rPr>
        <w:t>O</w:t>
      </w:r>
      <w:r>
        <w:rPr>
          <w:b/>
        </w:rPr>
        <w:t>/</w:t>
      </w:r>
      <w:r>
        <w:rPr>
          <w:b/>
        </w:rPr>
        <w:t>P</w:t>
      </w:r>
      <w:r>
        <w:rPr>
          <w:b/>
        </w:rPr>
        <w:t>B</w:t>
      </w:r>
      <w:r>
        <w:rPr>
          <w:b/>
        </w:rPr>
        <w:t>)</w:t>
      </w:r>
      <w:r>
        <w:rPr>
          <w:b/>
        </w:rPr>
        <w:t xml:space="preserve"> 4.09 sur la gestion des pest</w:t>
      </w:r>
      <w:r>
        <w:rPr>
          <w:b/>
        </w:rPr>
        <w:t>es</w:t>
      </w:r>
      <w:r>
        <w:t xml:space="preserve"> de la B</w:t>
      </w:r>
      <w:r>
        <w:t>anque mondiale</w:t>
      </w:r>
      <w:r>
        <w:t>, partenaire dans la mise en œuvre des activités du P</w:t>
      </w:r>
      <w:r>
        <w:t>DCA</w:t>
      </w:r>
      <w:r>
        <w:t xml:space="preserve">. </w:t>
      </w:r>
    </w:p>
    <w:p>
      <w:pPr>
        <w:pStyle w:val="style0"/>
        <w:rPr>
          <w:color w:val="000000"/>
        </w:rPr>
      </w:pPr>
      <w:r>
        <w:t>D</w:t>
      </w:r>
      <w:r>
        <w:t xml:space="preserve">ans les projets du secteur agricole qu’elle finance, la Banque mondiale soutient la promotion du contrôle des ravageurs via les approches de gestion intégrée comme le contrôle biologique, les pratiques culturales et le développement et l’utilisation de variétés résistantes ou tolérantes aux ravageurs. Ainsi, pour se conformer aux exigences de la règlementation nationale en matière de gestion des pestes et des pesticides, le présent </w:t>
      </w:r>
      <w:r>
        <w:rPr>
          <w:color w:val="000000"/>
        </w:rPr>
        <w:t>PGP</w:t>
      </w:r>
      <w:r>
        <w:rPr>
          <w:color w:val="000000"/>
        </w:rPr>
        <w:t xml:space="preserve">, </w:t>
      </w:r>
      <w:r>
        <w:t>commandité et réalisé en 201</w:t>
      </w:r>
      <w:r>
        <w:t>9</w:t>
      </w:r>
      <w:r>
        <w:t xml:space="preserve">, </w:t>
      </w:r>
      <w:r>
        <w:rPr>
          <w:color w:val="000000"/>
        </w:rPr>
        <w:t xml:space="preserve">précise les mesures à prendre lors de la mise en œuvre des activités du programme afin d’éviter ou de minimiser les </w:t>
      </w:r>
      <w:r>
        <w:rPr>
          <w:color w:val="000000"/>
        </w:rPr>
        <w:t>impacts</w:t>
      </w:r>
      <w:r>
        <w:rPr>
          <w:color w:val="000000"/>
        </w:rPr>
        <w:t xml:space="preserve"> </w:t>
      </w:r>
      <w:r>
        <w:rPr>
          <w:color w:val="000000"/>
        </w:rPr>
        <w:t xml:space="preserve">négatifs des pestes et </w:t>
      </w:r>
      <w:r>
        <w:rPr>
          <w:color w:val="000000"/>
        </w:rPr>
        <w:t>d’utilisation des pesticides sur la santé humaine, animale et environnementale et de proposer les actions nécessaires pour la mise en œuvre desdites mesures.</w:t>
      </w:r>
    </w:p>
    <w:bookmarkStart w:id="83" w:name="_Toc2831175"/>
    <w:p>
      <w:pPr>
        <w:pStyle w:val="style2"/>
        <w:numPr>
          <w:ilvl w:val="1"/>
          <w:numId w:val="42"/>
        </w:numPr>
        <w:rPr/>
      </w:pPr>
      <w:r>
        <w:t>Objectif du Plan de Gestion des Pestes (PGP)</w:t>
      </w:r>
      <w:bookmarkEnd w:id="83"/>
    </w:p>
    <w:p>
      <w:pPr>
        <w:pStyle w:val="style0"/>
        <w:rPr/>
      </w:pPr>
      <w:r>
        <w:t>L’objectif général de l’étude est d’élaborer un Plan de Gestion des Pestes en vue de prévenir ou d’atténuer les impacts de l’utilisation des pesticides sur l’environnement humain et de proposer un cadre de lutte antiparasitaire et de gestion des pestes, des pesticides et de leurs résidus.</w:t>
      </w:r>
    </w:p>
    <w:p>
      <w:pPr>
        <w:pStyle w:val="style0"/>
        <w:rPr/>
      </w:pPr>
      <w:r>
        <w:t>De façon spécifique, il s’</w:t>
      </w:r>
      <w:r>
        <w:t>agit</w:t>
      </w:r>
      <w:r>
        <w:t> de :</w:t>
      </w:r>
    </w:p>
    <w:p>
      <w:pPr>
        <w:pStyle w:val="style0"/>
        <w:numPr>
          <w:ilvl w:val="0"/>
          <w:numId w:val="60"/>
        </w:numPr>
        <w:spacing w:before="0"/>
        <w:ind w:left="714" w:hanging="357"/>
        <w:rPr/>
      </w:pPr>
      <w:r>
        <w:t>identifier l’ensemble des risques potentiels sur le plan environnemental, social et sanitaire au regard des interventions envisagées dans le cadre de la mise en œuvre du Programme et relatifs à l’usage des produits phytopharmaceutiques ;</w:t>
      </w:r>
    </w:p>
    <w:p>
      <w:pPr>
        <w:pStyle w:val="style0"/>
        <w:numPr>
          <w:ilvl w:val="0"/>
          <w:numId w:val="60"/>
        </w:numPr>
        <w:spacing w:before="0"/>
        <w:ind w:left="714" w:hanging="357"/>
        <w:rPr/>
      </w:pPr>
      <w:r>
        <w:t xml:space="preserve">proposer un plan d'action pour la gestion des pestes et pesticides et autres produits phytopharmaceutiques; </w:t>
      </w:r>
    </w:p>
    <w:p>
      <w:pPr>
        <w:pStyle w:val="style0"/>
        <w:numPr>
          <w:ilvl w:val="0"/>
          <w:numId w:val="60"/>
        </w:numPr>
        <w:spacing w:before="0"/>
        <w:ind w:left="714" w:hanging="357"/>
        <w:rPr/>
      </w:pPr>
      <w:r>
        <w:t>définir les dispositions institutionnelles de suivi et de surveillance à prendre avant, pendant et après la mise en œuvre des activités de production et la réalisation des activités pour supprimer ou atténuer les impacts environnementaux et sociaux.</w:t>
      </w:r>
    </w:p>
    <w:bookmarkStart w:id="84" w:name="_Toc2831176"/>
    <w:p>
      <w:pPr>
        <w:pStyle w:val="style2"/>
        <w:numPr>
          <w:ilvl w:val="1"/>
          <w:numId w:val="42"/>
        </w:numPr>
        <w:rPr/>
      </w:pPr>
      <w:r>
        <w:t>Méthodologie de l’élaboration du PGP</w:t>
      </w:r>
      <w:bookmarkEnd w:id="84"/>
    </w:p>
    <w:p>
      <w:pPr>
        <w:pStyle w:val="style0"/>
        <w:rPr/>
      </w:pPr>
      <w:r>
        <w:t>L</w:t>
      </w:r>
      <w:r>
        <w:t>’élaboration du PGP</w:t>
      </w:r>
      <w:r>
        <w:t xml:space="preserve"> a été conduite conformément aux termes de référence (TDR) de l’étude qui exposent les grandes lignes du travail, détaillent le rapport à présenter, définissent les différentes considérations d’ordre administratif, et donnent des précisions sur la manière de présenter les mesures d’atténuations. La méthodologie adoptée comprend les phases suivantes :</w:t>
      </w:r>
    </w:p>
    <w:p>
      <w:pPr>
        <w:pStyle w:val="style179"/>
        <w:numPr>
          <w:ilvl w:val="0"/>
          <w:numId w:val="66"/>
        </w:numPr>
        <w:spacing w:lineRule="auto" w:line="276"/>
        <w:rPr>
          <w:b/>
          <w:sz w:val="23"/>
          <w:szCs w:val="23"/>
        </w:rPr>
      </w:pPr>
      <w:r>
        <w:rPr>
          <w:b/>
          <w:sz w:val="23"/>
          <w:szCs w:val="23"/>
        </w:rPr>
        <w:t>Phase préparatoire et de recherche documentaire</w:t>
      </w:r>
    </w:p>
    <w:p>
      <w:pPr>
        <w:pStyle w:val="style0"/>
        <w:rPr/>
      </w:pPr>
      <w:r>
        <w:t xml:space="preserve">Elle a consisté à collecter des informations par recherche documentaire et par entretien avec les acteurs et parties prenantes. La rencontre de cadrage s’est tenue le </w:t>
      </w:r>
      <w:r>
        <w:t>4</w:t>
      </w:r>
      <w:r>
        <w:t xml:space="preserve"> </w:t>
      </w:r>
      <w:r>
        <w:t xml:space="preserve">janvier 2019 </w:t>
      </w:r>
      <w:r>
        <w:t xml:space="preserve">à la </w:t>
      </w:r>
      <w:r>
        <w:rPr>
          <w:bCs/>
          <w:iCs/>
          <w:sz w:val="22"/>
          <w:szCs w:val="22"/>
        </w:rPr>
        <w:t xml:space="preserve">Direction générale des aménagements hydro-agricoles et du développement de l'irrigation </w:t>
      </w:r>
      <w:r>
        <w:rPr>
          <w:bCs/>
          <w:iCs/>
          <w:sz w:val="22"/>
          <w:szCs w:val="22"/>
        </w:rPr>
        <w:t>(DGAHDI)</w:t>
      </w:r>
      <w:r>
        <w:rPr>
          <w:bCs/>
          <w:iCs/>
          <w:sz w:val="22"/>
          <w:szCs w:val="22"/>
        </w:rPr>
        <w:t xml:space="preserve"> </w:t>
      </w:r>
      <w:r>
        <w:t>sous la supervision de l’unité de coordination du pro</w:t>
      </w:r>
      <w:r>
        <w:t>gramme</w:t>
      </w:r>
      <w:r>
        <w:t xml:space="preserve">. </w:t>
      </w:r>
      <w:r>
        <w:t xml:space="preserve">Cette rencontre a permis d’arrêter de commun accord, le planning des visites de terrains. Elle a aussi défini l’approche pour les visites de terrain, avec introduction auprès des structures parties prenantes. </w:t>
      </w:r>
    </w:p>
    <w:bookmarkStart w:id="85" w:name="_Toc326593508"/>
    <w:bookmarkStart w:id="86" w:name="_Toc329180886"/>
    <w:bookmarkStart w:id="87" w:name="_Toc329330911"/>
    <w:bookmarkStart w:id="88" w:name="_Toc329702609"/>
    <w:bookmarkStart w:id="89" w:name="_Toc381371784"/>
    <w:p>
      <w:pPr>
        <w:pStyle w:val="style179"/>
        <w:numPr>
          <w:ilvl w:val="0"/>
          <w:numId w:val="66"/>
        </w:numPr>
        <w:spacing w:lineRule="auto" w:line="276"/>
        <w:rPr>
          <w:b/>
          <w:sz w:val="23"/>
          <w:szCs w:val="23"/>
        </w:rPr>
      </w:pPr>
      <w:r>
        <w:rPr>
          <w:b/>
          <w:sz w:val="23"/>
          <w:szCs w:val="23"/>
        </w:rPr>
        <w:t>Phase de travaux de terrain</w:t>
      </w:r>
      <w:bookmarkEnd w:id="85"/>
      <w:bookmarkEnd w:id="86"/>
      <w:bookmarkEnd w:id="87"/>
      <w:bookmarkEnd w:id="88"/>
      <w:bookmarkEnd w:id="89"/>
    </w:p>
    <w:p>
      <w:pPr>
        <w:pStyle w:val="style0"/>
        <w:rPr>
          <w:sz w:val="23"/>
          <w:szCs w:val="23"/>
        </w:rPr>
      </w:pPr>
      <w:r>
        <w:t>Comme défini lors de la rencontre de cadrage, et afin de confirmer les informations recueillies lors des entretiens à Ouagadougou et dans la bibliographie, il s’est agi de rencontrer les acteurs de terrain ainsi que certains bénéficiaires potentiels du P</w:t>
      </w:r>
      <w:r>
        <w:t>DCA</w:t>
      </w:r>
      <w:r>
        <w:t>. Ainsi, la mission s’est rendue respectivement</w:t>
      </w:r>
      <w:r>
        <w:t xml:space="preserve"> dans les zones des aménagements hydro agricoles de </w:t>
      </w:r>
      <w:r>
        <w:t>Niofila-</w:t>
      </w:r>
      <w:r>
        <w:t xml:space="preserve">Douna (région des Cascades), </w:t>
      </w:r>
      <w:r>
        <w:t>de Banzon (région des Hauts Bassins)</w:t>
      </w:r>
      <w:r>
        <w:t xml:space="preserve">, </w:t>
      </w:r>
      <w:r>
        <w:t>de Bissan et Dangoumana (région de la Boucle du Mouhoun)</w:t>
      </w:r>
      <w:r>
        <w:t xml:space="preserve"> et de Toécé-Dourou (région du Nord)</w:t>
      </w:r>
      <w:r>
        <w:t xml:space="preserve">. </w:t>
      </w:r>
      <w:r>
        <w:rPr>
          <w:sz w:val="23"/>
          <w:szCs w:val="23"/>
        </w:rPr>
        <w:t>L</w:t>
      </w:r>
      <w:r>
        <w:rPr>
          <w:sz w:val="23"/>
          <w:szCs w:val="23"/>
        </w:rPr>
        <w:t>es entretiens, aussi bien à Ouagadougou que dans les régions ont ainsi permis d’avoir l’avis des services techniques et des bénéficiaires, ainsi que leur consentement et leur collaboration.</w:t>
      </w:r>
    </w:p>
    <w:p>
      <w:pPr>
        <w:pStyle w:val="style179"/>
        <w:numPr>
          <w:ilvl w:val="0"/>
          <w:numId w:val="66"/>
        </w:numPr>
        <w:spacing w:lineRule="auto" w:line="276"/>
        <w:rPr>
          <w:b/>
          <w:sz w:val="23"/>
          <w:szCs w:val="23"/>
        </w:rPr>
      </w:pPr>
      <w:r>
        <w:rPr>
          <w:b/>
          <w:sz w:val="23"/>
          <w:szCs w:val="23"/>
        </w:rPr>
        <w:t>Elaboration du plan de gestion des pestes et d’utilisation des pesticides</w:t>
      </w:r>
    </w:p>
    <w:p>
      <w:pPr>
        <w:pStyle w:val="style0"/>
        <w:rPr/>
      </w:pPr>
      <w:r>
        <w:t xml:space="preserve">L’élaboration </w:t>
      </w:r>
      <w:r>
        <w:t xml:space="preserve">du PGP a consisté </w:t>
      </w:r>
      <w:r>
        <w:rPr>
          <w:lang w:eastAsia="fr-FR"/>
        </w:rPr>
        <w:t>à élucider les principaux aspects suivants</w:t>
      </w:r>
      <w:r>
        <w:rPr>
          <w:lang w:eastAsia="fr-FR"/>
        </w:rPr>
        <w:t> :</w:t>
      </w:r>
      <w:r>
        <w:t xml:space="preserve"> </w:t>
      </w:r>
    </w:p>
    <w:p>
      <w:pPr>
        <w:pStyle w:val="style0"/>
        <w:numPr>
          <w:ilvl w:val="0"/>
          <w:numId w:val="2"/>
        </w:numPr>
        <w:rPr>
          <w:lang w:eastAsia="fr-FR"/>
        </w:rPr>
      </w:pPr>
      <w:r>
        <w:rPr>
          <w:lang w:eastAsia="fr-FR"/>
        </w:rPr>
        <w:t>les approches de gestion des pestes et des pesticides dans la culture de l'anacarde et des activités de post-récolte et de stockage (identification des pestes principales) ;</w:t>
      </w:r>
    </w:p>
    <w:p>
      <w:pPr>
        <w:pStyle w:val="style0"/>
        <w:numPr>
          <w:ilvl w:val="0"/>
          <w:numId w:val="2"/>
        </w:numPr>
        <w:rPr>
          <w:lang w:eastAsia="fr-FR"/>
        </w:rPr>
      </w:pPr>
      <w:r>
        <w:rPr>
          <w:lang w:eastAsia="fr-FR"/>
        </w:rPr>
        <w:t>la gestion et l’usage des pesticides ;</w:t>
      </w:r>
    </w:p>
    <w:p>
      <w:pPr>
        <w:pStyle w:val="style0"/>
        <w:numPr>
          <w:ilvl w:val="0"/>
          <w:numId w:val="2"/>
        </w:numPr>
        <w:rPr>
          <w:lang w:eastAsia="fr-FR"/>
        </w:rPr>
      </w:pPr>
      <w:r>
        <w:rPr>
          <w:lang w:eastAsia="fr-FR"/>
        </w:rPr>
        <w:t>le cadre réglementaire, politique et les capacités institutionnelles,</w:t>
      </w:r>
    </w:p>
    <w:p>
      <w:pPr>
        <w:pStyle w:val="style0"/>
        <w:numPr>
          <w:ilvl w:val="0"/>
          <w:numId w:val="2"/>
        </w:numPr>
        <w:rPr>
          <w:lang w:eastAsia="fr-FR"/>
        </w:rPr>
      </w:pPr>
      <w:r>
        <w:rPr>
          <w:lang w:eastAsia="fr-FR"/>
        </w:rPr>
        <w:t>le suivi et évaluation,</w:t>
      </w:r>
    </w:p>
    <w:p>
      <w:pPr>
        <w:pStyle w:val="style0"/>
        <w:numPr>
          <w:ilvl w:val="0"/>
          <w:numId w:val="2"/>
        </w:numPr>
        <w:rPr>
          <w:lang w:eastAsia="fr-FR"/>
        </w:rPr>
      </w:pPr>
      <w:r>
        <w:rPr>
          <w:lang w:eastAsia="fr-FR"/>
        </w:rPr>
        <w:t>le programme de renforcement des capacités (PDRC) ;</w:t>
      </w:r>
    </w:p>
    <w:p>
      <w:pPr>
        <w:pStyle w:val="style0"/>
        <w:numPr>
          <w:ilvl w:val="0"/>
          <w:numId w:val="2"/>
        </w:numPr>
        <w:rPr>
          <w:lang w:eastAsia="fr-FR"/>
        </w:rPr>
      </w:pPr>
      <w:r>
        <w:rPr>
          <w:lang w:eastAsia="fr-FR"/>
        </w:rPr>
        <w:t>le Plan de réponses aux crises et situations d’urgence (PRCSU) ;</w:t>
      </w:r>
    </w:p>
    <w:p>
      <w:pPr>
        <w:pStyle w:val="style0"/>
        <w:numPr>
          <w:ilvl w:val="0"/>
          <w:numId w:val="2"/>
        </w:numPr>
        <w:rPr/>
      </w:pPr>
      <w:r>
        <w:rPr>
          <w:lang w:eastAsia="fr-FR"/>
        </w:rPr>
        <w:t>le coût du PGP</w:t>
      </w:r>
    </w:p>
    <w:bookmarkStart w:id="90" w:name="_Toc2831177"/>
    <w:p>
      <w:pPr>
        <w:pStyle w:val="style2"/>
        <w:numPr>
          <w:ilvl w:val="1"/>
          <w:numId w:val="42"/>
        </w:numPr>
        <w:rPr/>
      </w:pPr>
      <w:r>
        <w:t>Résultat</w:t>
      </w:r>
      <w:r>
        <w:t xml:space="preserve"> </w:t>
      </w:r>
      <w:r>
        <w:t>attendu</w:t>
      </w:r>
      <w:bookmarkEnd w:id="90"/>
    </w:p>
    <w:p>
      <w:pPr>
        <w:pStyle w:val="style0"/>
        <w:rPr>
          <w:rFonts w:eastAsia="Arial Unicode MS"/>
          <w:sz w:val="23"/>
          <w:szCs w:val="23"/>
        </w:rPr>
      </w:pPr>
      <w:r>
        <w:rPr>
          <w:rFonts w:eastAsia="Arial Unicode MS"/>
          <w:sz w:val="23"/>
          <w:szCs w:val="23"/>
        </w:rPr>
        <w:t xml:space="preserve">Le résultat attendu est un </w:t>
      </w:r>
      <w:r>
        <w:t xml:space="preserve">Plan de Gestion des Pestes (PGP) répondant aux normes de forme et de fond prescrites par la règlementation Burkinabè en la matière et aux politiques opérationnelles de la Banque mondiale notamment, la PO 4.09 (Gestion des pestes). Ce document </w:t>
      </w:r>
      <w:r>
        <w:t>s’articule autour</w:t>
      </w:r>
      <w:r>
        <w:t xml:space="preserve"> </w:t>
      </w:r>
      <w:r>
        <w:t>d</w:t>
      </w:r>
      <w:r>
        <w:t xml:space="preserve">es </w:t>
      </w:r>
      <w:r>
        <w:t>aspects suivants</w:t>
      </w:r>
      <w:r>
        <w:t> </w:t>
      </w:r>
      <w:r>
        <w:rPr>
          <w:rFonts w:eastAsia="Arial Unicode MS"/>
          <w:sz w:val="23"/>
          <w:szCs w:val="23"/>
        </w:rPr>
        <w:t>:</w:t>
      </w:r>
    </w:p>
    <w:p>
      <w:pPr>
        <w:pStyle w:val="style0"/>
        <w:numPr>
          <w:ilvl w:val="0"/>
          <w:numId w:val="90"/>
        </w:numPr>
        <w:rPr/>
      </w:pPr>
      <w:r>
        <w:t>la description du programme et de l’environnement initial de la zone du Programme est pré-caractérisée. Cette caractérisation doit comporter les informations de base sur la lutte anti vectorielle et de gestion des produits phytopharmaceutiques ;</w:t>
      </w:r>
    </w:p>
    <w:p>
      <w:pPr>
        <w:pStyle w:val="style0"/>
        <w:numPr>
          <w:ilvl w:val="0"/>
          <w:numId w:val="90"/>
        </w:numPr>
        <w:rPr/>
      </w:pPr>
      <w:r>
        <w:t xml:space="preserve">le cadre politique, légal et institutionnel de lutte antiparasitaire est analysé au regard de la législation nationale et </w:t>
      </w:r>
      <w:r>
        <w:t>de la PO4.09</w:t>
      </w:r>
      <w:r>
        <w:t xml:space="preserve"> de la Banque mondiale ; </w:t>
      </w:r>
    </w:p>
    <w:p>
      <w:pPr>
        <w:pStyle w:val="style0"/>
        <w:numPr>
          <w:ilvl w:val="0"/>
          <w:numId w:val="90"/>
        </w:numPr>
        <w:rPr/>
      </w:pPr>
      <w:r>
        <w:t>les risques liés à la mauvaise gestion des pesticides et produits phytopharmaceutiques sont analysés dans la zone d’intervention du programme ;</w:t>
      </w:r>
    </w:p>
    <w:p>
      <w:pPr>
        <w:pStyle w:val="style0"/>
        <w:numPr>
          <w:ilvl w:val="0"/>
          <w:numId w:val="90"/>
        </w:numPr>
        <w:rPr/>
      </w:pPr>
      <w:r>
        <w:t>les pratiques et techniques d’agriculture durable, lutte biologique et/ou autres méthodes alternatives à l’usage des pesticides de synthèse, et connues dans la zone ou au Burkina Faso, sont identifiés et analysés ;</w:t>
      </w:r>
    </w:p>
    <w:p>
      <w:pPr>
        <w:pStyle w:val="style0"/>
        <w:numPr>
          <w:ilvl w:val="0"/>
          <w:numId w:val="90"/>
        </w:numPr>
        <w:rPr/>
      </w:pPr>
      <w:r>
        <w:t>le Plan de gestion des pestes et des produits phytopharmaceutiques est élaboré, et les mesures correspondantes sont identifiées et budgétisées.</w:t>
      </w:r>
    </w:p>
    <w:p>
      <w:pPr>
        <w:pStyle w:val="style0"/>
        <w:ind w:left="720"/>
        <w:rPr/>
      </w:pPr>
    </w:p>
    <w:bookmarkStart w:id="91" w:name="_Toc2831178"/>
    <w:p>
      <w:pPr>
        <w:pStyle w:val="style2"/>
        <w:numPr>
          <w:ilvl w:val="1"/>
          <w:numId w:val="42"/>
        </w:numPr>
        <w:rPr/>
      </w:pPr>
      <w:r>
        <w:t>Structuration</w:t>
      </w:r>
      <w:r>
        <w:t xml:space="preserve"> </w:t>
      </w:r>
      <w:r>
        <w:rPr>
          <w:lang w:val="fr-FR"/>
        </w:rPr>
        <w:t>du</w:t>
      </w:r>
      <w:r>
        <w:rPr>
          <w:lang w:val="fr-FR"/>
        </w:rPr>
        <w:t xml:space="preserve"> PGP</w:t>
      </w:r>
      <w:bookmarkEnd w:id="91"/>
    </w:p>
    <w:p>
      <w:pPr>
        <w:pStyle w:val="style0"/>
        <w:rPr>
          <w:i/>
          <w:sz w:val="28"/>
        </w:rPr>
      </w:pPr>
      <w:r>
        <w:rPr>
          <w:rStyle w:val="style88"/>
          <w:b w:val="false"/>
          <w:szCs w:val="23"/>
        </w:rPr>
        <w:t xml:space="preserve">Conformément aux TDRs, le rapport du PGPP </w:t>
      </w:r>
      <w:r>
        <w:rPr>
          <w:rStyle w:val="style88"/>
          <w:b w:val="false"/>
          <w:szCs w:val="23"/>
        </w:rPr>
        <w:t>s’articule autour des</w:t>
      </w:r>
      <w:r>
        <w:rPr>
          <w:rStyle w:val="style88"/>
          <w:b w:val="false"/>
          <w:szCs w:val="23"/>
        </w:rPr>
        <w:t xml:space="preserve"> </w:t>
      </w:r>
      <w:r>
        <w:rPr>
          <w:rStyle w:val="style88"/>
          <w:b w:val="false"/>
          <w:szCs w:val="23"/>
        </w:rPr>
        <w:t xml:space="preserve"> points suivants : </w:t>
      </w:r>
    </w:p>
    <w:p>
      <w:pPr>
        <w:pStyle w:val="style0"/>
        <w:rPr>
          <w:rFonts w:cs="Arial"/>
          <w:b/>
          <w:color w:val="222222"/>
        </w:rPr>
      </w:pPr>
      <w:r>
        <w:rPr>
          <w:rFonts w:cs="Arial"/>
          <w:b/>
          <w:color w:val="222222"/>
        </w:rPr>
        <w:t>A. Introduction</w:t>
      </w:r>
    </w:p>
    <w:p>
      <w:pPr>
        <w:pStyle w:val="style179"/>
        <w:numPr>
          <w:ilvl w:val="0"/>
          <w:numId w:val="35"/>
        </w:numPr>
        <w:ind w:left="360"/>
        <w:contextualSpacing/>
        <w:rPr>
          <w:rFonts w:cs="Arial"/>
          <w:color w:val="222222"/>
        </w:rPr>
      </w:pPr>
      <w:r>
        <w:rPr>
          <w:rFonts w:cs="Arial"/>
          <w:color w:val="222222"/>
        </w:rPr>
        <w:t>Contexte du projet et de la préparation du PGP</w:t>
      </w:r>
    </w:p>
    <w:p>
      <w:pPr>
        <w:pStyle w:val="style179"/>
        <w:numPr>
          <w:ilvl w:val="0"/>
          <w:numId w:val="35"/>
        </w:numPr>
        <w:ind w:left="360"/>
        <w:contextualSpacing/>
        <w:rPr>
          <w:rFonts w:cs="Arial"/>
          <w:color w:val="222222"/>
        </w:rPr>
      </w:pPr>
      <w:r>
        <w:rPr>
          <w:rFonts w:cs="Arial"/>
          <w:color w:val="222222"/>
        </w:rPr>
        <w:t>Conséquences environnementales et sociales des pratiques de lutte antiparasitaire</w:t>
      </w:r>
    </w:p>
    <w:p>
      <w:pPr>
        <w:pStyle w:val="style179"/>
        <w:numPr>
          <w:ilvl w:val="0"/>
          <w:numId w:val="35"/>
        </w:numPr>
        <w:ind w:left="360"/>
        <w:contextualSpacing/>
        <w:rPr>
          <w:rFonts w:cs="Arial"/>
          <w:color w:val="222222"/>
        </w:rPr>
      </w:pPr>
      <w:r>
        <w:rPr>
          <w:rFonts w:cs="Arial"/>
          <w:color w:val="222222"/>
        </w:rPr>
        <w:t>Incidences potentielles de la gestion des parasites et des pesticides sur les activités du projet</w:t>
      </w:r>
    </w:p>
    <w:p>
      <w:pPr>
        <w:pStyle w:val="style0"/>
        <w:rPr>
          <w:rFonts w:cs="Arial"/>
          <w:b/>
          <w:color w:val="222222"/>
        </w:rPr>
      </w:pPr>
      <w:r>
        <w:rPr>
          <w:rFonts w:cs="Arial"/>
          <w:b/>
          <w:color w:val="222222"/>
        </w:rPr>
        <w:t>B. Description du Pro</w:t>
      </w:r>
      <w:r>
        <w:rPr>
          <w:rFonts w:cs="Arial"/>
          <w:b/>
          <w:color w:val="222222"/>
        </w:rPr>
        <w:t xml:space="preserve">gramme </w:t>
      </w:r>
    </w:p>
    <w:p>
      <w:pPr>
        <w:pStyle w:val="style179"/>
        <w:numPr>
          <w:ilvl w:val="0"/>
          <w:numId w:val="92"/>
        </w:numPr>
        <w:ind w:left="360"/>
        <w:contextualSpacing/>
        <w:rPr>
          <w:rFonts w:cs="Arial"/>
          <w:color w:val="222222"/>
        </w:rPr>
      </w:pPr>
      <w:r>
        <w:rPr>
          <w:rFonts w:cs="Arial"/>
          <w:color w:val="222222"/>
        </w:rPr>
        <w:t>Objectifs, composantes, activités et résultats attendus</w:t>
      </w:r>
    </w:p>
    <w:p>
      <w:pPr>
        <w:pStyle w:val="style179"/>
        <w:numPr>
          <w:ilvl w:val="0"/>
          <w:numId w:val="92"/>
        </w:numPr>
        <w:ind w:left="360"/>
        <w:contextualSpacing/>
        <w:rPr>
          <w:rFonts w:cs="Arial"/>
          <w:color w:val="222222"/>
        </w:rPr>
      </w:pPr>
      <w:r>
        <w:rPr>
          <w:rFonts w:cs="Arial"/>
          <w:color w:val="222222"/>
        </w:rPr>
        <w:t>Objectifs et Activités spécifiques induisant la gestion intégrée des pestes</w:t>
      </w:r>
    </w:p>
    <w:p>
      <w:pPr>
        <w:pStyle w:val="style0"/>
        <w:rPr>
          <w:rFonts w:cs="Arial"/>
          <w:b/>
          <w:color w:val="222222"/>
        </w:rPr>
      </w:pPr>
      <w:r>
        <w:rPr>
          <w:rFonts w:cs="Arial"/>
          <w:b/>
          <w:color w:val="222222"/>
        </w:rPr>
        <w:t>C. Approches actuelles de la lutte antiparasitaire dans le secteur du projet dans le pays</w:t>
      </w:r>
    </w:p>
    <w:p>
      <w:pPr>
        <w:pStyle w:val="style179"/>
        <w:numPr>
          <w:ilvl w:val="0"/>
          <w:numId w:val="78"/>
        </w:numPr>
        <w:ind w:left="360"/>
        <w:contextualSpacing/>
        <w:rPr>
          <w:rFonts w:cs="Arial"/>
          <w:color w:val="222222"/>
        </w:rPr>
      </w:pPr>
      <w:r>
        <w:rPr>
          <w:rFonts w:cs="Arial"/>
          <w:color w:val="222222"/>
        </w:rPr>
        <w:t>Aperçu des cultures cibles et des problèmes de ravageurs associés</w:t>
      </w:r>
    </w:p>
    <w:p>
      <w:pPr>
        <w:pStyle w:val="style179"/>
        <w:numPr>
          <w:ilvl w:val="0"/>
          <w:numId w:val="78"/>
        </w:numPr>
        <w:ind w:left="360"/>
        <w:contextualSpacing/>
        <w:rPr>
          <w:rFonts w:cs="Arial"/>
          <w:color w:val="222222"/>
        </w:rPr>
      </w:pPr>
      <w:r>
        <w:rPr>
          <w:rFonts w:cs="Arial"/>
          <w:color w:val="222222"/>
        </w:rPr>
        <w:t>Approches actuelles de la lutte antiparasitaire</w:t>
      </w:r>
    </w:p>
    <w:p>
      <w:pPr>
        <w:pStyle w:val="style179"/>
        <w:numPr>
          <w:ilvl w:val="0"/>
          <w:numId w:val="78"/>
        </w:numPr>
        <w:ind w:left="360"/>
        <w:contextualSpacing/>
        <w:rPr>
          <w:rFonts w:cs="Arial"/>
          <w:color w:val="222222"/>
        </w:rPr>
      </w:pPr>
      <w:r>
        <w:rPr>
          <w:rFonts w:cs="Arial"/>
          <w:color w:val="222222"/>
        </w:rPr>
        <w:t>Expérience pratiques de gestion intégrée dans le pays et dans le secteur d’activité</w:t>
      </w:r>
    </w:p>
    <w:p>
      <w:pPr>
        <w:pStyle w:val="style0"/>
        <w:rPr>
          <w:rFonts w:cs="Arial"/>
          <w:b/>
          <w:color w:val="222222"/>
        </w:rPr>
      </w:pPr>
      <w:r>
        <w:rPr>
          <w:rFonts w:cs="Arial"/>
          <w:b/>
          <w:color w:val="222222"/>
        </w:rPr>
        <w:t>D. Problématique actuelle de l’utilisation et gestion des pesticides chimiques de synthèse dans le pays et le secteur du projet</w:t>
      </w:r>
    </w:p>
    <w:p>
      <w:pPr>
        <w:pStyle w:val="style179"/>
        <w:numPr>
          <w:ilvl w:val="0"/>
          <w:numId w:val="15"/>
        </w:numPr>
        <w:ind w:left="360"/>
        <w:contextualSpacing/>
        <w:rPr>
          <w:rFonts w:cs="Arial"/>
          <w:color w:val="222222"/>
        </w:rPr>
      </w:pPr>
      <w:r>
        <w:rPr>
          <w:rFonts w:cs="Arial"/>
          <w:color w:val="222222"/>
        </w:rPr>
        <w:t>Utilisation de pesticides dans le pays (volumes, types, homologation, encadrement, etc.)</w:t>
      </w:r>
    </w:p>
    <w:p>
      <w:pPr>
        <w:pStyle w:val="style179"/>
        <w:numPr>
          <w:ilvl w:val="0"/>
          <w:numId w:val="15"/>
        </w:numPr>
        <w:ind w:left="360"/>
        <w:contextualSpacing/>
        <w:rPr>
          <w:rFonts w:cs="Arial"/>
          <w:color w:val="222222"/>
        </w:rPr>
      </w:pPr>
      <w:r>
        <w:rPr>
          <w:rFonts w:cs="Arial"/>
          <w:color w:val="222222"/>
        </w:rPr>
        <w:t>Circonstances d'utilisation des pesticides et compétence pour manipuler les produits</w:t>
      </w:r>
    </w:p>
    <w:p>
      <w:pPr>
        <w:pStyle w:val="style179"/>
        <w:numPr>
          <w:ilvl w:val="0"/>
          <w:numId w:val="15"/>
        </w:numPr>
        <w:ind w:left="360"/>
        <w:contextualSpacing/>
        <w:rPr>
          <w:rFonts w:cs="Arial"/>
          <w:color w:val="222222"/>
        </w:rPr>
      </w:pPr>
      <w:r>
        <w:rPr>
          <w:rFonts w:cs="Arial"/>
          <w:color w:val="222222"/>
        </w:rPr>
        <w:t>Évaluation des risques pour l’environnement, la santé des populations et l’économie (utiliser des incidents connus autant que possible)</w:t>
      </w:r>
    </w:p>
    <w:p>
      <w:pPr>
        <w:pStyle w:val="style179"/>
        <w:numPr>
          <w:ilvl w:val="0"/>
          <w:numId w:val="15"/>
        </w:numPr>
        <w:ind w:left="360"/>
        <w:contextualSpacing/>
        <w:rPr>
          <w:rFonts w:cs="Arial"/>
          <w:color w:val="222222"/>
        </w:rPr>
      </w:pPr>
      <w:r>
        <w:rPr>
          <w:rFonts w:cs="Arial"/>
          <w:color w:val="222222"/>
        </w:rPr>
        <w:t>Contrôle de la distribution et de l'utilisation des pesticides</w:t>
      </w:r>
    </w:p>
    <w:p>
      <w:pPr>
        <w:pStyle w:val="style179"/>
        <w:numPr>
          <w:ilvl w:val="0"/>
          <w:numId w:val="15"/>
        </w:numPr>
        <w:ind w:left="360"/>
        <w:contextualSpacing/>
        <w:rPr>
          <w:rFonts w:cs="Arial"/>
          <w:color w:val="222222"/>
        </w:rPr>
      </w:pPr>
      <w:r>
        <w:rPr>
          <w:rFonts w:cs="Arial"/>
          <w:color w:val="222222"/>
        </w:rPr>
        <w:t>Capacité de gestion/élimination des pesticides obsolètes et des emballages pollués</w:t>
      </w:r>
    </w:p>
    <w:p>
      <w:pPr>
        <w:pStyle w:val="style0"/>
        <w:rPr>
          <w:rFonts w:cs="Arial"/>
          <w:b/>
          <w:color w:val="222222"/>
        </w:rPr>
      </w:pPr>
      <w:r>
        <w:rPr>
          <w:rFonts w:cs="Arial"/>
          <w:b/>
          <w:color w:val="222222"/>
        </w:rPr>
        <w:t>E. Cadre politique, juridique et institutionnel de gestion intégrée des pestes (GIP)</w:t>
      </w:r>
    </w:p>
    <w:p>
      <w:pPr>
        <w:pStyle w:val="style179"/>
        <w:numPr>
          <w:ilvl w:val="0"/>
          <w:numId w:val="89"/>
        </w:numPr>
        <w:ind w:left="360"/>
        <w:contextualSpacing/>
        <w:rPr>
          <w:rFonts w:cs="Arial"/>
          <w:color w:val="222222"/>
        </w:rPr>
      </w:pPr>
      <w:r>
        <w:rPr>
          <w:rFonts w:cs="Arial"/>
          <w:color w:val="222222"/>
        </w:rPr>
        <w:t xml:space="preserve">Système actuel de protection des végétaux / lutte contre les vecteurs (politique, institution, etc.) </w:t>
      </w:r>
    </w:p>
    <w:p>
      <w:pPr>
        <w:pStyle w:val="style179"/>
        <w:numPr>
          <w:ilvl w:val="0"/>
          <w:numId w:val="89"/>
        </w:numPr>
        <w:ind w:left="360"/>
        <w:contextualSpacing/>
        <w:rPr>
          <w:rFonts w:cs="Arial"/>
          <w:color w:val="222222"/>
        </w:rPr>
      </w:pPr>
      <w:r>
        <w:rPr>
          <w:rFonts w:cs="Arial"/>
          <w:color w:val="222222"/>
        </w:rPr>
        <w:t>Analyse de la capacité, aux niveaux national et local, à mettre en œuvre la GIP notamment dans la zone/secteur d’intervention du projet</w:t>
      </w:r>
    </w:p>
    <w:p>
      <w:pPr>
        <w:pStyle w:val="style179"/>
        <w:numPr>
          <w:ilvl w:val="0"/>
          <w:numId w:val="89"/>
        </w:numPr>
        <w:ind w:left="360"/>
        <w:contextualSpacing/>
        <w:rPr>
          <w:rFonts w:cs="Arial"/>
          <w:color w:val="222222"/>
        </w:rPr>
      </w:pPr>
      <w:r>
        <w:rPr>
          <w:rFonts w:cs="Arial"/>
          <w:color w:val="222222"/>
        </w:rPr>
        <w:t>Promotion de la lutte antiparasitaire intégrée dans le contexte des pratiques actuelles de lutte antiparasitaire</w:t>
      </w:r>
    </w:p>
    <w:p>
      <w:pPr>
        <w:pStyle w:val="style0"/>
        <w:rPr>
          <w:rFonts w:cs="Arial"/>
          <w:b/>
          <w:color w:val="222222"/>
        </w:rPr>
      </w:pPr>
      <w:r>
        <w:rPr>
          <w:rFonts w:cs="Arial"/>
          <w:b/>
          <w:color w:val="222222"/>
        </w:rPr>
        <w:t>F. Mesures de gestion intégrée des pestes (MGIP) dans le cadre du projet</w:t>
      </w:r>
    </w:p>
    <w:p>
      <w:pPr>
        <w:pStyle w:val="style179"/>
        <w:numPr>
          <w:ilvl w:val="0"/>
          <w:numId w:val="97"/>
        </w:numPr>
        <w:ind w:left="360"/>
        <w:contextualSpacing/>
        <w:rPr>
          <w:rFonts w:cs="Arial"/>
          <w:color w:val="222222"/>
        </w:rPr>
      </w:pPr>
      <w:r>
        <w:rPr>
          <w:rFonts w:cs="Arial"/>
          <w:color w:val="222222"/>
        </w:rPr>
        <w:t>Activités pertinentes proposées pour la gestion intégrée des pestes/vecteurs (y compris le renforcement de capacités pour les acteurs directs de la mise en œuvre du projet)</w:t>
      </w:r>
    </w:p>
    <w:p>
      <w:pPr>
        <w:pStyle w:val="style179"/>
        <w:numPr>
          <w:ilvl w:val="0"/>
          <w:numId w:val="97"/>
        </w:numPr>
        <w:ind w:left="360"/>
        <w:contextualSpacing/>
        <w:rPr>
          <w:rFonts w:cs="Arial"/>
          <w:color w:val="222222"/>
        </w:rPr>
      </w:pPr>
      <w:r>
        <w:rPr>
          <w:rFonts w:cs="Arial"/>
          <w:color w:val="222222"/>
        </w:rPr>
        <w:t>Suivi, évaluation et rapportage de la mise en œuvre du Plan d’action (du MGIP)</w:t>
      </w:r>
    </w:p>
    <w:p>
      <w:pPr>
        <w:pStyle w:val="style179"/>
        <w:numPr>
          <w:ilvl w:val="0"/>
          <w:numId w:val="97"/>
        </w:numPr>
        <w:ind w:left="360"/>
        <w:contextualSpacing/>
        <w:rPr>
          <w:rFonts w:cs="Arial"/>
          <w:color w:val="222222"/>
        </w:rPr>
      </w:pPr>
      <w:r>
        <w:rPr>
          <w:rFonts w:cs="Arial"/>
          <w:color w:val="222222"/>
        </w:rPr>
        <w:t>Arrangements institutionnels (focalisés sur l’entité de mise en œuvre du projet, les services phytosanitaires ou de lutte contre les vecteurs) avec l’accent sur le niveau local (acteurs et partenaires)</w:t>
      </w:r>
    </w:p>
    <w:p>
      <w:pPr>
        <w:pStyle w:val="style179"/>
        <w:numPr>
          <w:ilvl w:val="0"/>
          <w:numId w:val="97"/>
        </w:numPr>
        <w:ind w:left="360"/>
        <w:contextualSpacing/>
        <w:rPr>
          <w:rFonts w:cs="Arial"/>
          <w:color w:val="222222"/>
        </w:rPr>
      </w:pPr>
      <w:r>
        <w:rPr>
          <w:rFonts w:cs="Arial"/>
          <w:color w:val="222222"/>
        </w:rPr>
        <w:t>Estimations de coûts de mise en œuvre</w:t>
      </w:r>
    </w:p>
    <w:p>
      <w:pPr>
        <w:pStyle w:val="style179"/>
        <w:numPr>
          <w:ilvl w:val="0"/>
          <w:numId w:val="97"/>
        </w:numPr>
        <w:ind w:left="360"/>
        <w:contextualSpacing/>
        <w:rPr>
          <w:rFonts w:cs="Arial"/>
          <w:color w:val="222222"/>
        </w:rPr>
      </w:pPr>
      <w:r>
        <w:rPr>
          <w:rFonts w:cs="Arial"/>
          <w:color w:val="222222"/>
        </w:rPr>
        <w:t>Mécanisme de gestion des plaintes (se référer au MGP du projet)</w:t>
      </w:r>
    </w:p>
    <w:p>
      <w:pPr>
        <w:pStyle w:val="style179"/>
        <w:numPr>
          <w:ilvl w:val="0"/>
          <w:numId w:val="35"/>
        </w:numPr>
        <w:ind w:left="360"/>
        <w:contextualSpacing/>
        <w:rPr/>
      </w:pPr>
      <w:r>
        <w:rPr>
          <w:rFonts w:cs="Arial"/>
          <w:color w:val="222222"/>
        </w:rPr>
        <w:t>Renforcement des capacités nationales (</w:t>
      </w:r>
      <w:r>
        <w:rPr>
          <w:rFonts w:cs="Arial"/>
          <w:color w:val="222222"/>
        </w:rPr>
        <w:t>si nécessaire</w:t>
      </w:r>
      <w:r>
        <w:rPr>
          <w:rFonts w:cs="Arial"/>
          <w:color w:val="222222"/>
        </w:rPr>
        <w:t>)</w:t>
      </w:r>
    </w:p>
    <w:p>
      <w:pPr>
        <w:pStyle w:val="style0"/>
        <w:rPr>
          <w:sz w:val="22"/>
          <w:szCs w:val="22"/>
        </w:rPr>
      </w:pPr>
      <w:r>
        <w:rPr>
          <w:rFonts w:cs="Arial"/>
          <w:b/>
          <w:color w:val="222222"/>
        </w:rPr>
        <w:t>G. Conclusion</w:t>
      </w:r>
    </w:p>
    <w:p>
      <w:pPr>
        <w:pStyle w:val="style0"/>
        <w:rPr>
          <w:sz w:val="22"/>
          <w:szCs w:val="22"/>
        </w:rPr>
      </w:pPr>
    </w:p>
    <w:bookmarkStart w:id="92" w:name="_Toc2831179"/>
    <w:p>
      <w:pPr>
        <w:pStyle w:val="style1"/>
        <w:numPr>
          <w:ilvl w:val="0"/>
          <w:numId w:val="54"/>
        </w:numPr>
        <w:suppressAutoHyphens w:val="false"/>
        <w:rPr>
          <w:caps w:val="false"/>
          <w:sz w:val="24"/>
          <w:szCs w:val="24"/>
        </w:rPr>
      </w:pPr>
      <w:r>
        <w:rPr>
          <w:caps w:val="false"/>
          <w:sz w:val="24"/>
          <w:szCs w:val="24"/>
        </w:rPr>
        <w:t>DESCRIPTION DU PROGRAMME</w:t>
      </w:r>
      <w:bookmarkEnd w:id="92"/>
      <w:r>
        <w:rPr>
          <w:caps w:val="false"/>
          <w:sz w:val="24"/>
          <w:szCs w:val="24"/>
        </w:rPr>
        <w:t xml:space="preserve"> </w:t>
      </w:r>
    </w:p>
    <w:bookmarkStart w:id="93" w:name="_Toc2831180"/>
    <w:p>
      <w:pPr>
        <w:pStyle w:val="style2"/>
        <w:numPr>
          <w:ilvl w:val="1"/>
          <w:numId w:val="58"/>
        </w:numPr>
        <w:rPr/>
      </w:pPr>
      <w:r>
        <w:t>Objectif de programme</w:t>
      </w:r>
      <w:bookmarkEnd w:id="93"/>
      <w:r>
        <w:t xml:space="preserve"> </w:t>
      </w:r>
    </w:p>
    <w:p>
      <w:pPr>
        <w:pStyle w:val="style0"/>
        <w:rPr/>
      </w:pPr>
      <w:r>
        <w:t xml:space="preserve">Le PDCA a pour </w:t>
      </w:r>
      <w:r>
        <w:t>objectif global</w:t>
      </w:r>
      <w:r>
        <w:t xml:space="preserve"> de contribuer à la transformation structurelle du secteur agricole pour booster la croissance économique, améliorer la compétitivité des filières porteuses et assurer de façon durable la sécurité alimentaire et nutritionnelle.</w:t>
      </w:r>
    </w:p>
    <w:p>
      <w:pPr>
        <w:pStyle w:val="style0"/>
        <w:rPr/>
      </w:pPr>
      <w:r>
        <w:t>L’</w:t>
      </w:r>
      <w:r>
        <w:t>objectif de développement</w:t>
      </w:r>
      <w:r>
        <w:t xml:space="preserve"> </w:t>
      </w:r>
      <w:r>
        <w:t xml:space="preserve">du programme est d’accroître la productivité agricole et l’accès au marché pour les petits producteurs et les petites et moyennes entreprises (PME) dans les chaines de valeur ciblées dans la zone d’intervention du Projet. </w:t>
      </w:r>
    </w:p>
    <w:p>
      <w:pPr>
        <w:pStyle w:val="style0"/>
        <w:rPr/>
      </w:pPr>
      <w:r>
        <w:t>Le programme couvrira quatre</w:t>
      </w:r>
      <w:r>
        <w:t xml:space="preserve"> </w:t>
      </w:r>
      <w:r>
        <w:t>(04)</w:t>
      </w:r>
      <w:r>
        <w:t xml:space="preserve"> régions ayant des fortes potentialités en terres aménageables et des retenues d’eau avec pour principales filières ciblées le riz, le maïs, la tomate, l’oignon, et l’arboriculture fruitière. </w:t>
      </w:r>
      <w:r>
        <w:t xml:space="preserve"> </w:t>
      </w:r>
    </w:p>
    <w:bookmarkStart w:id="94" w:name="_Toc2831181"/>
    <w:p>
      <w:pPr>
        <w:pStyle w:val="style2"/>
        <w:numPr>
          <w:ilvl w:val="1"/>
          <w:numId w:val="58"/>
        </w:numPr>
        <w:rPr/>
      </w:pPr>
      <w:r>
        <w:rPr>
          <w:lang w:val="en-US"/>
        </w:rPr>
        <w:t>C</w:t>
      </w:r>
      <w:r>
        <w:t>omposantes du programme</w:t>
      </w:r>
      <w:bookmarkEnd w:id="94"/>
      <w:r>
        <w:t xml:space="preserve"> </w:t>
      </w:r>
    </w:p>
    <w:p>
      <w:pPr>
        <w:pStyle w:val="style0"/>
        <w:rPr/>
      </w:pPr>
      <w:r>
        <w:t xml:space="preserve">Le Programme comprend </w:t>
      </w:r>
      <w:r>
        <w:t>quatre</w:t>
      </w:r>
      <w:r>
        <w:t xml:space="preserve"> composantes : Composante 1 - appui à l’amélioration de la productivité agricole ; Composante 2 - amélioration de l’accès au marché</w:t>
      </w:r>
      <w:r>
        <w:t> ; Composante 3</w:t>
      </w:r>
      <w:r>
        <w:t xml:space="preserve"> -</w:t>
      </w:r>
      <w:r>
        <w:t xml:space="preserve"> appui aux investissements privés et Composante </w:t>
      </w:r>
      <w:r>
        <w:t>4</w:t>
      </w:r>
      <w:r>
        <w:t> - prévention et gestion des crises et coordination du Programme.</w:t>
      </w:r>
    </w:p>
    <w:p>
      <w:pPr>
        <w:pStyle w:val="style0"/>
        <w:rPr/>
      </w:pPr>
    </w:p>
    <w:bookmarkStart w:id="95" w:name="_Toc528323533"/>
    <w:bookmarkStart w:id="96" w:name="_Toc536487465"/>
    <w:bookmarkStart w:id="97" w:name="_Toc441187"/>
    <w:bookmarkStart w:id="98" w:name="_Toc2831182"/>
    <w:p>
      <w:pPr>
        <w:pStyle w:val="style3"/>
        <w:numPr>
          <w:ilvl w:val="2"/>
          <w:numId w:val="59"/>
        </w:numPr>
        <w:rPr/>
      </w:pPr>
      <w:r>
        <w:t>Composante 1 : appui à l’amélioration de la productivité agricole</w:t>
      </w:r>
      <w:bookmarkEnd w:id="95"/>
      <w:bookmarkEnd w:id="96"/>
      <w:bookmarkEnd w:id="97"/>
      <w:bookmarkEnd w:id="98"/>
    </w:p>
    <w:p>
      <w:pPr>
        <w:pStyle w:val="style0"/>
        <w:rPr/>
      </w:pPr>
      <w:r>
        <w:t>L’objectif de cette composante est d’effectuer la transformation structurelle du secteur agricole en levant les contraintes en amont qui entravent l’augmentation de la production et des valeurs ajoutées des filières concernées. Elle comprend trois sous-composantes</w:t>
      </w:r>
    </w:p>
    <w:p>
      <w:pPr>
        <w:pStyle w:val="style0"/>
        <w:rPr>
          <w:b/>
        </w:rPr>
      </w:pPr>
      <w:r>
        <w:rPr>
          <w:b/>
        </w:rPr>
        <w:t xml:space="preserve">Sous composante 1.1 : Appui aux services </w:t>
      </w:r>
      <w:r>
        <w:rPr>
          <w:b/>
        </w:rPr>
        <w:t xml:space="preserve">et au </w:t>
      </w:r>
      <w:r>
        <w:rPr>
          <w:b/>
        </w:rPr>
        <w:t xml:space="preserve">conseil agricole et à la vulgarisation </w:t>
      </w:r>
    </w:p>
    <w:p>
      <w:pPr>
        <w:pStyle w:val="style0"/>
        <w:rPr/>
      </w:pPr>
      <w:r>
        <w:t xml:space="preserve">Cette sous composante vise à assurer un service d’appui conseil performant et soutenu aux producteurs ciblés afin de leur permettre d’adopter les meilleurs techniques et les innovations nécessaires pour la pratique d’une agriculture intensive à haut rendement, résiliente aux aléas climatiques et respectueuse des principes de développement durable. Cette sous composante sera </w:t>
      </w:r>
      <w:r>
        <w:t>mise en œuvre à travers les deux volets suivants :</w:t>
      </w:r>
    </w:p>
    <w:p>
      <w:pPr>
        <w:pStyle w:val="style0"/>
        <w:rPr>
          <w:b/>
        </w:rPr>
      </w:pPr>
      <w:r>
        <w:rPr>
          <w:b/>
        </w:rPr>
        <w:t>Volet 1 : Appui conseil et vulgarisation des pratiques innovantes</w:t>
      </w:r>
    </w:p>
    <w:p>
      <w:pPr>
        <w:pStyle w:val="style0"/>
        <w:rPr>
          <w:rFonts w:eastAsia="Calibri"/>
        </w:rPr>
      </w:pPr>
      <w:r>
        <w:t>Le Programme favorisera la mise à échelle des résultats obtenus et tirera les leçons des expériences d’autres projets comme le</w:t>
      </w:r>
      <w:r>
        <w:t xml:space="preserve"> Programme de Transformation de l’Agriculture en Afrique de l’Ouest (PTAAO)</w:t>
      </w:r>
      <w:r>
        <w:t xml:space="preserve"> pour promouvoir l’adoption de systèmes de production plus productifs, adaptés et résilients aux conditions environnementales et sociales locales. A travers cette sous-composante, le Programme financera entre autres : (i) la multiplication des semences améliorées par les coopératives et/ou des privés ; (ii) l’assistance technique, la formation et l’équipement des services d’appui conseil publics et privés pour renforcer l’adoption de nouvelles technologies et (iii) le développement et la vulgarisation d’une plateforme de vulgarisation digitale. Ces activités seront mises en œuvre avec la collaboration étroite et en synergie avec le PTAAO en cours de préparation pour éviter des dédoublements.</w:t>
      </w:r>
      <w:r>
        <w:t xml:space="preserve"> </w:t>
      </w:r>
      <w:r>
        <w:rPr>
          <w:rFonts w:eastAsia="Calibri"/>
        </w:rPr>
        <w:t>Le PDCA accompagnera la</w:t>
      </w:r>
      <w:r>
        <w:rPr>
          <w:rFonts w:eastAsia="Calibri"/>
        </w:rPr>
        <w:t xml:space="preserve"> </w:t>
      </w:r>
      <w:r>
        <w:t>Direction générale des productions végétales</w:t>
      </w:r>
      <w:r>
        <w:t xml:space="preserve"> (</w:t>
      </w:r>
      <w:r>
        <w:rPr>
          <w:rFonts w:eastAsia="Calibri"/>
        </w:rPr>
        <w:t>DGPV</w:t>
      </w:r>
      <w:r>
        <w:rPr>
          <w:rFonts w:eastAsia="Calibri"/>
        </w:rPr>
        <w:t>)</w:t>
      </w:r>
      <w:r>
        <w:rPr>
          <w:rFonts w:eastAsia="Calibri"/>
        </w:rPr>
        <w:t xml:space="preserve"> dans la mise en œuvre de l’e-vulgarisation. </w:t>
      </w:r>
    </w:p>
    <w:p>
      <w:pPr>
        <w:pStyle w:val="style0"/>
        <w:rPr>
          <w:b/>
        </w:rPr>
      </w:pPr>
      <w:r>
        <w:rPr>
          <w:b/>
        </w:rPr>
        <w:t>Volet 2 : Appui à l’organisation des acteurs et la structuration des filières</w:t>
      </w:r>
    </w:p>
    <w:p>
      <w:pPr>
        <w:pStyle w:val="style0"/>
        <w:rPr/>
      </w:pPr>
      <w:r>
        <w:t>La bonne appropriation du Programme par les bénéficiaires, l’implication des exploitants dans la gestion des infrastructures et des équipements hydroagricoles, la participation effective de l’ensemble des acteurs à l’application des cahiers spécifiques constituent des facteurs de réussite des activités de mise en valeur et la pérennisation des investissements.</w:t>
      </w:r>
    </w:p>
    <w:p>
      <w:pPr>
        <w:pStyle w:val="style0"/>
        <w:rPr/>
      </w:pPr>
      <w:r>
        <w:t xml:space="preserve">Il sera organisé des campagnes d’information et </w:t>
      </w:r>
      <w:r>
        <w:t xml:space="preserve">de </w:t>
      </w:r>
      <w:r>
        <w:t xml:space="preserve">sensibilisation des populations dans les localités de la zone d’influence directe des différents sites pour recruter les futurs exploitants à installer dans les périmètres aménagés. </w:t>
      </w:r>
      <w:r>
        <w:t xml:space="preserve"> </w:t>
      </w:r>
      <w:r>
        <w:t xml:space="preserve"> </w:t>
      </w:r>
    </w:p>
    <w:p>
      <w:pPr>
        <w:pStyle w:val="style0"/>
        <w:rPr/>
      </w:pPr>
      <w:r>
        <w:t>Le</w:t>
      </w:r>
      <w:r>
        <w:t xml:space="preserve"> Programme se focalisera également sur l’amélioration et le renforcement de la structuration, l’organisation, le fonctionnement et l’environnement des organisations paysannes, conditions fondamentale</w:t>
      </w:r>
      <w:r>
        <w:t>s</w:t>
      </w:r>
      <w:r>
        <w:t xml:space="preserve"> au succès et à la durabilité des acquis du Programme. </w:t>
      </w:r>
      <w:r>
        <w:t>Il</w:t>
      </w:r>
      <w:r>
        <w:t xml:space="preserve"> reposera sur les textes en vigueur que sont essentiellement l’acte uniforme de l’OHADA relatif au droit des sociétés coopératives et la loi n°050-2012/AN du 30 octobre 2012 portant règlementation des organisations interprofessionnelles des filières agricoles, sylvicoles, pastorales, halieutiques et fauniques au Burkina Faso.</w:t>
      </w:r>
    </w:p>
    <w:p>
      <w:pPr>
        <w:pStyle w:val="style0"/>
        <w:rPr>
          <w:b/>
        </w:rPr>
      </w:pPr>
      <w:r>
        <w:rPr>
          <w:b/>
        </w:rPr>
        <w:t>Sous-composante 1.2 Développement des ressources en eau - Aménagements hydroagricoles</w:t>
      </w:r>
    </w:p>
    <w:p>
      <w:pPr>
        <w:pStyle w:val="style0"/>
        <w:rPr/>
      </w:pPr>
      <w:r>
        <w:t>Cette sous-composante portera aussi bien sur les réhabilitations que la réalisation de nouveaux périmètres agricoles. La mise en œuvre de cette composante se fera en collaboration avec le Projet PARIIS en particulier pour développer des synergies et éviter des doublons au niveau du site de Dourou. Elle comprend cinq volets :</w:t>
      </w:r>
    </w:p>
    <w:p>
      <w:pPr>
        <w:pStyle w:val="style179"/>
        <w:numPr>
          <w:ilvl w:val="0"/>
          <w:numId w:val="99"/>
        </w:numPr>
        <w:rPr>
          <w:b/>
        </w:rPr>
      </w:pPr>
      <w:r>
        <w:rPr>
          <w:b/>
        </w:rPr>
        <w:t xml:space="preserve">Volet 1 : Aménagement de périmètres irrigués. </w:t>
      </w:r>
    </w:p>
    <w:p>
      <w:pPr>
        <w:pStyle w:val="style0"/>
        <w:rPr/>
      </w:pPr>
      <w:r>
        <w:t xml:space="preserve">Ce volet vise à accroitre à terme, les superficies aménagées et assurer la mise en valeur efficiente des terres irriguées par la pratique d’une agriculture intensive, respectueuse de l’environnement et résiliente aux changements climatiques. Ce volet est mis en œuvre à travers </w:t>
      </w:r>
      <w:r>
        <w:t>trois</w:t>
      </w:r>
      <w:r>
        <w:t xml:space="preserve"> </w:t>
      </w:r>
      <w:r>
        <w:t>(</w:t>
      </w:r>
      <w:r>
        <w:t>0</w:t>
      </w:r>
      <w:r>
        <w:t>3</w:t>
      </w:r>
      <w:r>
        <w:t>) actions : i) réhabilitation et gestion pérenne des systèmes irrigués existants, ii) développement de nouveaux systèmes irrigués de grande taille destinés à l’entreprenariat et à l’exploitation de type familiale et iii) développement de vergers irrigués pour la production de mangue et d’anacarde.</w:t>
      </w:r>
    </w:p>
    <w:p>
      <w:pPr>
        <w:pStyle w:val="style179"/>
        <w:numPr>
          <w:ilvl w:val="0"/>
          <w:numId w:val="12"/>
        </w:numPr>
        <w:rPr>
          <w:b/>
        </w:rPr>
      </w:pPr>
      <w:r>
        <w:rPr>
          <w:b/>
        </w:rPr>
        <w:t xml:space="preserve">Volet 2 : appui à la gouvernance des périmètres aménagés </w:t>
      </w:r>
    </w:p>
    <w:p>
      <w:pPr>
        <w:pStyle w:val="style0"/>
        <w:rPr/>
      </w:pPr>
      <w:r>
        <w:t>Ce volet concerne le</w:t>
      </w:r>
      <w:r>
        <w:t xml:space="preserve"> développement de services de qualité aux producteurs en vue de garantir une meilleure gestion des aménagements. </w:t>
      </w:r>
      <w:r>
        <w:t xml:space="preserve">Cette </w:t>
      </w:r>
      <w:r>
        <w:t xml:space="preserve">action traitera de l’application effective du respect des principes de gestion des périmètres irrigués conformément aux dispositions des cahiers de charge. Elle veillera à la maintenance et à l’utilisation efficiente des infrastructures hydrauliques par la mise en place des organes chargés de la gestion de l’eau agricole. </w:t>
      </w:r>
      <w:r>
        <w:rPr>
          <w:bCs/>
        </w:rPr>
        <w:t xml:space="preserve">Elle </w:t>
      </w:r>
      <w:r>
        <w:t>comporte deux actions : (i) appui à l’organisation des producteurs, (ii) renforcement des capacités des acteurs en matière de gouvernance.</w:t>
      </w:r>
    </w:p>
    <w:p>
      <w:pPr>
        <w:pStyle w:val="style179"/>
        <w:numPr>
          <w:ilvl w:val="0"/>
          <w:numId w:val="12"/>
        </w:numPr>
        <w:rPr>
          <w:b/>
        </w:rPr>
      </w:pPr>
      <w:r>
        <w:rPr>
          <w:b/>
        </w:rPr>
        <w:t>Volet 3 : Sécurisation foncière</w:t>
      </w:r>
    </w:p>
    <w:p>
      <w:pPr>
        <w:pStyle w:val="style0"/>
        <w:rPr/>
      </w:pPr>
      <w:r>
        <w:t xml:space="preserve">Ce volet vise à assurer la sécurisation foncière et l’immatriculation des aménagements à travers deux actions que sont : </w:t>
      </w:r>
    </w:p>
    <w:p>
      <w:pPr>
        <w:pStyle w:val="style179"/>
        <w:numPr>
          <w:ilvl w:val="0"/>
          <w:numId w:val="35"/>
        </w:numPr>
        <w:rPr/>
      </w:pPr>
      <w:r>
        <w:t xml:space="preserve">Régularisation de la sécurisation foncière des aménagements déjà réalisés et la Sécurisation foncière des aménagements à réaliser </w:t>
      </w:r>
    </w:p>
    <w:p>
      <w:pPr>
        <w:pStyle w:val="style179"/>
        <w:numPr>
          <w:ilvl w:val="0"/>
          <w:numId w:val="35"/>
        </w:numPr>
        <w:rPr/>
      </w:pPr>
      <w:r>
        <w:t>Appui à la mise en place et fonctionnement des Structures Locales de Gestion Foncière</w:t>
      </w:r>
    </w:p>
    <w:p>
      <w:pPr>
        <w:pStyle w:val="style179"/>
        <w:numPr>
          <w:ilvl w:val="0"/>
          <w:numId w:val="12"/>
        </w:numPr>
        <w:rPr>
          <w:b/>
        </w:rPr>
      </w:pPr>
      <w:r>
        <w:rPr>
          <w:b/>
        </w:rPr>
        <w:t>Volet 4 : appui en équipements et en intrants agricoles</w:t>
      </w:r>
    </w:p>
    <w:p>
      <w:pPr>
        <w:pStyle w:val="style0"/>
        <w:rPr/>
      </w:pPr>
      <w:r>
        <w:t>Ce volet vise l’accompagnement des producteurs pour l’amélioration de la productivité et de la production agricole sur les périmètres aména</w:t>
      </w:r>
      <w:r>
        <w:t>gés. Elle comprend deux actions :</w:t>
      </w:r>
    </w:p>
    <w:p>
      <w:pPr>
        <w:pStyle w:val="style179"/>
        <w:numPr>
          <w:ilvl w:val="0"/>
          <w:numId w:val="35"/>
        </w:numPr>
        <w:rPr/>
      </w:pPr>
      <w:r>
        <w:rPr>
          <w:b/>
        </w:rPr>
        <w:t>Appui en équipement qui</w:t>
      </w:r>
      <w:r>
        <w:t xml:space="preserve"> portera sur la promotion de la mécanisation agricole (motoculteurs, tracteurs, moissonneuses, batteuses, décortiqueuses, etc</w:t>
      </w:r>
      <w:r>
        <w:t>.) sur les périmètres aménagés.</w:t>
      </w:r>
      <w:r>
        <w:t xml:space="preserve"> Son objectif est d’accroître le niveau d'utilisation des équipements agricoles de qualité pour une meilleure intensification des systèmes de production. Le mécanisme est ouvert aux producteurs individuels ou organisés et privilégie les jeunes et les femmes.</w:t>
      </w:r>
    </w:p>
    <w:p>
      <w:pPr>
        <w:pStyle w:val="style179"/>
        <w:numPr>
          <w:ilvl w:val="0"/>
          <w:numId w:val="35"/>
        </w:numPr>
        <w:rPr/>
      </w:pPr>
      <w:r>
        <w:rPr>
          <w:b/>
        </w:rPr>
        <w:t>Appui en intrants.</w:t>
      </w:r>
      <w:r>
        <w:rPr>
          <w:b/>
        </w:rPr>
        <w:t xml:space="preserve"> </w:t>
      </w:r>
      <w:r>
        <w:t xml:space="preserve">Il vise à assurer la disponibilité et l’accessibilité des intrants de qualité durant les deux premières années de mise en valeur des périmètres aménagés, principalement au profit des exploitants de type familial. Le mécanisme de subventions permettra de mettre en place des fonds de roulement sur chaque périmètre. </w:t>
      </w:r>
    </w:p>
    <w:p>
      <w:pPr>
        <w:pStyle w:val="style0"/>
        <w:rPr/>
      </w:pPr>
    </w:p>
    <w:p>
      <w:pPr>
        <w:pStyle w:val="style179"/>
        <w:numPr>
          <w:ilvl w:val="0"/>
          <w:numId w:val="12"/>
        </w:numPr>
        <w:rPr>
          <w:b/>
        </w:rPr>
      </w:pPr>
      <w:r>
        <w:rPr>
          <w:b/>
        </w:rPr>
        <w:t>Volet appui en infrastructures</w:t>
      </w:r>
    </w:p>
    <w:p>
      <w:pPr>
        <w:pStyle w:val="style0"/>
        <w:rPr/>
      </w:pPr>
      <w:r>
        <w:t>Ce volet portera aussi bien sur les réhabilitations que sur les nouvelles réalisations d’infrastructures de de stockage/conservation et de commercialisation. Ces infrastructures comprennent entre autre</w:t>
      </w:r>
      <w:r>
        <w:t>s</w:t>
      </w:r>
      <w:r>
        <w:t xml:space="preserve"> : (i) les plateformes de séchage, de stockage, de triage, et de conditionnement en prélude à leur mise en marché, en particulier pour les oignons et les produits horticoles comme la tomate ; (ii) des magasins multifonctionnels de stockage, notamment pour les céréales, afin de réduire les pertes post-récoltes. </w:t>
      </w:r>
    </w:p>
    <w:p>
      <w:pPr>
        <w:pStyle w:val="style0"/>
        <w:rPr>
          <w:b/>
        </w:rPr>
      </w:pPr>
      <w:r>
        <w:rPr>
          <w:b/>
        </w:rPr>
        <w:t>Sous composante 1.3 : Renforcement du réseau de pistes rurales dans les zones de production </w:t>
      </w:r>
    </w:p>
    <w:p>
      <w:pPr>
        <w:pStyle w:val="style0"/>
        <w:rPr/>
      </w:pPr>
      <w:r>
        <w:t xml:space="preserve">Cette sous composante vise à renforcer les connections entre les zones de production du Projet et les marchés de commercialisation des productions et d’approvisionnement en facteurs de production, notamment les intrants agricoles.  </w:t>
      </w:r>
    </w:p>
    <w:p>
      <w:pPr>
        <w:pStyle w:val="style0"/>
        <w:rPr/>
      </w:pPr>
    </w:p>
    <w:bookmarkStart w:id="99" w:name="_Toc2831183"/>
    <w:bookmarkStart w:id="100" w:name="_Toc528323534"/>
    <w:bookmarkStart w:id="101" w:name="_Toc536487466"/>
    <w:bookmarkStart w:id="102" w:name="_Toc441188"/>
    <w:p>
      <w:pPr>
        <w:pStyle w:val="style3"/>
        <w:numPr>
          <w:ilvl w:val="2"/>
          <w:numId w:val="59"/>
        </w:numPr>
        <w:rPr/>
      </w:pPr>
      <w:r>
        <w:t>Composante 2 : amélioration de l’accès au marché</w:t>
      </w:r>
      <w:bookmarkEnd w:id="99"/>
      <w:r>
        <w:t xml:space="preserve"> </w:t>
      </w:r>
      <w:bookmarkEnd w:id="100"/>
      <w:bookmarkEnd w:id="101"/>
      <w:bookmarkEnd w:id="102"/>
    </w:p>
    <w:p>
      <w:pPr>
        <w:pStyle w:val="style0"/>
        <w:rPr/>
      </w:pPr>
      <w:r>
        <w:t xml:space="preserve">Cette composante </w:t>
      </w:r>
      <w:r>
        <w:rPr>
          <w:bCs/>
        </w:rPr>
        <w:t>vise à promouvoir l’approche chaine de valeur et de marché. Elle</w:t>
      </w:r>
      <w:r>
        <w:t xml:space="preserve"> a pour objectif d’augmenter la compétitivité du secteur de production, de transformation des produits agricoles et de l’accès aux marchés domestiques et étrangers.</w:t>
      </w:r>
      <w:r>
        <w:t xml:space="preserve"> </w:t>
      </w:r>
      <w:r>
        <w:t xml:space="preserve">Elle comprend trois sous composantes : (i) le renforcement du cadre règlementaire favorisant l’accès aux marchés ; (ii) l’appui au développement des affaires ; (iii) et l’appui au financement des activités de production, de transformation, de conditionnement et de mise en marché. </w:t>
      </w:r>
    </w:p>
    <w:p>
      <w:pPr>
        <w:pStyle w:val="style0"/>
        <w:spacing w:after="120"/>
        <w:rPr>
          <w:rFonts w:ascii="Arial Narrow" w:cs="Arial" w:hAnsi="Arial Narrow"/>
          <w:b/>
        </w:rPr>
      </w:pPr>
      <w:r>
        <w:rPr>
          <w:rFonts w:ascii="Arial Narrow" w:cs="Arial" w:hAnsi="Arial Narrow"/>
          <w:b/>
        </w:rPr>
        <w:t>Sous composante 2.</w:t>
      </w:r>
      <w:r>
        <w:rPr>
          <w:rFonts w:ascii="Arial Narrow" w:cs="Arial" w:hAnsi="Arial Narrow"/>
          <w:b/>
        </w:rPr>
        <w:t>1 : Cadre règlementaire et développement des affaires</w:t>
      </w:r>
    </w:p>
    <w:p>
      <w:pPr>
        <w:pStyle w:val="style0"/>
        <w:rPr/>
      </w:pPr>
      <w:r>
        <w:t xml:space="preserve">Cette sous </w:t>
      </w:r>
      <w:r>
        <w:t xml:space="preserve">composante vise à lever les contraintes relatives au cadre règlementaire qui entravent le développement du secteur privé dans les filières ciblées à travers les actions suivantes : </w:t>
      </w:r>
    </w:p>
    <w:p>
      <w:pPr>
        <w:pStyle w:val="style179"/>
        <w:numPr>
          <w:ilvl w:val="0"/>
          <w:numId w:val="40"/>
        </w:numPr>
        <w:rPr/>
      </w:pPr>
      <w:r>
        <w:rPr>
          <w:b/>
        </w:rPr>
        <w:t xml:space="preserve">la régulation du commerce – </w:t>
      </w:r>
      <w:r>
        <w:t>Mettre en place ou adapter le cadre règlementaire national existant de règlementation sanitaire et phytosanitaire afin de s’assurer que les règlementations et les installations sur la salubrité  et la qualité des aliments sont appropriés pour permettre au pays d’accéder au marché domestique et étranger.</w:t>
      </w:r>
    </w:p>
    <w:p>
      <w:pPr>
        <w:pStyle w:val="style179"/>
        <w:numPr>
          <w:ilvl w:val="0"/>
          <w:numId w:val="40"/>
        </w:numPr>
        <w:rPr/>
      </w:pPr>
      <w:r>
        <w:rPr>
          <w:b/>
        </w:rPr>
        <w:t xml:space="preserve">la règlementation sur le développement des affaires </w:t>
      </w:r>
      <w:r>
        <w:t xml:space="preserve"> -rationaliser/simplifier  les règlementations, ainsi que les dispositifs de contrôles et de taxation qui causent des tracasseries pour les activités privées, notamment celles relatives au secteur agricole et de l’alimentation. </w:t>
      </w:r>
    </w:p>
    <w:p>
      <w:pPr>
        <w:pStyle w:val="style0"/>
        <w:rPr>
          <w:b/>
        </w:rPr>
      </w:pPr>
    </w:p>
    <w:bookmarkStart w:id="103" w:name="_Toc2831184"/>
    <w:p>
      <w:pPr>
        <w:pStyle w:val="style3"/>
        <w:numPr>
          <w:ilvl w:val="2"/>
          <w:numId w:val="59"/>
        </w:numPr>
        <w:rPr>
          <w:b w:val="false"/>
        </w:rPr>
      </w:pPr>
      <w:r>
        <w:t>Composante 3</w:t>
      </w:r>
      <w:r>
        <w:t xml:space="preserve"> : </w:t>
      </w:r>
      <w:r>
        <w:t>S</w:t>
      </w:r>
      <w:r>
        <w:t>outien au financement du secteur privé</w:t>
      </w:r>
      <w:bookmarkEnd w:id="103"/>
    </w:p>
    <w:p>
      <w:pPr>
        <w:pStyle w:val="style0"/>
        <w:rPr>
          <w:b/>
        </w:rPr>
      </w:pPr>
      <w:r>
        <w:rPr>
          <w:b/>
        </w:rPr>
        <w:t>C</w:t>
      </w:r>
      <w:r>
        <w:rPr>
          <w:b/>
        </w:rPr>
        <w:t xml:space="preserve">omposante </w:t>
      </w:r>
      <w:r>
        <w:rPr>
          <w:b/>
        </w:rPr>
        <w:t>3</w:t>
      </w:r>
      <w:r>
        <w:rPr>
          <w:b/>
        </w:rPr>
        <w:t>.1</w:t>
      </w:r>
      <w:r>
        <w:rPr>
          <w:b/>
        </w:rPr>
        <w:t> :</w:t>
      </w:r>
      <w:r>
        <w:rPr>
          <w:b/>
        </w:rPr>
        <w:t xml:space="preserve"> L’appui au développement des affaires </w:t>
      </w:r>
    </w:p>
    <w:p>
      <w:pPr>
        <w:pStyle w:val="style0"/>
        <w:rPr/>
      </w:pPr>
      <w:r>
        <w:t xml:space="preserve">La composante </w:t>
      </w:r>
      <w:r>
        <w:t>3</w:t>
      </w:r>
      <w:r>
        <w:t xml:space="preserve"> cherche à atténuer la contrainte de financement en améliorant l'accès au financement pour les investisseurs du secteur de l'agriculture et de l'agro-industrie. Il financera une ligne budgétaire appelée "Facilité financière dédiée" (DFF) - destinée à aider partiellement les exploitants du secteur de l’agriculture et de l’agroalimentaire à financer leurs investissements. La DFF s’appuiera sur le principe central de la MFD pour avoir un effet multiplicateur en ce qui concerne la génération de prêts d’investissements en capitaux privés de la part des institutions financières partenaires (IFP). </w:t>
      </w:r>
    </w:p>
    <w:bookmarkStart w:id="104" w:name="_Toc528323535"/>
    <w:bookmarkStart w:id="105" w:name="_Toc536487467"/>
    <w:bookmarkStart w:id="106" w:name="_Toc441189"/>
    <w:bookmarkStart w:id="107" w:name="_Toc2831185"/>
    <w:p>
      <w:pPr>
        <w:pStyle w:val="style3"/>
        <w:numPr>
          <w:ilvl w:val="2"/>
          <w:numId w:val="59"/>
        </w:numPr>
        <w:rPr/>
      </w:pPr>
      <w:r>
        <w:t xml:space="preserve">Composante </w:t>
      </w:r>
      <w:r>
        <w:t>4</w:t>
      </w:r>
      <w:r>
        <w:t> : prévention des crises, coordination et gestion du programme</w:t>
      </w:r>
      <w:bookmarkEnd w:id="104"/>
      <w:bookmarkEnd w:id="105"/>
      <w:bookmarkEnd w:id="106"/>
      <w:bookmarkEnd w:id="107"/>
      <w:r>
        <w:t xml:space="preserve"> </w:t>
      </w:r>
    </w:p>
    <w:p>
      <w:pPr>
        <w:pStyle w:val="style0"/>
        <w:rPr/>
      </w:pPr>
      <w:r>
        <w:t>Cette composante vise à renforcer la préparation et la gestion du Programme. Elle assurera la coordination du Programme, incluant le suivi-évaluation ainsi que les activités liées aux mesures de sauvegard</w:t>
      </w:r>
      <w:r>
        <w:t xml:space="preserve">es sociale et environnementale. </w:t>
      </w:r>
      <w:r>
        <w:t xml:space="preserve">Cette composante comprend </w:t>
      </w:r>
      <w:r>
        <w:t>quatre</w:t>
      </w:r>
      <w:r>
        <w:t xml:space="preserve"> </w:t>
      </w:r>
      <w:r>
        <w:t>(04)</w:t>
      </w:r>
      <w:r>
        <w:t xml:space="preserve"> </w:t>
      </w:r>
      <w:r>
        <w:t xml:space="preserve">sous-composantes : (i) sous composante </w:t>
      </w:r>
      <w:r>
        <w:t>4</w:t>
      </w:r>
      <w:r>
        <w:t xml:space="preserve">.1 – Prévention et gestion des crises ; (ii) Sous composante </w:t>
      </w:r>
      <w:r>
        <w:t>4</w:t>
      </w:r>
      <w:r>
        <w:t>.2- sauvegarde environnementale et sociale</w:t>
      </w:r>
      <w:r>
        <w:t> ;</w:t>
      </w:r>
      <w:r>
        <w:t xml:space="preserve"> (iii) sous composante </w:t>
      </w:r>
      <w:r>
        <w:t>4</w:t>
      </w:r>
      <w:r>
        <w:t xml:space="preserve">.3 </w:t>
      </w:r>
      <w:r>
        <w:t xml:space="preserve">–renforcement de capacités institutionnelles et (iv) sous composante </w:t>
      </w:r>
      <w:r>
        <w:t>4</w:t>
      </w:r>
      <w:r>
        <w:t xml:space="preserve">-4-coordination et suivi- évaluation. </w:t>
      </w:r>
    </w:p>
    <w:p>
      <w:pPr>
        <w:pStyle w:val="style0"/>
        <w:rPr>
          <w:b/>
        </w:rPr>
      </w:pPr>
      <w:r>
        <w:rPr>
          <w:b/>
        </w:rPr>
        <w:t xml:space="preserve">Sous composante </w:t>
      </w:r>
      <w:r>
        <w:rPr>
          <w:b/>
        </w:rPr>
        <w:t>4</w:t>
      </w:r>
      <w:r>
        <w:rPr>
          <w:b/>
        </w:rPr>
        <w:t xml:space="preserve">.1 Prévention des crises et gestion  </w:t>
      </w:r>
    </w:p>
    <w:p>
      <w:pPr>
        <w:pStyle w:val="style0"/>
        <w:rPr/>
      </w:pPr>
      <w:r>
        <w:t>Cette sous-composante</w:t>
      </w:r>
      <w:r>
        <w:t xml:space="preserve"> vise à renforcer la préparation des différentes institutions concernées à faire face aux crises et situations d’urgences éligibles et en lien avec l’agro-business et la commercialisation des produits agricoles. </w:t>
      </w:r>
    </w:p>
    <w:p>
      <w:pPr>
        <w:pStyle w:val="style0"/>
        <w:rPr>
          <w:b/>
        </w:rPr>
      </w:pPr>
      <w:r>
        <w:rPr>
          <w:b/>
        </w:rPr>
        <w:t xml:space="preserve">Sous composante </w:t>
      </w:r>
      <w:r>
        <w:rPr>
          <w:b/>
        </w:rPr>
        <w:t>4</w:t>
      </w:r>
      <w:r>
        <w:rPr>
          <w:b/>
        </w:rPr>
        <w:t>.2 : Sauvegardes environnementales et sociales</w:t>
      </w:r>
    </w:p>
    <w:p>
      <w:pPr>
        <w:pStyle w:val="style0"/>
        <w:rPr>
          <w:b/>
        </w:rPr>
      </w:pPr>
      <w:r>
        <w:rPr>
          <w:b/>
        </w:rPr>
        <w:t xml:space="preserve">Sous composante </w:t>
      </w:r>
      <w:r>
        <w:rPr>
          <w:b/>
        </w:rPr>
        <w:t>4</w:t>
      </w:r>
      <w:r>
        <w:rPr>
          <w:b/>
        </w:rPr>
        <w:t>.3 –renforcement de capacités institutionnelles</w:t>
      </w:r>
    </w:p>
    <w:p>
      <w:pPr>
        <w:pStyle w:val="style0"/>
        <w:rPr/>
      </w:pPr>
      <w:r>
        <w:t xml:space="preserve">Le Programme appuiera les entités et structures en charge de la formulation et de la mise en œuvre des politiques, des cadres légaux et règlementaires pour la promotion de l’emploi, du secteur privé, des investissements, de la gouvernance et des partenariats à travers toutes les chaines des valeurs des filières agricoles. </w:t>
      </w:r>
    </w:p>
    <w:p>
      <w:pPr>
        <w:pStyle w:val="style0"/>
        <w:rPr>
          <w:b/>
        </w:rPr>
      </w:pPr>
      <w:r>
        <w:rPr>
          <w:b/>
        </w:rPr>
        <w:t xml:space="preserve">Sous Composante </w:t>
      </w:r>
      <w:r>
        <w:rPr>
          <w:b/>
        </w:rPr>
        <w:t>4</w:t>
      </w:r>
      <w:r>
        <w:rPr>
          <w:b/>
        </w:rPr>
        <w:t>.</w:t>
      </w:r>
      <w:r>
        <w:rPr>
          <w:b/>
        </w:rPr>
        <w:t>4</w:t>
      </w:r>
      <w:r>
        <w:rPr>
          <w:b/>
        </w:rPr>
        <w:t> </w:t>
      </w:r>
      <w:r>
        <w:rPr>
          <w:b/>
        </w:rPr>
        <w:t>: Coordination, gestion et suivi évaluation du Programme</w:t>
      </w:r>
    </w:p>
    <w:p>
      <w:pPr>
        <w:pStyle w:val="style0"/>
        <w:rPr/>
      </w:pPr>
      <w:r>
        <w:t>Cette sous composante vise à financer la mise en place d’une Unité de coordination du Programme (UCP), incluant le recrutement de personnel et le financement de la gestion et de la coordination.</w:t>
      </w:r>
    </w:p>
    <w:p>
      <w:pPr>
        <w:pStyle w:val="style0"/>
        <w:rPr/>
      </w:pPr>
      <w:r>
        <w:t xml:space="preserve">Le Ministère de l’agriculture et des aménagements hydrauliques (MAAH) assurera la tutelle technique du programme. Le Ministère de l’économie, des finances et du développement (MINEFID) assure la tutelle financière du programme. </w:t>
      </w:r>
    </w:p>
    <w:bookmarkStart w:id="108" w:name="_Toc528323536"/>
    <w:p>
      <w:pPr>
        <w:pStyle w:val="style179"/>
        <w:numPr>
          <w:ilvl w:val="0"/>
          <w:numId w:val="35"/>
        </w:numPr>
        <w:rPr>
          <w:b/>
        </w:rPr>
      </w:pPr>
      <w:r>
        <w:rPr>
          <w:b/>
        </w:rPr>
        <w:t>L’organe d’orientation</w:t>
      </w:r>
      <w:bookmarkEnd w:id="108"/>
    </w:p>
    <w:p>
      <w:pPr>
        <w:pStyle w:val="style0"/>
        <w:rPr/>
      </w:pPr>
      <w:r>
        <w:t xml:space="preserve">L’organe d’orientation et pilotage du Programme est le </w:t>
      </w:r>
      <w:r>
        <w:rPr>
          <w:b/>
        </w:rPr>
        <w:t>comité de revue</w:t>
      </w:r>
      <w:r>
        <w:t xml:space="preserve"> selon la réglementation générale des projets et programmes en vigueur au Burkina Faso. La composition, les attributions et le fonctionnement du comité de revue sont fixés par arrêté du ministre en charge de la tutelle technique. </w:t>
      </w:r>
    </w:p>
    <w:p>
      <w:pPr>
        <w:pStyle w:val="style179"/>
        <w:numPr>
          <w:ilvl w:val="0"/>
          <w:numId w:val="35"/>
        </w:numPr>
        <w:rPr>
          <w:b/>
        </w:rPr>
      </w:pPr>
      <w:r>
        <w:rPr>
          <w:b/>
        </w:rPr>
        <w:t>Coordination du Programme</w:t>
      </w:r>
    </w:p>
    <w:p>
      <w:pPr>
        <w:pStyle w:val="style0"/>
        <w:rPr/>
      </w:pPr>
      <w:r>
        <w:t xml:space="preserve">Conformément au Décret n° 2018-0092/PRES/PM/MINEFID du 15 février 2018 portant réglementation générale des projets et programmes de développement exécutés au Burkina Faso, le PDCA sera rattaché au Programme budgétaire “Aménagements hydro agricoles et irrigation” du Ministère de l’agriculture et des aménagements hydrauliques et classé en catégorie 1. En application dudit décret, le responsable du programme budgétaire de rattachement est de facto le coordonnateur du Programme.  </w:t>
      </w:r>
    </w:p>
    <w:p>
      <w:pPr>
        <w:pStyle w:val="style0"/>
        <w:rPr>
          <w:b/>
        </w:rPr>
      </w:pPr>
      <w:r>
        <w:rPr>
          <w:b/>
        </w:rPr>
        <w:t>Procédure de mobilisation des ressources financières</w:t>
      </w:r>
    </w:p>
    <w:p>
      <w:pPr>
        <w:pStyle w:val="style0"/>
        <w:rPr/>
      </w:pPr>
      <w:r>
        <w:t xml:space="preserve">Le MINEFID joue un rôle central dans la réalisation des résultats du Programme. A ce propos, il est responsable de l’exécution du budget du Programme (assurant les flux de fonds) et de l’établissement de normes et de processus pour la gestion financière du Programme. Dans le souci d’éviter le rationnement des liquidités et rationaliser le processus de paiement du Programme, il sera ouvert un Compte d’affectation spéciale du Trésor (CAST) pour recevoir les fonds du Programme. Le CAST permettra de lier directement les ressources aux dépenses, contrairement au budget général où les ressources ne peuvent être affectées à des dépenses spécifiques. </w:t>
      </w:r>
    </w:p>
    <w:p>
      <w:pPr>
        <w:pStyle w:val="style0"/>
        <w:rPr/>
      </w:pPr>
    </w:p>
    <w:p>
      <w:pPr>
        <w:pStyle w:val="style179"/>
        <w:numPr>
          <w:ilvl w:val="0"/>
          <w:numId w:val="23"/>
        </w:numPr>
        <w:rPr>
          <w:b/>
        </w:rPr>
      </w:pPr>
      <w:r>
        <w:rPr>
          <w:b/>
        </w:rPr>
        <w:t>Suivi -évaluation des activités du Programme</w:t>
      </w:r>
    </w:p>
    <w:p>
      <w:pPr>
        <w:pStyle w:val="style0"/>
        <w:rPr/>
      </w:pPr>
      <w:r>
        <w:t>Un dispositif de suivi-évaluation sera mis en place pour suivre le Programme tant au niveau interne qu’externe.</w:t>
      </w:r>
      <w:r>
        <w:t xml:space="preserve"> </w:t>
      </w:r>
      <w:r>
        <w:t xml:space="preserve">Au niveau interne et en adéquation avec l’organisation du Programme, le suivi sera réalisé par un responsable de suivi évaluation à partir des outils élaborés à cet effet. Celui-ci est tenu de produire des rapports d’activités périodiques (rapports mensuels, trimestriels et annuels). </w:t>
      </w:r>
    </w:p>
    <w:p>
      <w:pPr>
        <w:pStyle w:val="style0"/>
        <w:rPr/>
      </w:pPr>
      <w:r>
        <w:t xml:space="preserve">Au niveau externe, le suivi est assuré par les Directions </w:t>
      </w:r>
      <w:r>
        <w:t>G</w:t>
      </w:r>
      <w:r>
        <w:t xml:space="preserve">énérales </w:t>
      </w:r>
      <w:r>
        <w:t xml:space="preserve">des </w:t>
      </w:r>
      <w:r>
        <w:t>E</w:t>
      </w:r>
      <w:r>
        <w:t xml:space="preserve">tudes </w:t>
      </w:r>
      <w:r>
        <w:t xml:space="preserve">et des </w:t>
      </w:r>
      <w:r>
        <w:t>S</w:t>
      </w:r>
      <w:r>
        <w:t xml:space="preserve">tatistiques </w:t>
      </w:r>
      <w:r>
        <w:t>S</w:t>
      </w:r>
      <w:r>
        <w:t xml:space="preserve">ectorielles </w:t>
      </w:r>
      <w:r>
        <w:t xml:space="preserve">(DGESS) des Ministères concernés, la Direction </w:t>
      </w:r>
      <w:r>
        <w:t>G</w:t>
      </w:r>
      <w:r>
        <w:t xml:space="preserve">énérale </w:t>
      </w:r>
      <w:r>
        <w:t xml:space="preserve">de </w:t>
      </w:r>
      <w:r>
        <w:t>l’</w:t>
      </w:r>
      <w:r>
        <w:t>E</w:t>
      </w:r>
      <w:r>
        <w:t xml:space="preserve">conomie </w:t>
      </w:r>
      <w:r>
        <w:t xml:space="preserve">et de la </w:t>
      </w:r>
      <w:r>
        <w:t>P</w:t>
      </w:r>
      <w:r>
        <w:t xml:space="preserve">lanification </w:t>
      </w:r>
      <w:r>
        <w:t xml:space="preserve">(DGEP), la Direction </w:t>
      </w:r>
      <w:r>
        <w:t>G</w:t>
      </w:r>
      <w:r>
        <w:t xml:space="preserve">énérale </w:t>
      </w:r>
      <w:r>
        <w:t xml:space="preserve">du </w:t>
      </w:r>
      <w:r>
        <w:t>T</w:t>
      </w:r>
      <w:r>
        <w:t xml:space="preserve">résor </w:t>
      </w:r>
      <w:r>
        <w:t xml:space="preserve">et de la </w:t>
      </w:r>
      <w:r>
        <w:t>C</w:t>
      </w:r>
      <w:r>
        <w:t xml:space="preserve">omptabilité </w:t>
      </w:r>
      <w:r>
        <w:t>P</w:t>
      </w:r>
      <w:r>
        <w:t xml:space="preserve">ublique </w:t>
      </w:r>
      <w:r>
        <w:t xml:space="preserve">(DGTCP) et la Direction </w:t>
      </w:r>
      <w:r>
        <w:t>G</w:t>
      </w:r>
      <w:r>
        <w:t xml:space="preserve">énérale </w:t>
      </w:r>
      <w:r>
        <w:t xml:space="preserve">de la </w:t>
      </w:r>
      <w:r>
        <w:t>C</w:t>
      </w:r>
      <w:r>
        <w:t xml:space="preserve">oopération </w:t>
      </w:r>
      <w:r>
        <w:t xml:space="preserve">(DGCOOP). Il portera notamment sur l’exécution physique et financière du Programme, l’atteinte de ses objectifs, ses effets sur les populations cibles et sa contribution à l’objectif global. </w:t>
      </w:r>
      <w:r>
        <w:t xml:space="preserve"> </w:t>
      </w:r>
    </w:p>
    <w:p>
      <w:pPr>
        <w:pStyle w:val="style0"/>
        <w:rPr/>
      </w:pPr>
      <w:r>
        <w:t xml:space="preserve">Un manuel de suivi-évaluation sera élaboré en début de mise en œuvre du Programme et servira de guide à l’ensemble des activités de suivi et d’évaluation. </w:t>
      </w:r>
    </w:p>
    <w:p>
      <w:pPr>
        <w:pStyle w:val="style0"/>
        <w:rPr/>
      </w:pPr>
      <w:r>
        <w:t>Le suivi-évaluation testera également l’utilisation d’une plateforme de télédétection pour une estimation précise de la production dans les zones de production du Programme.  Cette intervention sera mise à l’échelle en cas de succès pour le renforcement du système national d’évaluation de la production agricole.</w:t>
      </w:r>
    </w:p>
    <w:p>
      <w:pPr>
        <w:pStyle w:val="style0"/>
        <w:ind w:left="360"/>
        <w:rPr/>
      </w:pPr>
    </w:p>
    <w:bookmarkStart w:id="109" w:name="_Toc2831186"/>
    <w:p>
      <w:pPr>
        <w:pStyle w:val="style2"/>
        <w:numPr>
          <w:ilvl w:val="1"/>
          <w:numId w:val="58"/>
        </w:numPr>
        <w:rPr/>
      </w:pPr>
      <w:r>
        <w:t>Zone d’implantation du programme</w:t>
      </w:r>
      <w:bookmarkEnd w:id="109"/>
      <w:r>
        <w:t xml:space="preserve"> </w:t>
      </w:r>
    </w:p>
    <w:bookmarkStart w:id="110" w:name="_Toc266039633"/>
    <w:bookmarkStart w:id="111" w:name="_Toc150156255"/>
    <w:bookmarkEnd w:id="82"/>
    <w:p>
      <w:pPr>
        <w:pStyle w:val="style0"/>
        <w:rPr>
          <w:lang w:eastAsia="fr-FR"/>
        </w:rPr>
      </w:pPr>
      <w:r>
        <w:t>L</w:t>
      </w:r>
      <w:r>
        <w:t>e PDCA s’implantera dans le pays avec des activités dans les régions de</w:t>
      </w:r>
      <w:r>
        <w:t>s</w:t>
      </w:r>
      <w:r>
        <w:t xml:space="preserve"> Cascade</w:t>
      </w:r>
      <w:r>
        <w:t>s</w:t>
      </w:r>
      <w:r>
        <w:t>, des Haut</w:t>
      </w:r>
      <w:r>
        <w:t>s</w:t>
      </w:r>
      <w:r>
        <w:t xml:space="preserve"> Bassins, de la Boucle du Mouhoun et du Nord (Carte 1). </w:t>
      </w:r>
      <w:r>
        <w:t>Aussi, la description succincte que donnons</w:t>
      </w:r>
      <w:r>
        <w:t>-</w:t>
      </w:r>
      <w:r>
        <w:t>nous</w:t>
      </w:r>
      <w:r>
        <w:t xml:space="preserve">, concerne </w:t>
      </w:r>
      <w:r>
        <w:t>d’une</w:t>
      </w:r>
      <w:r>
        <w:t xml:space="preserve"> part,</w:t>
      </w:r>
      <w:r>
        <w:t xml:space="preserve"> </w:t>
      </w:r>
      <w:r>
        <w:t xml:space="preserve">l’ensemble du pays et </w:t>
      </w:r>
      <w:r>
        <w:t>inclu</w:t>
      </w:r>
      <w:r>
        <w:t>t</w:t>
      </w:r>
      <w:r>
        <w:t xml:space="preserve"> </w:t>
      </w:r>
      <w:r>
        <w:t>les données socio-économiques, de production agro-Sylvo pastorale et le milieu physique</w:t>
      </w:r>
      <w:r>
        <w:t>, et d’autre part, des caractéristiques spécifiques aux zones concernées par le programme</w:t>
      </w:r>
      <w:r>
        <w:t xml:space="preserve">. </w:t>
      </w:r>
    </w:p>
    <w:p>
      <w:pPr>
        <w:pStyle w:val="style0"/>
        <w:spacing w:lineRule="auto" w:line="276"/>
        <w:rPr>
          <w:sz w:val="23"/>
          <w:szCs w:val="23"/>
        </w:rPr>
      </w:pPr>
    </w:p>
    <w:p>
      <w:pPr>
        <w:pStyle w:val="style0"/>
        <w:spacing w:lineRule="auto" w:line="276"/>
        <w:rPr>
          <w:sz w:val="23"/>
          <w:szCs w:val="23"/>
        </w:rPr>
      </w:pPr>
    </w:p>
    <w:p>
      <w:pPr>
        <w:pStyle w:val="style0"/>
        <w:spacing w:lineRule="auto" w:line="276"/>
        <w:rPr>
          <w:sz w:val="23"/>
          <w:szCs w:val="23"/>
        </w:rPr>
      </w:pPr>
    </w:p>
    <w:p>
      <w:pPr>
        <w:pStyle w:val="style0"/>
        <w:spacing w:lineRule="auto" w:line="276"/>
        <w:rPr>
          <w:sz w:val="23"/>
          <w:szCs w:val="23"/>
        </w:rPr>
      </w:pPr>
    </w:p>
    <w:p>
      <w:pPr>
        <w:pStyle w:val="style0"/>
        <w:spacing w:lineRule="auto" w:line="276"/>
        <w:rPr>
          <w:sz w:val="23"/>
          <w:szCs w:val="23"/>
        </w:rPr>
      </w:pPr>
      <w:r>
        <w:rPr>
          <w:sz w:val="23"/>
          <w:szCs w:val="23"/>
        </w:rPr>
        <w:t xml:space="preserve">Carte 1 : Zones d’implantation du </w:t>
      </w:r>
      <w:r>
        <w:rPr>
          <w:sz w:val="23"/>
          <w:szCs w:val="23"/>
        </w:rPr>
        <w:t>programme</w:t>
      </w:r>
    </w:p>
    <w:p>
      <w:pPr>
        <w:pStyle w:val="style0"/>
        <w:spacing w:lineRule="auto" w:line="276"/>
        <w:rPr>
          <w:sz w:val="23"/>
          <w:szCs w:val="23"/>
        </w:rPr>
      </w:pPr>
      <w:r>
        <w:rPr>
          <w:rFonts w:ascii="Helvetica" w:cs="Helvetica" w:hAnsi="Helvetica"/>
          <w:noProof/>
          <w:lang w:eastAsia="fr-FR"/>
        </w:rPr>
        <w:drawing>
          <wp:inline distT="0" distR="0" distL="0" distB="0">
            <wp:extent cx="5181600" cy="3759200"/>
            <wp:effectExtent l="0" t="0" r="0" b="0"/>
            <wp:docPr id="1027" name="Imag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rcRect l="0" t="0" r="0" b="0"/>
                    <a:stretch/>
                  </pic:blipFill>
                  <pic:spPr>
                    <a:xfrm rot="0">
                      <a:off x="0" y="0"/>
                      <a:ext cx="5181600" cy="3759200"/>
                    </a:xfrm>
                    <a:prstGeom prst="rect"/>
                    <a:ln>
                      <a:noFill/>
                    </a:ln>
                  </pic:spPr>
                </pic:pic>
              </a:graphicData>
            </a:graphic>
          </wp:inline>
        </w:drawing>
      </w:r>
    </w:p>
    <w:p>
      <w:pPr>
        <w:pStyle w:val="style0"/>
        <w:spacing w:lineRule="auto" w:line="276"/>
        <w:rPr>
          <w:sz w:val="23"/>
          <w:szCs w:val="23"/>
        </w:rPr>
      </w:pPr>
      <w:r>
        <w:rPr>
          <w:sz w:val="23"/>
          <w:szCs w:val="23"/>
        </w:rPr>
        <w:t>Source : Données de l’</w:t>
      </w:r>
      <w:r>
        <w:rPr>
          <w:sz w:val="23"/>
          <w:szCs w:val="23"/>
        </w:rPr>
        <w:t>étude</w:t>
      </w:r>
      <w:r>
        <w:rPr>
          <w:sz w:val="23"/>
          <w:szCs w:val="23"/>
        </w:rPr>
        <w:t xml:space="preserve">, </w:t>
      </w:r>
      <w:r>
        <w:rPr>
          <w:sz w:val="23"/>
          <w:szCs w:val="23"/>
        </w:rPr>
        <w:t>2019</w:t>
      </w:r>
    </w:p>
    <w:bookmarkStart w:id="112" w:name="_Toc2831187"/>
    <w:p>
      <w:pPr>
        <w:pStyle w:val="style3"/>
        <w:numPr>
          <w:ilvl w:val="2"/>
          <w:numId w:val="58"/>
        </w:numPr>
        <w:rPr/>
      </w:pPr>
      <w:r>
        <w:t>Milieu Physique</w:t>
      </w:r>
      <w:bookmarkEnd w:id="112"/>
      <w:r>
        <w:t xml:space="preserve"> </w:t>
      </w:r>
    </w:p>
    <w:p>
      <w:pPr>
        <w:pStyle w:val="style4"/>
        <w:numPr>
          <w:ilvl w:val="3"/>
          <w:numId w:val="58"/>
        </w:numPr>
        <w:rPr>
          <w:sz w:val="22"/>
        </w:rPr>
      </w:pPr>
      <w:r>
        <w:rPr>
          <w:sz w:val="22"/>
        </w:rPr>
        <w:t>Condition</w:t>
      </w:r>
      <w:r>
        <w:rPr>
          <w:sz w:val="22"/>
        </w:rPr>
        <w:t>s</w:t>
      </w:r>
      <w:r>
        <w:rPr>
          <w:sz w:val="22"/>
        </w:rPr>
        <w:t xml:space="preserve"> climatiques du pays </w:t>
      </w:r>
    </w:p>
    <w:p>
      <w:pPr>
        <w:pStyle w:val="style0"/>
        <w:rPr>
          <w:rFonts w:eastAsia="Calibri"/>
        </w:rPr>
      </w:pPr>
      <w:r>
        <w:rPr>
          <w:rFonts w:eastAsia="Calibri"/>
        </w:rPr>
        <w:t xml:space="preserve">Le climat du Burkina Faso est caractérisé par une saisonnalité bien marquée par deux périodes très contrastées : la saison des pluies et la saison sèche. Comme dans la plupart </w:t>
      </w:r>
      <w:r>
        <w:rPr>
          <w:rFonts w:eastAsia="Calibri"/>
        </w:rPr>
        <w:t>des pays sahéliens, la saison pluvieuse</w:t>
      </w:r>
      <w:r>
        <w:rPr>
          <w:rFonts w:eastAsia="Calibri"/>
        </w:rPr>
        <w:t xml:space="preserve"> se raccourcis de plus en plus avec </w:t>
      </w:r>
      <w:r>
        <w:rPr>
          <w:rFonts w:eastAsia="Calibri"/>
        </w:rPr>
        <w:t>une augmentation des sécheresses, des inondations, une variabilité climatique de plus en plus prononcée et une fréquence plus élevée des vents violents.</w:t>
      </w:r>
    </w:p>
    <w:p>
      <w:pPr>
        <w:pStyle w:val="style0"/>
        <w:rPr>
          <w:rFonts w:eastAsia="Calibri"/>
        </w:rPr>
      </w:pPr>
      <w:r>
        <w:rPr>
          <w:rFonts w:eastAsia="Calibri"/>
        </w:rPr>
        <w:t>Les effets du changement climatique devraient augmenter en fréquence et en sévérité avec de fortes variations des précipitations, des pénuries d'eau et de faibles récoltes agricoles. Dans le cadre du Programme national d'adaptation, les simulations effectuées à partir de la modélisation climatique adoptée par le Gouvernement prévoient une hausse des températures moyennes de 0,8°C d'ici à 2025 et une hausse de 1,7°C d'ici à 2050 ainsi qu’une baisse relative des précipitations de 3,4 % d'ici à 2025 et 7,3 % d'ici à 2050. La baisse des précipitations sera associée à une très forte variabilité saisonnière et interannuelle des facteurs climatiques, empirant davantage les impacts climatiques sur l’agriculture et l’élevage, les principaux secteurs économiques. La gestion des ressources en eau et des inondations, la foresterie et la sécurité alimentaire seront également affectées (NAPA, 2007).</w:t>
      </w:r>
    </w:p>
    <w:p>
      <w:pPr>
        <w:pStyle w:val="style4"/>
        <w:numPr>
          <w:ilvl w:val="3"/>
          <w:numId w:val="58"/>
        </w:numPr>
        <w:rPr>
          <w:sz w:val="22"/>
        </w:rPr>
      </w:pPr>
      <w:r>
        <w:rPr>
          <w:sz w:val="22"/>
        </w:rPr>
        <w:t xml:space="preserve">Zone agro-écologiques </w:t>
      </w:r>
    </w:p>
    <w:p>
      <w:pPr>
        <w:pStyle w:val="style0"/>
        <w:rPr>
          <w:rFonts w:eastAsia="Calibri"/>
        </w:rPr>
      </w:pPr>
      <w:r>
        <w:rPr>
          <w:rFonts w:eastAsia="Calibri"/>
        </w:rPr>
        <w:t>On distingue quatre zones agro-écologiques au Burkina Faso. Ce sont le nord-sahélien, le sud-sahélien, le nord-soudanien et le sud-</w:t>
      </w:r>
      <w:r>
        <w:rPr>
          <w:rFonts w:eastAsia="Calibri"/>
        </w:rPr>
        <w:t>soudanien</w:t>
      </w:r>
      <w:r>
        <w:rPr>
          <w:rFonts w:eastAsia="Calibri"/>
        </w:rPr>
        <w:t xml:space="preserve"> (Kagoné, 2010)</w:t>
      </w:r>
      <w:r>
        <w:rPr>
          <w:rFonts w:eastAsia="Calibri"/>
        </w:rPr>
        <w:t>.</w:t>
      </w:r>
      <w:r>
        <w:rPr>
          <w:rFonts w:eastAsia="Calibri"/>
        </w:rPr>
        <w:t xml:space="preserve"> </w:t>
      </w:r>
    </w:p>
    <w:p>
      <w:pPr>
        <w:pStyle w:val="style0"/>
        <w:rPr>
          <w:rFonts w:eastAsia="Calibri"/>
        </w:rPr>
      </w:pPr>
      <w:r>
        <w:rPr>
          <w:rFonts w:eastAsia="Calibri"/>
        </w:rPr>
        <w:t>Le pays compte plusieurs types de sols. On peut citer les sols ferrugineux lessivés, les sols peu évolués d’érosion, les sols hydromorphes, les sols bruns eutrophes, les vertisols, les sols halomorphes, etc. Les terres cultivées occupent 13% de la superficie du Burkina sur un potentiel estimé à 9 000 000 ha</w:t>
      </w:r>
      <w:r>
        <w:rPr>
          <w:rFonts w:eastAsia="Calibri"/>
        </w:rPr>
        <w:t xml:space="preserve"> </w:t>
      </w:r>
      <w:r>
        <w:rPr>
          <w:rFonts w:eastAsia="Calibri"/>
        </w:rPr>
        <w:t>(</w:t>
      </w:r>
      <w:r>
        <w:rPr>
          <w:rFonts w:eastAsia="Calibri"/>
        </w:rPr>
        <w:t>B</w:t>
      </w:r>
      <w:r>
        <w:rPr>
          <w:rFonts w:eastAsia="Calibri"/>
        </w:rPr>
        <w:t>onfiglioli, 2010)</w:t>
      </w:r>
      <w:r>
        <w:rPr>
          <w:rFonts w:eastAsia="Calibri"/>
        </w:rPr>
        <w:t>. Une partie de la superficie est occupée par les aires protégées (forêts classées, réserves, parcs nationaux) et les terres de parcours. Cependant, cette répartition de l’espace n’est pas statique et le taux de progression du front agricole est généralement estimé à 3,6 % l’an au détriment des terres de parcours. L’une des contraintes de la production agricole est le faible niveau de fertilité naturelle des sols.</w:t>
      </w:r>
    </w:p>
    <w:p>
      <w:pPr>
        <w:pStyle w:val="style0"/>
        <w:rPr>
          <w:rFonts w:eastAsia="Calibri"/>
        </w:rPr>
      </w:pPr>
      <w:r>
        <w:rPr>
          <w:rFonts w:eastAsia="Calibri"/>
        </w:rPr>
        <w:t xml:space="preserve">En dépit de la réduction globale des moyennes des hauteurs d’eau qui tombent annuellement dans le pays, les quantités reçues, si elles sont bien gérées, permettent aux cultures des saisons humide et sèche de boucler leur cycle. Le grand défi de l’agriculture burkinabè concerne donc la mobilisation et la gestion rationnelle des ressources en eau. </w:t>
      </w:r>
    </w:p>
    <w:p>
      <w:pPr>
        <w:pStyle w:val="style0"/>
        <w:rPr>
          <w:rFonts w:eastAsia="Calibri"/>
        </w:rPr>
      </w:pPr>
      <w:r>
        <w:rPr>
          <w:rFonts w:eastAsia="Calibri"/>
        </w:rPr>
        <w:t xml:space="preserve">Il convient de souligner que le pays dispose d’un potentiel important de bas-fonds. En effet, environ 500 000 ha de bas-fonds aménageables dont moins de 10% sont aujourd’hui aménagés et plus de 233 500 ha irrigables (dont moins de 12% sont actuellement mis en valeur) sont répertoriés à travers le Burkina Faso. </w:t>
      </w:r>
    </w:p>
    <w:bookmarkStart w:id="113" w:name="_Toc260208"/>
    <w:p>
      <w:pPr>
        <w:pStyle w:val="style34"/>
        <w:rPr>
          <w:rFonts w:eastAsia="Calibri"/>
          <w:i/>
          <w:iCs/>
          <w:color w:val="1f497d"/>
          <w:sz w:val="20"/>
          <w:szCs w:val="20"/>
        </w:rPr>
      </w:pPr>
      <w:r>
        <w:rPr>
          <w:sz w:val="20"/>
          <w:szCs w:val="20"/>
        </w:rPr>
        <w:t xml:space="preserve">Tableau </w:t>
      </w:r>
      <w:r>
        <w:rPr>
          <w:sz w:val="20"/>
          <w:szCs w:val="20"/>
        </w:rPr>
        <w:fldChar w:fldCharType="begin"/>
      </w:r>
      <w:r>
        <w:rPr>
          <w:sz w:val="20"/>
          <w:szCs w:val="20"/>
        </w:rPr>
        <w:instrText xml:space="preserve"> </w:instrText>
      </w:r>
      <w:r>
        <w:rPr>
          <w:sz w:val="20"/>
          <w:szCs w:val="20"/>
        </w:rPr>
        <w:instrText>SEQ</w:instrText>
      </w:r>
      <w:r>
        <w:rPr>
          <w:sz w:val="20"/>
          <w:szCs w:val="20"/>
        </w:rPr>
        <w:instrText xml:space="preserve"> Tableau \* ARABIC </w:instrText>
      </w:r>
      <w:r>
        <w:rPr>
          <w:sz w:val="20"/>
          <w:szCs w:val="20"/>
        </w:rPr>
        <w:fldChar w:fldCharType="separate"/>
      </w:r>
      <w:r>
        <w:rPr>
          <w:noProof/>
          <w:sz w:val="20"/>
          <w:szCs w:val="20"/>
        </w:rPr>
        <w:t>1</w:t>
      </w:r>
      <w:r>
        <w:rPr>
          <w:sz w:val="20"/>
          <w:szCs w:val="20"/>
        </w:rPr>
        <w:fldChar w:fldCharType="end"/>
      </w:r>
      <w:r>
        <w:rPr>
          <w:rFonts w:eastAsia="Calibri"/>
          <w:i/>
          <w:iCs/>
          <w:color w:val="1f497d"/>
          <w:sz w:val="20"/>
          <w:szCs w:val="20"/>
        </w:rPr>
        <w:t xml:space="preserve"> : </w:t>
      </w:r>
      <w:r>
        <w:rPr>
          <w:rFonts w:eastAsia="Calibri"/>
          <w:i/>
          <w:iCs/>
          <w:color w:val="1f497d"/>
          <w:sz w:val="20"/>
          <w:szCs w:val="20"/>
        </w:rPr>
        <w:t>C</w:t>
      </w:r>
      <w:r>
        <w:rPr>
          <w:rFonts w:eastAsia="Calibri"/>
          <w:i/>
          <w:iCs/>
          <w:color w:val="1f497d"/>
          <w:sz w:val="20"/>
          <w:szCs w:val="20"/>
        </w:rPr>
        <w:t>aractéristiques des zones agro-écologiques</w:t>
      </w:r>
      <w:bookmarkEnd w:id="113"/>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176"/>
        <w:gridCol w:w="1270"/>
        <w:gridCol w:w="5116"/>
      </w:tblGrid>
      <w:tr>
        <w:trPr>
          <w:trHeight w:val="907" w:hRule="atLeast"/>
          <w:tblHeader/>
        </w:trPr>
        <w:tc>
          <w:tcPr>
            <w:tcW w:w="731" w:type="pct"/>
            <w:tcBorders/>
            <w:shd w:val="clear" w:color="auto" w:fill="ddd9c3"/>
            <w:vAlign w:val="center"/>
          </w:tcPr>
          <w:p>
            <w:pPr>
              <w:pStyle w:val="style0"/>
              <w:spacing w:before="0"/>
              <w:jc w:val="center"/>
              <w:rPr>
                <w:rFonts w:eastAsia="Calibri"/>
                <w:b/>
                <w:sz w:val="20"/>
                <w:szCs w:val="20"/>
              </w:rPr>
            </w:pPr>
            <w:r>
              <w:rPr>
                <w:rFonts w:eastAsia="Calibri"/>
                <w:b/>
                <w:sz w:val="20"/>
                <w:szCs w:val="20"/>
              </w:rPr>
              <w:t>Zones agro-écologiques</w:t>
            </w:r>
          </w:p>
        </w:tc>
        <w:tc>
          <w:tcPr>
            <w:tcW w:w="663" w:type="pct"/>
            <w:tcBorders/>
            <w:shd w:val="clear" w:color="auto" w:fill="ddd9c3"/>
            <w:vAlign w:val="center"/>
          </w:tcPr>
          <w:p>
            <w:pPr>
              <w:pStyle w:val="style0"/>
              <w:spacing w:before="0"/>
              <w:jc w:val="center"/>
              <w:rPr>
                <w:rFonts w:eastAsia="Calibri"/>
                <w:b/>
                <w:sz w:val="20"/>
                <w:szCs w:val="20"/>
              </w:rPr>
            </w:pPr>
            <w:r>
              <w:rPr>
                <w:rFonts w:eastAsia="Calibri"/>
                <w:b/>
                <w:sz w:val="18"/>
                <w:szCs w:val="20"/>
              </w:rPr>
              <w:t>Taux d’occupation de superficie du Burkina (%)</w:t>
            </w:r>
          </w:p>
        </w:tc>
        <w:tc>
          <w:tcPr>
            <w:tcW w:w="717" w:type="pct"/>
            <w:tcBorders/>
            <w:shd w:val="clear" w:color="auto" w:fill="ddd9c3"/>
            <w:vAlign w:val="center"/>
          </w:tcPr>
          <w:p>
            <w:pPr>
              <w:pStyle w:val="style0"/>
              <w:spacing w:before="0"/>
              <w:jc w:val="center"/>
              <w:rPr>
                <w:rFonts w:eastAsia="Calibri"/>
                <w:b/>
                <w:sz w:val="20"/>
                <w:szCs w:val="20"/>
              </w:rPr>
            </w:pPr>
            <w:r>
              <w:rPr>
                <w:rFonts w:eastAsia="Calibri"/>
                <w:b/>
                <w:sz w:val="20"/>
                <w:szCs w:val="20"/>
              </w:rPr>
              <w:t>Pluviométrie (mm)</w:t>
            </w:r>
          </w:p>
        </w:tc>
        <w:tc>
          <w:tcPr>
            <w:tcW w:w="2889" w:type="pct"/>
            <w:tcBorders/>
            <w:shd w:val="clear" w:color="auto" w:fill="ddd9c3"/>
            <w:vAlign w:val="center"/>
          </w:tcPr>
          <w:p>
            <w:pPr>
              <w:pStyle w:val="style0"/>
              <w:spacing w:before="0"/>
              <w:jc w:val="center"/>
              <w:rPr>
                <w:rFonts w:eastAsia="Calibri"/>
                <w:b/>
                <w:sz w:val="20"/>
                <w:szCs w:val="20"/>
              </w:rPr>
            </w:pPr>
            <w:r>
              <w:rPr>
                <w:rFonts w:eastAsia="Calibri"/>
                <w:b/>
                <w:sz w:val="20"/>
                <w:szCs w:val="20"/>
              </w:rPr>
              <w:t>Occupation des sols</w:t>
            </w:r>
          </w:p>
        </w:tc>
      </w:tr>
      <w:tr>
        <w:tblPrEx/>
        <w:trPr/>
        <w:tc>
          <w:tcPr>
            <w:tcW w:w="731" w:type="pct"/>
            <w:tcBorders/>
            <w:shd w:val="clear" w:color="auto" w:fill="auto"/>
            <w:vAlign w:val="center"/>
          </w:tcPr>
          <w:p>
            <w:pPr>
              <w:pStyle w:val="style0"/>
              <w:spacing w:before="0"/>
              <w:rPr>
                <w:rFonts w:eastAsia="Calibri"/>
                <w:sz w:val="20"/>
                <w:szCs w:val="20"/>
              </w:rPr>
            </w:pPr>
            <w:r>
              <w:rPr>
                <w:rFonts w:eastAsia="Calibri"/>
                <w:sz w:val="20"/>
                <w:szCs w:val="20"/>
              </w:rPr>
              <w:t>N</w:t>
            </w:r>
            <w:r>
              <w:rPr>
                <w:rFonts w:eastAsia="Calibri"/>
                <w:sz w:val="20"/>
                <w:szCs w:val="20"/>
              </w:rPr>
              <w:t>ord-</w:t>
            </w:r>
            <w:r>
              <w:rPr>
                <w:rFonts w:eastAsia="Calibri"/>
                <w:sz w:val="20"/>
                <w:szCs w:val="20"/>
              </w:rPr>
              <w:t>S</w:t>
            </w:r>
            <w:r>
              <w:rPr>
                <w:rFonts w:eastAsia="Calibri"/>
                <w:sz w:val="20"/>
                <w:szCs w:val="20"/>
              </w:rPr>
              <w:t>ahélien</w:t>
            </w:r>
          </w:p>
        </w:tc>
        <w:tc>
          <w:tcPr>
            <w:tcW w:w="663" w:type="pct"/>
            <w:tcBorders/>
            <w:shd w:val="clear" w:color="auto" w:fill="auto"/>
            <w:vAlign w:val="center"/>
          </w:tcPr>
          <w:p>
            <w:pPr>
              <w:pStyle w:val="style0"/>
              <w:spacing w:before="0"/>
              <w:jc w:val="center"/>
              <w:rPr>
                <w:rFonts w:eastAsia="Calibri"/>
                <w:sz w:val="20"/>
                <w:szCs w:val="20"/>
              </w:rPr>
            </w:pPr>
            <w:r>
              <w:rPr>
                <w:rFonts w:eastAsia="Calibri"/>
                <w:sz w:val="20"/>
                <w:szCs w:val="20"/>
              </w:rPr>
              <w:t>13.4</w:t>
            </w:r>
          </w:p>
        </w:tc>
        <w:tc>
          <w:tcPr>
            <w:tcW w:w="717" w:type="pct"/>
            <w:tcBorders/>
            <w:shd w:val="clear" w:color="auto" w:fill="auto"/>
            <w:vAlign w:val="center"/>
          </w:tcPr>
          <w:p>
            <w:pPr>
              <w:pStyle w:val="style0"/>
              <w:spacing w:before="0"/>
              <w:jc w:val="center"/>
              <w:rPr>
                <w:rFonts w:eastAsia="Calibri"/>
                <w:sz w:val="20"/>
                <w:szCs w:val="20"/>
              </w:rPr>
            </w:pPr>
            <w:r>
              <w:rPr>
                <w:rFonts w:eastAsia="Calibri"/>
                <w:sz w:val="20"/>
                <w:szCs w:val="20"/>
              </w:rPr>
              <w:t>400</w:t>
            </w:r>
          </w:p>
        </w:tc>
        <w:tc>
          <w:tcPr>
            <w:tcW w:w="2889" w:type="pct"/>
            <w:tcBorders/>
            <w:shd w:val="clear" w:color="auto" w:fill="auto"/>
          </w:tcPr>
          <w:p>
            <w:pPr>
              <w:pStyle w:val="style0"/>
              <w:numPr>
                <w:ilvl w:val="0"/>
                <w:numId w:val="79"/>
              </w:numPr>
              <w:spacing w:before="0"/>
              <w:ind w:left="0" w:firstLine="0"/>
              <w:rPr>
                <w:rFonts w:eastAsia="Calibri"/>
                <w:sz w:val="20"/>
                <w:szCs w:val="20"/>
              </w:rPr>
            </w:pPr>
            <w:r>
              <w:rPr>
                <w:rFonts w:eastAsia="Calibri"/>
                <w:sz w:val="20"/>
                <w:szCs w:val="20"/>
              </w:rPr>
              <w:t>Steppe arbustive à épineux et graminées annuelles ;</w:t>
            </w:r>
          </w:p>
          <w:p>
            <w:pPr>
              <w:pStyle w:val="style0"/>
              <w:numPr>
                <w:ilvl w:val="0"/>
                <w:numId w:val="79"/>
              </w:numPr>
              <w:spacing w:before="0"/>
              <w:ind w:left="0" w:firstLine="0"/>
              <w:rPr>
                <w:rFonts w:eastAsia="Calibri"/>
                <w:sz w:val="20"/>
                <w:szCs w:val="20"/>
              </w:rPr>
            </w:pPr>
            <w:r>
              <w:rPr>
                <w:rFonts w:eastAsia="Calibri"/>
                <w:sz w:val="20"/>
                <w:szCs w:val="20"/>
              </w:rPr>
              <w:t>Zone à vocation pastorale ;</w:t>
            </w:r>
          </w:p>
          <w:p>
            <w:pPr>
              <w:pStyle w:val="style0"/>
              <w:numPr>
                <w:ilvl w:val="0"/>
                <w:numId w:val="79"/>
              </w:numPr>
              <w:spacing w:before="0"/>
              <w:ind w:left="0" w:firstLine="0"/>
              <w:rPr>
                <w:rFonts w:eastAsia="Calibri"/>
                <w:sz w:val="20"/>
                <w:szCs w:val="20"/>
              </w:rPr>
            </w:pPr>
            <w:r>
              <w:rPr>
                <w:rFonts w:eastAsia="Calibri"/>
                <w:sz w:val="20"/>
                <w:szCs w:val="20"/>
              </w:rPr>
              <w:t>Agriculture vivrière à base de mil, sorgho et niébé</w:t>
            </w:r>
          </w:p>
        </w:tc>
      </w:tr>
      <w:tr>
        <w:tblPrEx/>
        <w:trPr/>
        <w:tc>
          <w:tcPr>
            <w:tcW w:w="731" w:type="pct"/>
            <w:tcBorders/>
            <w:shd w:val="clear" w:color="auto" w:fill="auto"/>
            <w:vAlign w:val="center"/>
          </w:tcPr>
          <w:p>
            <w:pPr>
              <w:pStyle w:val="style0"/>
              <w:spacing w:before="0"/>
              <w:rPr>
                <w:rFonts w:eastAsia="Calibri"/>
                <w:sz w:val="20"/>
                <w:szCs w:val="20"/>
              </w:rPr>
            </w:pPr>
            <w:r>
              <w:rPr>
                <w:rFonts w:eastAsia="Calibri"/>
                <w:sz w:val="20"/>
                <w:szCs w:val="20"/>
              </w:rPr>
              <w:t>S</w:t>
            </w:r>
            <w:r>
              <w:rPr>
                <w:rFonts w:eastAsia="Calibri"/>
                <w:sz w:val="20"/>
                <w:szCs w:val="20"/>
              </w:rPr>
              <w:t>ud-</w:t>
            </w:r>
            <w:r>
              <w:rPr>
                <w:rFonts w:eastAsia="Calibri"/>
                <w:sz w:val="20"/>
                <w:szCs w:val="20"/>
              </w:rPr>
              <w:t>S</w:t>
            </w:r>
            <w:r>
              <w:rPr>
                <w:rFonts w:eastAsia="Calibri"/>
                <w:sz w:val="20"/>
                <w:szCs w:val="20"/>
              </w:rPr>
              <w:t>ahélien</w:t>
            </w:r>
          </w:p>
        </w:tc>
        <w:tc>
          <w:tcPr>
            <w:tcW w:w="663" w:type="pct"/>
            <w:tcBorders/>
            <w:shd w:val="clear" w:color="auto" w:fill="auto"/>
            <w:vAlign w:val="center"/>
          </w:tcPr>
          <w:p>
            <w:pPr>
              <w:pStyle w:val="style0"/>
              <w:spacing w:before="0"/>
              <w:jc w:val="center"/>
              <w:rPr>
                <w:rFonts w:eastAsia="Calibri"/>
                <w:sz w:val="20"/>
                <w:szCs w:val="20"/>
              </w:rPr>
            </w:pPr>
            <w:r>
              <w:rPr>
                <w:rFonts w:eastAsia="Calibri"/>
                <w:sz w:val="20"/>
                <w:szCs w:val="20"/>
              </w:rPr>
              <w:t>15.3</w:t>
            </w:r>
          </w:p>
        </w:tc>
        <w:tc>
          <w:tcPr>
            <w:tcW w:w="717" w:type="pct"/>
            <w:tcBorders/>
            <w:shd w:val="clear" w:color="auto" w:fill="auto"/>
            <w:vAlign w:val="center"/>
          </w:tcPr>
          <w:p>
            <w:pPr>
              <w:pStyle w:val="style0"/>
              <w:spacing w:before="0"/>
              <w:jc w:val="center"/>
              <w:rPr>
                <w:rFonts w:eastAsia="Calibri"/>
                <w:sz w:val="20"/>
                <w:szCs w:val="20"/>
              </w:rPr>
            </w:pPr>
            <w:r>
              <w:rPr>
                <w:rFonts w:eastAsia="Calibri"/>
                <w:sz w:val="20"/>
                <w:szCs w:val="20"/>
              </w:rPr>
              <w:t>400-700</w:t>
            </w:r>
          </w:p>
        </w:tc>
        <w:tc>
          <w:tcPr>
            <w:tcW w:w="2889" w:type="pct"/>
            <w:tcBorders/>
            <w:shd w:val="clear" w:color="auto" w:fill="auto"/>
          </w:tcPr>
          <w:p>
            <w:pPr>
              <w:pStyle w:val="style0"/>
              <w:numPr>
                <w:ilvl w:val="0"/>
                <w:numId w:val="79"/>
              </w:numPr>
              <w:spacing w:before="0"/>
              <w:ind w:left="0" w:firstLine="0"/>
              <w:rPr>
                <w:rFonts w:eastAsia="Calibri"/>
                <w:sz w:val="20"/>
                <w:szCs w:val="20"/>
              </w:rPr>
            </w:pPr>
            <w:r>
              <w:rPr>
                <w:rFonts w:eastAsia="Calibri"/>
                <w:sz w:val="20"/>
                <w:szCs w:val="20"/>
              </w:rPr>
              <w:t>Steppe arbustive à combrétacées et à graminées annuelles ;</w:t>
            </w:r>
          </w:p>
          <w:p>
            <w:pPr>
              <w:pStyle w:val="style0"/>
              <w:numPr>
                <w:ilvl w:val="0"/>
                <w:numId w:val="79"/>
              </w:numPr>
              <w:spacing w:before="0"/>
              <w:ind w:left="0" w:firstLine="0"/>
              <w:rPr>
                <w:rFonts w:eastAsia="Calibri"/>
                <w:sz w:val="20"/>
                <w:szCs w:val="20"/>
              </w:rPr>
            </w:pPr>
            <w:r>
              <w:rPr>
                <w:rFonts w:eastAsia="Calibri"/>
                <w:sz w:val="20"/>
                <w:szCs w:val="20"/>
              </w:rPr>
              <w:t>Zone agro-pastorale à dominance agricole ;</w:t>
            </w:r>
          </w:p>
          <w:p>
            <w:pPr>
              <w:pStyle w:val="style0"/>
              <w:numPr>
                <w:ilvl w:val="0"/>
                <w:numId w:val="79"/>
              </w:numPr>
              <w:spacing w:before="0"/>
              <w:ind w:left="0" w:firstLine="0"/>
              <w:rPr>
                <w:rFonts w:eastAsia="Calibri"/>
                <w:sz w:val="20"/>
                <w:szCs w:val="20"/>
              </w:rPr>
            </w:pPr>
            <w:r>
              <w:rPr>
                <w:rFonts w:eastAsia="Calibri"/>
                <w:sz w:val="20"/>
                <w:szCs w:val="20"/>
              </w:rPr>
              <w:t>Forte densité humaine et saturation foncière ;</w:t>
            </w:r>
          </w:p>
          <w:p>
            <w:pPr>
              <w:pStyle w:val="style0"/>
              <w:numPr>
                <w:ilvl w:val="0"/>
                <w:numId w:val="79"/>
              </w:numPr>
              <w:spacing w:before="0"/>
              <w:ind w:left="0" w:firstLine="0"/>
              <w:rPr>
                <w:rFonts w:eastAsia="Calibri"/>
                <w:sz w:val="20"/>
                <w:szCs w:val="20"/>
              </w:rPr>
            </w:pPr>
            <w:r>
              <w:rPr>
                <w:rFonts w:eastAsia="Calibri"/>
                <w:sz w:val="20"/>
                <w:szCs w:val="20"/>
              </w:rPr>
              <w:t>Agriculture céréalière</w:t>
            </w:r>
          </w:p>
        </w:tc>
      </w:tr>
      <w:tr>
        <w:tblPrEx/>
        <w:trPr/>
        <w:tc>
          <w:tcPr>
            <w:tcW w:w="731" w:type="pct"/>
            <w:tcBorders/>
            <w:shd w:val="clear" w:color="auto" w:fill="auto"/>
            <w:vAlign w:val="center"/>
          </w:tcPr>
          <w:p>
            <w:pPr>
              <w:pStyle w:val="style0"/>
              <w:spacing w:before="0"/>
              <w:rPr>
                <w:rFonts w:eastAsia="Calibri"/>
                <w:sz w:val="20"/>
                <w:szCs w:val="20"/>
              </w:rPr>
            </w:pPr>
            <w:r>
              <w:rPr>
                <w:rFonts w:eastAsia="Calibri"/>
                <w:sz w:val="20"/>
                <w:szCs w:val="20"/>
              </w:rPr>
              <w:t>N</w:t>
            </w:r>
            <w:r>
              <w:rPr>
                <w:rFonts w:eastAsia="Calibri"/>
                <w:sz w:val="20"/>
                <w:szCs w:val="20"/>
              </w:rPr>
              <w:t>ord-</w:t>
            </w:r>
            <w:r>
              <w:rPr>
                <w:rFonts w:eastAsia="Calibri"/>
                <w:sz w:val="20"/>
                <w:szCs w:val="20"/>
              </w:rPr>
              <w:t>S</w:t>
            </w:r>
            <w:r>
              <w:rPr>
                <w:rFonts w:eastAsia="Calibri"/>
                <w:sz w:val="20"/>
                <w:szCs w:val="20"/>
              </w:rPr>
              <w:t>oudanien</w:t>
            </w:r>
          </w:p>
        </w:tc>
        <w:tc>
          <w:tcPr>
            <w:tcW w:w="663" w:type="pct"/>
            <w:tcBorders/>
            <w:shd w:val="clear" w:color="auto" w:fill="auto"/>
            <w:vAlign w:val="center"/>
          </w:tcPr>
          <w:p>
            <w:pPr>
              <w:pStyle w:val="style0"/>
              <w:spacing w:before="0"/>
              <w:jc w:val="center"/>
              <w:rPr>
                <w:rFonts w:eastAsia="Calibri"/>
                <w:sz w:val="20"/>
                <w:szCs w:val="20"/>
              </w:rPr>
            </w:pPr>
            <w:r>
              <w:rPr>
                <w:rFonts w:eastAsia="Calibri"/>
                <w:sz w:val="20"/>
                <w:szCs w:val="20"/>
              </w:rPr>
              <w:t>38.9</w:t>
            </w:r>
          </w:p>
        </w:tc>
        <w:tc>
          <w:tcPr>
            <w:tcW w:w="717" w:type="pct"/>
            <w:tcBorders/>
            <w:shd w:val="clear" w:color="auto" w:fill="auto"/>
            <w:vAlign w:val="center"/>
          </w:tcPr>
          <w:p>
            <w:pPr>
              <w:pStyle w:val="style0"/>
              <w:spacing w:before="0"/>
              <w:jc w:val="center"/>
              <w:rPr>
                <w:rFonts w:eastAsia="Calibri"/>
                <w:sz w:val="20"/>
                <w:szCs w:val="20"/>
              </w:rPr>
            </w:pPr>
            <w:r>
              <w:rPr>
                <w:rFonts w:eastAsia="Calibri"/>
                <w:sz w:val="20"/>
                <w:szCs w:val="20"/>
              </w:rPr>
              <w:t>700-900</w:t>
            </w:r>
          </w:p>
        </w:tc>
        <w:tc>
          <w:tcPr>
            <w:tcW w:w="2889" w:type="pct"/>
            <w:tcBorders/>
            <w:shd w:val="clear" w:color="auto" w:fill="auto"/>
          </w:tcPr>
          <w:p>
            <w:pPr>
              <w:pStyle w:val="style0"/>
              <w:numPr>
                <w:ilvl w:val="0"/>
                <w:numId w:val="79"/>
              </w:numPr>
              <w:spacing w:before="0"/>
              <w:ind w:left="0" w:firstLine="0"/>
              <w:rPr>
                <w:rFonts w:eastAsia="Calibri"/>
                <w:sz w:val="20"/>
                <w:szCs w:val="20"/>
              </w:rPr>
            </w:pPr>
            <w:r>
              <w:rPr>
                <w:rFonts w:eastAsia="Calibri"/>
                <w:sz w:val="20"/>
                <w:szCs w:val="20"/>
              </w:rPr>
              <w:t>Savane arborée à arbustive ;</w:t>
            </w:r>
          </w:p>
          <w:p>
            <w:pPr>
              <w:pStyle w:val="style0"/>
              <w:numPr>
                <w:ilvl w:val="0"/>
                <w:numId w:val="79"/>
              </w:numPr>
              <w:spacing w:before="0"/>
              <w:ind w:left="0" w:firstLine="0"/>
              <w:rPr>
                <w:rFonts w:eastAsia="Calibri"/>
                <w:sz w:val="20"/>
                <w:szCs w:val="20"/>
              </w:rPr>
            </w:pPr>
            <w:r>
              <w:rPr>
                <w:rFonts w:eastAsia="Calibri"/>
                <w:sz w:val="20"/>
                <w:szCs w:val="20"/>
              </w:rPr>
              <w:t>Zone agro-pastorale à dominance agricole ;</w:t>
            </w:r>
          </w:p>
          <w:p>
            <w:pPr>
              <w:pStyle w:val="style0"/>
              <w:numPr>
                <w:ilvl w:val="0"/>
                <w:numId w:val="79"/>
              </w:numPr>
              <w:spacing w:before="0"/>
              <w:ind w:left="0" w:firstLine="0"/>
              <w:rPr>
                <w:rFonts w:eastAsia="Calibri"/>
                <w:sz w:val="20"/>
                <w:szCs w:val="20"/>
              </w:rPr>
            </w:pPr>
            <w:r>
              <w:rPr>
                <w:rFonts w:eastAsia="Calibri"/>
                <w:sz w:val="20"/>
                <w:szCs w:val="20"/>
              </w:rPr>
              <w:t>Forte densité de la population ;</w:t>
            </w:r>
          </w:p>
          <w:p>
            <w:pPr>
              <w:pStyle w:val="style0"/>
              <w:numPr>
                <w:ilvl w:val="0"/>
                <w:numId w:val="79"/>
              </w:numPr>
              <w:spacing w:before="0"/>
              <w:ind w:left="0" w:firstLine="0"/>
              <w:rPr>
                <w:rFonts w:eastAsia="Calibri"/>
                <w:sz w:val="20"/>
                <w:szCs w:val="20"/>
              </w:rPr>
            </w:pPr>
            <w:r>
              <w:rPr>
                <w:rFonts w:eastAsia="Calibri"/>
                <w:sz w:val="20"/>
                <w:szCs w:val="20"/>
              </w:rPr>
              <w:t>Ba</w:t>
            </w:r>
            <w:r>
              <w:rPr>
                <w:rFonts w:eastAsia="Calibri"/>
                <w:sz w:val="20"/>
                <w:szCs w:val="20"/>
              </w:rPr>
              <w:t>s</w:t>
            </w:r>
            <w:r>
              <w:rPr>
                <w:rFonts w:eastAsia="Calibri"/>
                <w:sz w:val="20"/>
                <w:szCs w:val="20"/>
              </w:rPr>
              <w:t>sin cotonnier et des céréales</w:t>
            </w:r>
          </w:p>
        </w:tc>
      </w:tr>
      <w:tr>
        <w:tblPrEx/>
        <w:trPr/>
        <w:tc>
          <w:tcPr>
            <w:tcW w:w="731" w:type="pct"/>
            <w:tcBorders/>
            <w:shd w:val="clear" w:color="auto" w:fill="auto"/>
            <w:vAlign w:val="center"/>
          </w:tcPr>
          <w:p>
            <w:pPr>
              <w:pStyle w:val="style0"/>
              <w:spacing w:before="0"/>
              <w:rPr>
                <w:rFonts w:eastAsia="Calibri"/>
                <w:sz w:val="20"/>
                <w:szCs w:val="20"/>
              </w:rPr>
            </w:pPr>
            <w:r>
              <w:rPr>
                <w:rFonts w:eastAsia="Calibri"/>
                <w:sz w:val="20"/>
                <w:szCs w:val="20"/>
              </w:rPr>
              <w:t>S</w:t>
            </w:r>
            <w:r>
              <w:rPr>
                <w:rFonts w:eastAsia="Calibri"/>
                <w:sz w:val="20"/>
                <w:szCs w:val="20"/>
              </w:rPr>
              <w:t>ud-</w:t>
            </w:r>
            <w:r>
              <w:rPr>
                <w:rFonts w:eastAsia="Calibri"/>
                <w:sz w:val="20"/>
                <w:szCs w:val="20"/>
              </w:rPr>
              <w:t>S</w:t>
            </w:r>
            <w:r>
              <w:rPr>
                <w:rFonts w:eastAsia="Calibri"/>
                <w:sz w:val="20"/>
                <w:szCs w:val="20"/>
              </w:rPr>
              <w:t>oudanien</w:t>
            </w:r>
          </w:p>
        </w:tc>
        <w:tc>
          <w:tcPr>
            <w:tcW w:w="663" w:type="pct"/>
            <w:tcBorders/>
            <w:shd w:val="clear" w:color="auto" w:fill="auto"/>
            <w:vAlign w:val="center"/>
          </w:tcPr>
          <w:p>
            <w:pPr>
              <w:pStyle w:val="style0"/>
              <w:spacing w:before="0"/>
              <w:jc w:val="center"/>
              <w:rPr>
                <w:rFonts w:eastAsia="Calibri"/>
                <w:sz w:val="20"/>
                <w:szCs w:val="20"/>
              </w:rPr>
            </w:pPr>
            <w:r>
              <w:rPr>
                <w:rFonts w:eastAsia="Calibri"/>
                <w:sz w:val="20"/>
                <w:szCs w:val="20"/>
              </w:rPr>
              <w:t>32.4</w:t>
            </w:r>
          </w:p>
        </w:tc>
        <w:tc>
          <w:tcPr>
            <w:tcW w:w="717" w:type="pct"/>
            <w:tcBorders/>
            <w:shd w:val="clear" w:color="auto" w:fill="auto"/>
            <w:vAlign w:val="center"/>
          </w:tcPr>
          <w:p>
            <w:pPr>
              <w:pStyle w:val="style0"/>
              <w:spacing w:before="0"/>
              <w:jc w:val="center"/>
              <w:rPr>
                <w:rFonts w:eastAsia="Calibri"/>
                <w:sz w:val="20"/>
                <w:szCs w:val="20"/>
              </w:rPr>
            </w:pPr>
            <w:r>
              <w:rPr>
                <w:rFonts w:eastAsia="Calibri"/>
                <w:sz w:val="20"/>
                <w:szCs w:val="20"/>
              </w:rPr>
              <w:t>900-1 200</w:t>
            </w:r>
          </w:p>
        </w:tc>
        <w:tc>
          <w:tcPr>
            <w:tcW w:w="2889" w:type="pct"/>
            <w:tcBorders/>
            <w:shd w:val="clear" w:color="auto" w:fill="auto"/>
          </w:tcPr>
          <w:p>
            <w:pPr>
              <w:pStyle w:val="style0"/>
              <w:numPr>
                <w:ilvl w:val="0"/>
                <w:numId w:val="79"/>
              </w:numPr>
              <w:spacing w:before="0"/>
              <w:ind w:left="0" w:firstLine="0"/>
              <w:rPr>
                <w:rFonts w:eastAsia="Calibri"/>
                <w:sz w:val="20"/>
                <w:szCs w:val="20"/>
              </w:rPr>
            </w:pPr>
            <w:r>
              <w:rPr>
                <w:rFonts w:eastAsia="Calibri"/>
                <w:sz w:val="20"/>
                <w:szCs w:val="20"/>
              </w:rPr>
              <w:t>Savane arborée à arbustive, boisée et forêts claires ;</w:t>
            </w:r>
          </w:p>
          <w:p>
            <w:pPr>
              <w:pStyle w:val="style0"/>
              <w:numPr>
                <w:ilvl w:val="0"/>
                <w:numId w:val="79"/>
              </w:numPr>
              <w:spacing w:before="0"/>
              <w:ind w:left="0" w:firstLine="0"/>
              <w:rPr>
                <w:rFonts w:eastAsia="Calibri"/>
                <w:sz w:val="20"/>
                <w:szCs w:val="20"/>
              </w:rPr>
            </w:pPr>
            <w:r>
              <w:rPr>
                <w:rFonts w:eastAsia="Calibri"/>
                <w:sz w:val="20"/>
                <w:szCs w:val="20"/>
              </w:rPr>
              <w:t>Zone à vocation agricole (fruits, tubercules, coton et céréales)</w:t>
            </w:r>
          </w:p>
        </w:tc>
      </w:tr>
    </w:tbl>
    <w:p>
      <w:pPr>
        <w:pStyle w:val="style0"/>
        <w:spacing w:before="0"/>
        <w:rPr>
          <w:rFonts w:eastAsia="Calibri"/>
          <w:sz w:val="20"/>
          <w:szCs w:val="20"/>
        </w:rPr>
      </w:pPr>
      <w:r>
        <w:rPr>
          <w:rFonts w:eastAsia="Calibri"/>
          <w:sz w:val="20"/>
          <w:szCs w:val="20"/>
        </w:rPr>
        <w:t>Source : Kagoné, 2010</w:t>
      </w:r>
    </w:p>
    <w:p>
      <w:pPr>
        <w:pStyle w:val="style4"/>
        <w:numPr>
          <w:ilvl w:val="3"/>
          <w:numId w:val="58"/>
        </w:numPr>
        <w:rPr>
          <w:sz w:val="22"/>
        </w:rPr>
      </w:pPr>
      <w:r>
        <w:rPr>
          <w:sz w:val="22"/>
        </w:rPr>
        <w:t>Ressources en eaux souterraines et de surface</w:t>
      </w:r>
      <w:r>
        <w:rPr>
          <w:sz w:val="22"/>
        </w:rPr>
        <w:t xml:space="preserve"> </w:t>
      </w:r>
    </w:p>
    <w:p>
      <w:pPr>
        <w:pStyle w:val="style0"/>
        <w:rPr>
          <w:lang w:eastAsia="fr-FR"/>
        </w:rPr>
      </w:pPr>
      <w:r>
        <w:rPr>
          <w:shd w:val="clear" w:color="auto" w:fill="ffffff"/>
          <w:lang w:eastAsia="fr-FR"/>
        </w:rPr>
        <w:t xml:space="preserve">Le Burkina Faso a relativement un réseau hydrographique important, malgré un climat sec. La majorité des cours d’eau est située au sud du pays. La plupart des cours d’eau sont reliés à trois bassins importants ; les bassins du Niger, de la Comoé et de la Volta. Le bassin de la Volta constitue l’étendue d’eau le plus important du </w:t>
      </w:r>
      <w:r>
        <w:rPr>
          <w:shd w:val="clear" w:color="auto" w:fill="ffffff"/>
          <w:lang w:eastAsia="fr-FR"/>
        </w:rPr>
        <w:t>pays</w:t>
      </w:r>
      <w:r>
        <w:rPr>
          <w:shd w:val="clear" w:color="auto" w:fill="ffffff"/>
          <w:lang w:eastAsia="fr-FR"/>
        </w:rPr>
        <w:t xml:space="preserve"> avec une superficie de 178 000 kilomètres carrés. Ce bassin est subdivisé en 3 cours d’eau ;</w:t>
      </w:r>
      <w:r>
        <w:rPr>
          <w:shd w:val="clear" w:color="auto" w:fill="ffffff"/>
          <w:lang w:eastAsia="fr-FR"/>
        </w:rPr>
        <w:t xml:space="preserve"> le Mouhoun, le Nakambé</w:t>
      </w:r>
      <w:r>
        <w:rPr>
          <w:shd w:val="clear" w:color="auto" w:fill="ffffff"/>
          <w:lang w:eastAsia="fr-FR"/>
        </w:rPr>
        <w:t xml:space="preserve"> et le Nazinon</w:t>
      </w:r>
      <w:r>
        <w:rPr>
          <w:shd w:val="clear" w:color="auto" w:fill="ffffff"/>
          <w:lang w:eastAsia="fr-FR"/>
        </w:rPr>
        <w:t xml:space="preserve">. Le bassin de la Volta se dirige vers le centre du Ghana afin d’y former le lac Volta.  La Comoé et le Mouhoun sont les deux seuls fleuves permanents </w:t>
      </w:r>
      <w:r>
        <w:rPr>
          <w:shd w:val="clear" w:color="auto" w:fill="ffffff"/>
          <w:lang w:eastAsia="fr-FR"/>
        </w:rPr>
        <w:t>du</w:t>
      </w:r>
      <w:r>
        <w:rPr>
          <w:shd w:val="clear" w:color="auto" w:fill="ffffff"/>
          <w:lang w:eastAsia="fr-FR"/>
        </w:rPr>
        <w:t xml:space="preserve"> pays. </w:t>
      </w:r>
      <w:r>
        <w:rPr>
          <w:shd w:val="clear" w:color="auto" w:fill="ffffff"/>
          <w:lang w:eastAsia="fr-FR"/>
        </w:rPr>
        <w:t xml:space="preserve">Ces eaux traversent les zones concernées par le programme. </w:t>
      </w:r>
      <w:r>
        <w:rPr>
          <w:lang w:eastAsia="fr-FR"/>
        </w:rPr>
        <w:t>Les eaux de surface représentent l'équivalent de 10 milliards de m</w:t>
      </w:r>
      <w:r>
        <w:rPr/>
        <w:fldChar w:fldCharType="begin"/>
      </w:r>
      <w:r>
        <w:instrText xml:space="preserve"> HYPERLINK "http://www.fao.org/docrep/009/j2623f/J2623F08.htm" \l "fn4" </w:instrText>
      </w:r>
      <w:r>
        <w:rPr/>
        <w:fldChar w:fldCharType="separate"/>
      </w:r>
      <w:r>
        <w:rPr>
          <w:u w:val="single"/>
          <w:vertAlign w:val="superscript"/>
          <w:lang w:eastAsia="fr-FR"/>
        </w:rPr>
        <w:t>3</w:t>
      </w:r>
      <w:r>
        <w:rPr/>
        <w:fldChar w:fldCharType="end"/>
      </w:r>
      <w:r>
        <w:rPr>
          <w:lang w:eastAsia="fr-FR"/>
        </w:rPr>
        <w:t>. Sur les 2,7 milliards de m</w:t>
      </w:r>
      <w:r>
        <w:rPr/>
        <w:fldChar w:fldCharType="begin"/>
      </w:r>
      <w:r>
        <w:instrText xml:space="preserve"> HYPERLINK "http://www.fao.org/docrep/009/j2623f/J2623F08.htm" \l "fn4" </w:instrText>
      </w:r>
      <w:r>
        <w:rPr/>
        <w:fldChar w:fldCharType="separate"/>
      </w:r>
      <w:r>
        <w:rPr>
          <w:u w:val="single"/>
          <w:vertAlign w:val="superscript"/>
          <w:lang w:eastAsia="fr-FR"/>
        </w:rPr>
        <w:t>3</w:t>
      </w:r>
      <w:r>
        <w:rPr/>
        <w:fldChar w:fldCharType="end"/>
      </w:r>
      <w:r>
        <w:rPr>
          <w:lang w:eastAsia="fr-FR"/>
        </w:rPr>
        <w:t> d'eau que les barrages stockent, 1,6 milliards de mètres cubes sont utilisés pour l'alimentation en eau potable des populations.</w:t>
      </w:r>
    </w:p>
    <w:p>
      <w:pPr>
        <w:pStyle w:val="style0"/>
        <w:spacing w:lineRule="auto" w:line="276"/>
        <w:rPr>
          <w:sz w:val="23"/>
          <w:szCs w:val="23"/>
          <w:lang w:eastAsia="fr-FR"/>
        </w:rPr>
      </w:pPr>
    </w:p>
    <w:p>
      <w:pPr>
        <w:pStyle w:val="style4"/>
        <w:numPr>
          <w:ilvl w:val="3"/>
          <w:numId w:val="58"/>
        </w:numPr>
        <w:rPr>
          <w:sz w:val="22"/>
        </w:rPr>
      </w:pPr>
      <w:r>
        <w:rPr>
          <w:sz w:val="22"/>
        </w:rPr>
        <w:t>La végétation</w:t>
      </w:r>
      <w:r>
        <w:rPr>
          <w:sz w:val="22"/>
        </w:rPr>
        <w:t xml:space="preserve"> </w:t>
      </w:r>
    </w:p>
    <w:p>
      <w:pPr>
        <w:pStyle w:val="style0"/>
        <w:rPr>
          <w:lang w:eastAsia="fr-FR"/>
        </w:rPr>
      </w:pPr>
      <w:r>
        <w:rPr>
          <w:lang w:eastAsia="fr-FR"/>
        </w:rPr>
        <w:t>Elle se compose de forêts sèches, savanes boisées, savanes arbustives et de forêts g</w:t>
      </w:r>
      <w:r>
        <w:rPr>
          <w:lang w:eastAsia="fr-FR"/>
        </w:rPr>
        <w:t xml:space="preserve">aleries qui couvrent près de 57% </w:t>
      </w:r>
      <w:r>
        <w:rPr>
          <w:lang w:eastAsia="fr-FR"/>
        </w:rPr>
        <w:t xml:space="preserve">du territoire. La plupart des zones encore boisées se retrouvent dans les parties </w:t>
      </w:r>
      <w:r>
        <w:rPr>
          <w:lang w:eastAsia="fr-FR"/>
        </w:rPr>
        <w:t>C</w:t>
      </w:r>
      <w:r>
        <w:rPr>
          <w:lang w:eastAsia="fr-FR"/>
        </w:rPr>
        <w:t>entre</w:t>
      </w:r>
      <w:r>
        <w:rPr>
          <w:lang w:eastAsia="fr-FR"/>
        </w:rPr>
        <w:t xml:space="preserve">-sud, </w:t>
      </w:r>
      <w:r>
        <w:rPr>
          <w:lang w:eastAsia="fr-FR"/>
        </w:rPr>
        <w:t>S</w:t>
      </w:r>
      <w:r>
        <w:rPr>
          <w:lang w:eastAsia="fr-FR"/>
        </w:rPr>
        <w:t>ud</w:t>
      </w:r>
      <w:r>
        <w:rPr>
          <w:lang w:eastAsia="fr-FR"/>
        </w:rPr>
        <w:t xml:space="preserve">-est, </w:t>
      </w:r>
      <w:r>
        <w:rPr>
          <w:lang w:eastAsia="fr-FR"/>
        </w:rPr>
        <w:t>S</w:t>
      </w:r>
      <w:r>
        <w:rPr>
          <w:lang w:eastAsia="fr-FR"/>
        </w:rPr>
        <w:t>ud</w:t>
      </w:r>
      <w:r>
        <w:rPr>
          <w:lang w:eastAsia="fr-FR"/>
        </w:rPr>
        <w:t xml:space="preserve">-ouest et </w:t>
      </w:r>
      <w:r>
        <w:rPr>
          <w:lang w:eastAsia="fr-FR"/>
        </w:rPr>
        <w:t>O</w:t>
      </w:r>
      <w:r>
        <w:rPr>
          <w:lang w:eastAsia="fr-FR"/>
        </w:rPr>
        <w:t xml:space="preserve">uest </w:t>
      </w:r>
      <w:r>
        <w:rPr>
          <w:lang w:eastAsia="fr-FR"/>
        </w:rPr>
        <w:t xml:space="preserve">du pays. Les régions </w:t>
      </w:r>
      <w:r>
        <w:rPr>
          <w:lang w:eastAsia="fr-FR"/>
        </w:rPr>
        <w:t>C</w:t>
      </w:r>
      <w:r>
        <w:rPr>
          <w:lang w:eastAsia="fr-FR"/>
        </w:rPr>
        <w:t>entre</w:t>
      </w:r>
      <w:r>
        <w:rPr>
          <w:lang w:eastAsia="fr-FR"/>
        </w:rPr>
        <w:t xml:space="preserve">-nord et </w:t>
      </w:r>
      <w:r>
        <w:rPr>
          <w:lang w:eastAsia="fr-FR"/>
        </w:rPr>
        <w:t>N</w:t>
      </w:r>
      <w:r>
        <w:rPr>
          <w:lang w:eastAsia="fr-FR"/>
        </w:rPr>
        <w:t xml:space="preserve">ord </w:t>
      </w:r>
      <w:r>
        <w:rPr>
          <w:lang w:eastAsia="fr-FR"/>
        </w:rPr>
        <w:t>sont dominées par la savane arbustive et les steppes. Le patrimoine forestier se compose de forêts protégées, des forêts classées et de parcs nationaux et réserves de faune.</w:t>
      </w:r>
    </w:p>
    <w:p>
      <w:pPr>
        <w:pStyle w:val="style0"/>
        <w:rPr>
          <w:lang w:eastAsia="fr-FR"/>
        </w:rPr>
      </w:pPr>
      <w:r>
        <w:rPr>
          <w:lang w:eastAsia="fr-FR"/>
        </w:rPr>
        <w:t>Au Burkina Faso, le domaine forestier de l'Etat couvre une superficie totale estimée à 3,9 millions d'hectares soit environ 14% de la superficie du territoire national. Ainsi, il est composé de 77 aires classées dont 65 forêts classées (IUCN, 2010). Mais</w:t>
      </w:r>
      <w:r>
        <w:rPr>
          <w:lang w:eastAsia="fr-FR"/>
        </w:rPr>
        <w:t>,</w:t>
      </w:r>
      <w:r>
        <w:rPr>
          <w:lang w:eastAsia="fr-FR"/>
        </w:rPr>
        <w:t xml:space="preserve"> les domaines classés et protégés sont estimés à 15 420 000 hectares. </w:t>
      </w:r>
    </w:p>
    <w:p>
      <w:pPr>
        <w:pStyle w:val="style0"/>
        <w:rPr>
          <w:lang w:eastAsia="fr-FR"/>
        </w:rPr>
      </w:pPr>
      <w:r>
        <w:rPr>
          <w:lang w:eastAsia="fr-FR"/>
        </w:rPr>
        <w:t>Ces domaines ont comme type de formation les forêts galeries, les forêts claires, les savanes arborées et arbustives. Les domaines classés couvrent une superficie de 11 565 000 hectares soit 75% de l'ensemble de ces formations. Les domaines protégés s'étendent sur 3 855 000 hectares soit 25% de l'ensemble de ces formations forestières. Ils comprennent les parcs nationaux (390 000ha), les réserves de faune (2 545 000ha) et les forêts classées (880 000ha).</w:t>
      </w:r>
      <w:r>
        <w:rPr>
          <w:lang w:eastAsia="fr-FR"/>
        </w:rPr>
        <w:t xml:space="preserve"> </w:t>
      </w:r>
      <w:r>
        <w:rPr>
          <w:lang w:eastAsia="fr-FR"/>
        </w:rPr>
        <w:t>Ces aires protégées sont inégalement réparties sur l'ensemble du territoire national. Le nombre important de forêts classées se situe sur le long des principaux cours d'eau du pays.</w:t>
      </w:r>
    </w:p>
    <w:p>
      <w:pPr>
        <w:pStyle w:val="style0"/>
        <w:rPr>
          <w:lang w:eastAsia="fr-FR"/>
        </w:rPr>
      </w:pPr>
      <w:r>
        <w:rPr>
          <w:lang w:eastAsia="fr-FR"/>
        </w:rPr>
        <w:t xml:space="preserve">De ce fait, les régions les plus arrosées disposent d'un nombre élevé de forêts classées. </w:t>
      </w:r>
      <w:r>
        <w:rPr>
          <w:lang w:eastAsia="fr-FR"/>
        </w:rPr>
        <w:t>Il s’agit</w:t>
      </w:r>
      <w:r>
        <w:rPr>
          <w:lang w:eastAsia="fr-FR"/>
        </w:rPr>
        <w:t xml:space="preserve"> des Hauts-Bassins (15 forêts classées), des Cascades (13 forêts classées) et de la Boucle du Mouhoun (12 forêts classées)</w:t>
      </w:r>
      <w:r>
        <w:rPr>
          <w:lang w:eastAsia="fr-FR"/>
        </w:rPr>
        <w:t xml:space="preserve">, tous concernées par le PDCA. </w:t>
      </w:r>
    </w:p>
    <w:bookmarkStart w:id="114" w:name="_Toc2831188"/>
    <w:p>
      <w:pPr>
        <w:pStyle w:val="style3"/>
        <w:numPr>
          <w:ilvl w:val="2"/>
          <w:numId w:val="58"/>
        </w:numPr>
        <w:rPr/>
      </w:pPr>
      <w:r>
        <w:t>Caractéristiques socio-économiques</w:t>
      </w:r>
      <w:bookmarkEnd w:id="114"/>
      <w:r>
        <w:t xml:space="preserve"> </w:t>
      </w:r>
    </w:p>
    <w:p>
      <w:pPr>
        <w:pStyle w:val="style0"/>
        <w:rPr>
          <w:rFonts w:eastAsia="MS Mincho"/>
        </w:rPr>
      </w:pPr>
      <w:r>
        <w:rPr>
          <w:rFonts w:eastAsia="MS Mincho"/>
        </w:rPr>
        <w:t>Le Burkina Faso est un pays sahélien d’environ 19,63</w:t>
      </w:r>
      <w:r>
        <w:rPr>
          <w:rStyle w:val="style38"/>
          <w:iCs/>
          <w:kern w:val="2"/>
          <w:sz w:val="23"/>
          <w:szCs w:val="23"/>
        </w:rPr>
        <w:footnoteReference w:id="1"/>
      </w:r>
      <w:r>
        <w:rPr>
          <w:rFonts w:eastAsia="MS Mincho"/>
        </w:rPr>
        <w:t xml:space="preserve"> millions d’habitants avec un indice de développement humain des Nations-Unies (IDH) de 0,402 en 2015. La population est essentiellement jeune (45%), à majorité rurale (77%) avec 52% de femmes. </w:t>
      </w:r>
    </w:p>
    <w:p>
      <w:pPr>
        <w:pStyle w:val="style0"/>
        <w:rPr/>
      </w:pPr>
      <w:r>
        <w:t>Le taux de pauvreté au Burkina Faso est passé de 46,7% en 2009 à 40,1% en 2014 (EMC 2014) soit un repli de 6 points. Cependant cette baisse dépend du milieu de vie. En effet, le taux de pauvreté est passé de 25,2% en 2009 à 13,7% en 2014 en milieu urbain et de 52,8% en 2009 à 47,5% en 2014 en milieu rural. La baisse de l’incidence est beaucoup plus modeste en milieu rural qu’en milieu urbain.</w:t>
      </w:r>
    </w:p>
    <w:p>
      <w:pPr>
        <w:pStyle w:val="style0"/>
        <w:rPr/>
      </w:pPr>
      <w:r>
        <w:t xml:space="preserve">Les disparités relatives à l'incidence de la pauvreté sont également une réalité constante pour les régions. En 2014, il apparaît de plus fortes incidences de la pauvreté dans les régions du Nord (70,4%) et de la Boucle du Mouhoun (59,7%). </w:t>
      </w:r>
    </w:p>
    <w:p>
      <w:pPr>
        <w:pStyle w:val="style0"/>
        <w:rPr/>
      </w:pPr>
      <w:r>
        <w:t xml:space="preserve">Quant à la pauvreté alimentaire, elle touche 63,7% des populations rurales contre 36,1% des populations urbaines. Les régions les plus touchées </w:t>
      </w:r>
      <w:r>
        <w:t xml:space="preserve">et concernées par le programme </w:t>
      </w:r>
      <w:r>
        <w:t>sont : le Nord et</w:t>
      </w:r>
      <w:r>
        <w:t xml:space="preserve"> la Boucle du Mouhoun, avec respectivement une incidence de pauvreté de 84,9%, 81,5%, 71,0%.</w:t>
      </w:r>
    </w:p>
    <w:p>
      <w:pPr>
        <w:pStyle w:val="style0"/>
        <w:rPr>
          <w:rFonts w:eastAsia="MS Mincho"/>
        </w:rPr>
      </w:pPr>
      <w:r>
        <w:rPr>
          <w:rFonts w:eastAsia="MS Mincho"/>
        </w:rPr>
        <w:t>La production végétale, est essentiellement constituée de cultures vivrières composées principalement de céréales (maïs, sorgho, mil, riz, fonio), de cultures de rente (coton, sésame, arachide, soja), et de cultures maraichères (oignon, tomate, aubergine, choux, etc</w:t>
      </w:r>
      <w:r>
        <w:rPr>
          <w:rFonts w:eastAsia="MS Mincho"/>
        </w:rPr>
        <w:t>.</w:t>
      </w:r>
      <w:r>
        <w:rPr>
          <w:rFonts w:eastAsia="MS Mincho"/>
        </w:rPr>
        <w:t>). D’autres cultures vivrières telles que l’</w:t>
      </w:r>
      <w:r>
        <w:rPr>
          <w:rFonts w:eastAsia="MS Mincho"/>
          <w:bCs/>
        </w:rPr>
        <w:t xml:space="preserve">igname, la patate douce, le niébé et le </w:t>
      </w:r>
      <w:r>
        <w:rPr>
          <w:rFonts w:eastAsia="MS Mincho"/>
        </w:rPr>
        <w:t>voandzou, sont également cultivées.</w:t>
      </w:r>
    </w:p>
    <w:p>
      <w:pPr>
        <w:pStyle w:val="style0"/>
        <w:rPr>
          <w:rFonts w:eastAsia="MS Mincho"/>
        </w:rPr>
      </w:pPr>
      <w:r>
        <w:rPr>
          <w:rFonts w:eastAsia="MS Mincho"/>
        </w:rPr>
        <w:t xml:space="preserve">Selon les résultats de la campagne agricole 2016-2017, la production totale courante des cultures céréalières </w:t>
      </w:r>
      <w:r>
        <w:rPr>
          <w:rFonts w:eastAsia="MS Mincho"/>
        </w:rPr>
        <w:t>é</w:t>
      </w:r>
      <w:r>
        <w:rPr>
          <w:rFonts w:eastAsia="MS Mincho"/>
        </w:rPr>
        <w:t>tait</w:t>
      </w:r>
      <w:r>
        <w:rPr>
          <w:rFonts w:eastAsia="MS Mincho"/>
        </w:rPr>
        <w:t xml:space="preserve"> </w:t>
      </w:r>
      <w:r>
        <w:rPr>
          <w:rFonts w:eastAsia="MS Mincho"/>
        </w:rPr>
        <w:t xml:space="preserve">de 4 567 066 tonnes, des cultures de rente de 1 493 900 tonnes et de 724 286 tonnes pour les autres cultures vivrières. </w:t>
      </w:r>
    </w:p>
    <w:p>
      <w:pPr>
        <w:pStyle w:val="style0"/>
        <w:rPr/>
      </w:pPr>
      <w:r>
        <w:rPr>
          <w:rFonts w:eastAsia="MS Mincho"/>
        </w:rPr>
        <w:t>Les rendements moyens nationaux des principaux produits céréaliers cultivés en pure sont respectivement de 809 kg/ha pour le mil, 1 775 kg/ha pour le maïs, 1 547 kg/ha pour le riz, 992 kg/ha pour le sorgho blanc, 1 164 kg/ha pour le sorgho rouge et 747 kg/ha pour le fonio. Les rendements nationaux des cultures de rente en pure sont de 1 208 kg/ha pour le coton, de 865 kg/ha pour l’arachide, de 543 kg/ha pour le sésame et de 881 kg/ha pour le soja. Quant aux rendements des autres cultures vivrières, ils sont de 6 386 kg/ha pour l’igname, 11 238 kg/ha pour la patate douce, 720 kg/ha pour le niébé et 740 kg/ha pour le voandzou. (</w:t>
      </w:r>
      <w:r>
        <w:t>DSS/DGESS/MAAH, 2017)</w:t>
      </w:r>
      <w:r>
        <w:t>.</w:t>
      </w:r>
    </w:p>
    <w:p>
      <w:pPr>
        <w:pStyle w:val="style0"/>
        <w:rPr>
          <w:rFonts w:eastAsia="MS Mincho"/>
        </w:rPr>
      </w:pPr>
      <w:r>
        <w:rPr>
          <w:rFonts w:eastAsia="MS Mincho"/>
        </w:rPr>
        <w:t xml:space="preserve">Au regard des résultats, globalement la production céréalière a augmenté ces dernières années de 9,01% par rapport à la campagne agricole 2015-2016 et une hausse de 3,36% </w:t>
      </w:r>
      <w:r>
        <w:rPr>
          <w:rFonts w:eastAsia="MS Mincho"/>
        </w:rPr>
        <w:t xml:space="preserve">par rapport à la moyenne des cinq dernières années. Quant aux rendements, comparativement à la campagne 2015-2016, ils connaissent une baisse pour certaines céréales et une hausse pour le riz hors aménagement. Toutefois ces rendements, dans leur évolution historique des 05 dernières campagnes, révèlent des tendances à la stagnation pour toutes les céréales. D’une manière générale, les rendements ont évolué en dents de scie, exception faite pour le mil et le sorgho blanc. Cette situation fait apparaitre une non maitrise des bonnes pratiques culturales, mais aussi une faible adoption des technologies améliorées de production. </w:t>
      </w:r>
    </w:p>
    <w:p>
      <w:pPr>
        <w:pStyle w:val="style0"/>
        <w:rPr>
          <w:rFonts w:eastAsia="MS Mincho"/>
        </w:rPr>
      </w:pPr>
      <w:r>
        <w:rPr>
          <w:rFonts w:eastAsia="MS Mincho"/>
        </w:rPr>
        <w:t>Pour les superficies emblavées, les résultats de la campagne agricole 2016-2017 révèlent une hausse généralisée de l’ensemble des superficies cultivées dénotant une faible intensification du système agricole et l’accroissement de la population rurale dans un contexte où le facteur terre est de plus en plus rare.</w:t>
      </w:r>
      <w:r>
        <w:t xml:space="preserve"> </w:t>
      </w:r>
      <w:r>
        <w:rPr>
          <w:rFonts w:eastAsia="MS Mincho"/>
        </w:rPr>
        <w:t xml:space="preserve">Aussi, avec les aléas climatiques en hausse (en moyenne une campagne sur quatre est déficitaire), la récurrence des catastrophes naturelles (chenilles légionnaires, sautereaux, etc.) et une dégradation de la fertilité des sols, la productivité agricole est en forte baisse. Le Tableau </w:t>
      </w:r>
      <w:r>
        <w:rPr>
          <w:rFonts w:eastAsia="MS Mincho"/>
        </w:rPr>
        <w:t>2</w:t>
      </w:r>
      <w:r>
        <w:rPr>
          <w:rFonts w:eastAsia="MS Mincho"/>
        </w:rPr>
        <w:t xml:space="preserve"> indique les facteurs principaux de perte de la production. Ainsi, bien que les effets de la variabilité climatique se fassent ressentir, les parasites et ravageurs causent d’énormes pertes. </w:t>
      </w:r>
      <w:bookmarkStart w:id="115" w:name="_Toc477108873"/>
    </w:p>
    <w:p>
      <w:pPr>
        <w:pStyle w:val="style0"/>
        <w:rPr>
          <w:rFonts w:eastAsia="MS Mincho"/>
        </w:rPr>
      </w:pPr>
    </w:p>
    <w:bookmarkStart w:id="116" w:name="_Toc260209"/>
    <w:p>
      <w:pPr>
        <w:pStyle w:val="style34"/>
        <w:spacing w:before="0" w:after="0"/>
        <w:rPr>
          <w:szCs w:val="23"/>
        </w:rPr>
      </w:pPr>
      <w:r>
        <w:rPr>
          <w:sz w:val="21"/>
          <w:szCs w:val="20"/>
        </w:rPr>
        <w:t xml:space="preserve">Tableau </w:t>
      </w:r>
      <w:r>
        <w:rPr>
          <w:sz w:val="21"/>
          <w:szCs w:val="20"/>
        </w:rPr>
        <w:fldChar w:fldCharType="begin"/>
      </w:r>
      <w:r>
        <w:rPr>
          <w:sz w:val="21"/>
          <w:szCs w:val="20"/>
        </w:rPr>
        <w:instrText xml:space="preserve"> SEQ Tableau \* ARABIC </w:instrText>
      </w:r>
      <w:r>
        <w:rPr>
          <w:sz w:val="21"/>
          <w:szCs w:val="20"/>
        </w:rPr>
        <w:fldChar w:fldCharType="separate"/>
      </w:r>
      <w:r>
        <w:rPr>
          <w:noProof/>
          <w:sz w:val="21"/>
          <w:szCs w:val="20"/>
        </w:rPr>
        <w:t>2</w:t>
      </w:r>
      <w:r>
        <w:rPr>
          <w:sz w:val="21"/>
          <w:szCs w:val="20"/>
        </w:rPr>
        <w:fldChar w:fldCharType="end"/>
      </w:r>
      <w:r>
        <w:rPr>
          <w:rFonts w:eastAsia="Calibri"/>
          <w:i/>
          <w:iCs/>
          <w:color w:val="1f497d"/>
          <w:sz w:val="21"/>
          <w:szCs w:val="20"/>
        </w:rPr>
        <w:t xml:space="preserve"> : </w:t>
      </w:r>
      <w:r>
        <w:rPr>
          <w:rFonts w:eastAsia="Calibri"/>
          <w:i/>
          <w:iCs/>
          <w:color w:val="1f497d"/>
          <w:sz w:val="20"/>
          <w:szCs w:val="20"/>
        </w:rPr>
        <w:t>Pourcentage de parcelles affectées par les facteurs de perte dans les zones concernées par le PDCA</w:t>
      </w:r>
      <w:bookmarkEnd w:id="115"/>
      <w:bookmarkEnd w:id="116"/>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0"/>
        <w:gridCol w:w="959"/>
        <w:gridCol w:w="941"/>
        <w:gridCol w:w="702"/>
        <w:gridCol w:w="907"/>
        <w:gridCol w:w="850"/>
        <w:gridCol w:w="965"/>
        <w:gridCol w:w="878"/>
        <w:gridCol w:w="992"/>
      </w:tblGrid>
      <w:tr>
        <w:trPr>
          <w:trHeight w:val="665" w:hRule="atLeast"/>
          <w:jc w:val="center"/>
        </w:trPr>
        <w:tc>
          <w:tcPr>
            <w:tcW w:w="2440" w:type="dxa"/>
            <w:tcBorders/>
            <w:shd w:val="clear" w:color="auto" w:fill="d9d9d9"/>
            <w:noWrap/>
            <w:vAlign w:val="center"/>
            <w:hideMark/>
          </w:tcPr>
          <w:p>
            <w:pPr>
              <w:pStyle w:val="style0"/>
              <w:spacing w:before="0"/>
              <w:jc w:val="left"/>
              <w:rPr>
                <w:b/>
                <w:sz w:val="18"/>
                <w:szCs w:val="23"/>
                <w:lang w:eastAsia="fr-FR"/>
              </w:rPr>
            </w:pPr>
            <w:r>
              <w:rPr>
                <w:b/>
                <w:sz w:val="18"/>
                <w:szCs w:val="23"/>
                <w:lang w:eastAsia="fr-FR"/>
              </w:rPr>
              <w:t>REGIONS</w:t>
            </w:r>
          </w:p>
        </w:tc>
        <w:tc>
          <w:tcPr>
            <w:tcW w:w="959" w:type="dxa"/>
            <w:tcBorders/>
            <w:shd w:val="clear" w:color="auto" w:fill="d9d9d9"/>
            <w:vAlign w:val="center"/>
            <w:hideMark/>
          </w:tcPr>
          <w:p>
            <w:pPr>
              <w:pStyle w:val="style0"/>
              <w:spacing w:before="0"/>
              <w:jc w:val="left"/>
              <w:rPr>
                <w:b/>
                <w:sz w:val="18"/>
                <w:szCs w:val="23"/>
                <w:lang w:eastAsia="fr-FR"/>
              </w:rPr>
            </w:pPr>
            <w:r>
              <w:rPr>
                <w:b/>
                <w:sz w:val="18"/>
                <w:szCs w:val="23"/>
                <w:lang w:eastAsia="fr-FR"/>
              </w:rPr>
              <w:t>Sécheresse</w:t>
            </w:r>
          </w:p>
        </w:tc>
        <w:tc>
          <w:tcPr>
            <w:tcW w:w="941" w:type="dxa"/>
            <w:tcBorders/>
            <w:shd w:val="clear" w:color="auto" w:fill="d9d9d9"/>
            <w:vAlign w:val="center"/>
            <w:hideMark/>
          </w:tcPr>
          <w:p>
            <w:pPr>
              <w:pStyle w:val="style0"/>
              <w:spacing w:before="0"/>
              <w:jc w:val="left"/>
              <w:rPr>
                <w:b/>
                <w:sz w:val="18"/>
                <w:szCs w:val="23"/>
                <w:lang w:eastAsia="fr-FR"/>
              </w:rPr>
            </w:pPr>
            <w:r>
              <w:rPr>
                <w:b/>
                <w:sz w:val="18"/>
                <w:szCs w:val="23"/>
                <w:lang w:eastAsia="fr-FR"/>
              </w:rPr>
              <w:t>Inondation</w:t>
            </w:r>
          </w:p>
        </w:tc>
        <w:tc>
          <w:tcPr>
            <w:tcW w:w="702" w:type="dxa"/>
            <w:tcBorders/>
            <w:shd w:val="clear" w:color="auto" w:fill="d9d9d9"/>
            <w:vAlign w:val="center"/>
            <w:hideMark/>
          </w:tcPr>
          <w:p>
            <w:pPr>
              <w:pStyle w:val="style0"/>
              <w:spacing w:before="0"/>
              <w:jc w:val="left"/>
              <w:rPr>
                <w:b/>
                <w:sz w:val="18"/>
                <w:szCs w:val="23"/>
                <w:lang w:eastAsia="fr-FR"/>
              </w:rPr>
            </w:pPr>
            <w:r>
              <w:rPr>
                <w:b/>
                <w:sz w:val="18"/>
                <w:szCs w:val="23"/>
                <w:lang w:eastAsia="fr-FR"/>
              </w:rPr>
              <w:t>Feux de brousse</w:t>
            </w:r>
          </w:p>
        </w:tc>
        <w:tc>
          <w:tcPr>
            <w:tcW w:w="907" w:type="dxa"/>
            <w:tcBorders/>
            <w:shd w:val="clear" w:color="auto" w:fill="d9d9d9"/>
            <w:vAlign w:val="center"/>
            <w:hideMark/>
          </w:tcPr>
          <w:p>
            <w:pPr>
              <w:pStyle w:val="style0"/>
              <w:spacing w:before="0"/>
              <w:jc w:val="left"/>
              <w:rPr>
                <w:b/>
                <w:sz w:val="18"/>
                <w:szCs w:val="23"/>
                <w:lang w:eastAsia="fr-FR"/>
              </w:rPr>
            </w:pPr>
            <w:r>
              <w:rPr>
                <w:b/>
                <w:sz w:val="18"/>
                <w:szCs w:val="23"/>
                <w:lang w:eastAsia="fr-FR"/>
              </w:rPr>
              <w:t>Dégâts d'animaux</w:t>
            </w:r>
          </w:p>
        </w:tc>
        <w:tc>
          <w:tcPr>
            <w:tcW w:w="850" w:type="dxa"/>
            <w:tcBorders/>
            <w:shd w:val="clear" w:color="auto" w:fill="d9d9d9"/>
            <w:vAlign w:val="center"/>
            <w:hideMark/>
          </w:tcPr>
          <w:p>
            <w:pPr>
              <w:pStyle w:val="style0"/>
              <w:spacing w:before="0"/>
              <w:jc w:val="left"/>
              <w:rPr>
                <w:b/>
                <w:sz w:val="18"/>
                <w:szCs w:val="23"/>
                <w:lang w:eastAsia="fr-FR"/>
              </w:rPr>
            </w:pPr>
            <w:r>
              <w:rPr>
                <w:b/>
                <w:sz w:val="18"/>
                <w:szCs w:val="23"/>
                <w:lang w:eastAsia="fr-FR"/>
              </w:rPr>
              <w:t>Parasites</w:t>
            </w:r>
          </w:p>
        </w:tc>
        <w:tc>
          <w:tcPr>
            <w:tcW w:w="965" w:type="dxa"/>
            <w:tcBorders/>
            <w:shd w:val="clear" w:color="auto" w:fill="d9d9d9"/>
            <w:vAlign w:val="center"/>
            <w:hideMark/>
          </w:tcPr>
          <w:p>
            <w:pPr>
              <w:pStyle w:val="style0"/>
              <w:spacing w:before="0"/>
              <w:jc w:val="left"/>
              <w:rPr>
                <w:b/>
                <w:sz w:val="18"/>
                <w:szCs w:val="23"/>
                <w:lang w:eastAsia="fr-FR"/>
              </w:rPr>
            </w:pPr>
            <w:r>
              <w:rPr>
                <w:b/>
                <w:sz w:val="18"/>
                <w:szCs w:val="23"/>
                <w:lang w:eastAsia="fr-FR"/>
              </w:rPr>
              <w:t>Ravageurs</w:t>
            </w:r>
          </w:p>
        </w:tc>
        <w:tc>
          <w:tcPr>
            <w:tcW w:w="878" w:type="dxa"/>
            <w:tcBorders/>
            <w:shd w:val="clear" w:color="auto" w:fill="d9d9d9"/>
            <w:vAlign w:val="center"/>
            <w:hideMark/>
          </w:tcPr>
          <w:p>
            <w:pPr>
              <w:pStyle w:val="style0"/>
              <w:spacing w:before="0"/>
              <w:jc w:val="left"/>
              <w:rPr>
                <w:b/>
                <w:sz w:val="18"/>
                <w:szCs w:val="23"/>
                <w:lang w:eastAsia="fr-FR"/>
              </w:rPr>
            </w:pPr>
            <w:r>
              <w:rPr>
                <w:b/>
                <w:sz w:val="18"/>
                <w:szCs w:val="23"/>
                <w:lang w:eastAsia="fr-FR"/>
              </w:rPr>
              <w:t>Non entretenu</w:t>
            </w:r>
          </w:p>
        </w:tc>
        <w:tc>
          <w:tcPr>
            <w:tcW w:w="992" w:type="dxa"/>
            <w:tcBorders/>
            <w:shd w:val="clear" w:color="auto" w:fill="d9d9d9"/>
            <w:vAlign w:val="center"/>
            <w:hideMark/>
          </w:tcPr>
          <w:p>
            <w:pPr>
              <w:pStyle w:val="style0"/>
              <w:spacing w:before="0"/>
              <w:jc w:val="left"/>
              <w:rPr>
                <w:b/>
                <w:sz w:val="18"/>
                <w:szCs w:val="23"/>
                <w:lang w:eastAsia="fr-FR"/>
              </w:rPr>
            </w:pPr>
            <w:r>
              <w:rPr>
                <w:b/>
                <w:sz w:val="18"/>
                <w:szCs w:val="23"/>
                <w:lang w:eastAsia="fr-FR"/>
              </w:rPr>
              <w:t>Pertes post récoltes</w:t>
            </w:r>
          </w:p>
        </w:tc>
      </w:tr>
      <w:tr>
        <w:tblPrEx/>
        <w:trPr>
          <w:trHeight w:val="300" w:hRule="atLeast"/>
          <w:jc w:val="center"/>
        </w:trPr>
        <w:tc>
          <w:tcPr>
            <w:tcW w:w="2440" w:type="dxa"/>
            <w:tcBorders/>
            <w:noWrap/>
            <w:vAlign w:val="center"/>
            <w:hideMark/>
          </w:tcPr>
          <w:p>
            <w:pPr>
              <w:pStyle w:val="style0"/>
              <w:spacing w:before="0"/>
              <w:jc w:val="left"/>
              <w:rPr>
                <w:sz w:val="23"/>
                <w:szCs w:val="23"/>
                <w:lang w:eastAsia="fr-FR"/>
              </w:rPr>
            </w:pPr>
            <w:r>
              <w:rPr>
                <w:sz w:val="23"/>
                <w:szCs w:val="23"/>
                <w:lang w:eastAsia="fr-FR"/>
              </w:rPr>
              <w:t>BOUCLE DU MOUHOUN (%)</w:t>
            </w:r>
          </w:p>
        </w:tc>
        <w:tc>
          <w:tcPr>
            <w:tcW w:w="959" w:type="dxa"/>
            <w:tcBorders/>
            <w:noWrap/>
            <w:vAlign w:val="center"/>
            <w:hideMark/>
          </w:tcPr>
          <w:p>
            <w:pPr>
              <w:pStyle w:val="style0"/>
              <w:spacing w:before="0"/>
              <w:jc w:val="left"/>
              <w:rPr>
                <w:sz w:val="23"/>
                <w:szCs w:val="23"/>
                <w:lang w:eastAsia="fr-FR"/>
              </w:rPr>
            </w:pPr>
            <w:r>
              <w:rPr>
                <w:sz w:val="23"/>
                <w:szCs w:val="23"/>
                <w:lang w:eastAsia="fr-FR"/>
              </w:rPr>
              <w:t>41,3</w:t>
            </w:r>
          </w:p>
        </w:tc>
        <w:tc>
          <w:tcPr>
            <w:tcW w:w="941" w:type="dxa"/>
            <w:tcBorders/>
            <w:noWrap/>
            <w:vAlign w:val="center"/>
            <w:hideMark/>
          </w:tcPr>
          <w:p>
            <w:pPr>
              <w:pStyle w:val="style0"/>
              <w:spacing w:before="0"/>
              <w:jc w:val="left"/>
              <w:rPr>
                <w:sz w:val="23"/>
                <w:szCs w:val="23"/>
                <w:lang w:eastAsia="fr-FR"/>
              </w:rPr>
            </w:pPr>
            <w:r>
              <w:rPr>
                <w:sz w:val="23"/>
                <w:szCs w:val="23"/>
                <w:lang w:eastAsia="fr-FR"/>
              </w:rPr>
              <w:t>8,1</w:t>
            </w:r>
          </w:p>
        </w:tc>
        <w:tc>
          <w:tcPr>
            <w:tcW w:w="702" w:type="dxa"/>
            <w:tcBorders/>
            <w:noWrap/>
            <w:vAlign w:val="center"/>
            <w:hideMark/>
          </w:tcPr>
          <w:p>
            <w:pPr>
              <w:pStyle w:val="style0"/>
              <w:spacing w:before="0"/>
              <w:jc w:val="left"/>
              <w:rPr>
                <w:sz w:val="23"/>
                <w:szCs w:val="23"/>
                <w:lang w:eastAsia="fr-FR"/>
              </w:rPr>
            </w:pPr>
            <w:r>
              <w:rPr>
                <w:sz w:val="23"/>
                <w:szCs w:val="23"/>
                <w:lang w:eastAsia="fr-FR"/>
              </w:rPr>
              <w:t>0,7</w:t>
            </w:r>
          </w:p>
        </w:tc>
        <w:tc>
          <w:tcPr>
            <w:tcW w:w="907" w:type="dxa"/>
            <w:tcBorders/>
            <w:noWrap/>
            <w:vAlign w:val="center"/>
            <w:hideMark/>
          </w:tcPr>
          <w:p>
            <w:pPr>
              <w:pStyle w:val="style0"/>
              <w:spacing w:before="0"/>
              <w:jc w:val="left"/>
              <w:rPr>
                <w:sz w:val="23"/>
                <w:szCs w:val="23"/>
                <w:lang w:eastAsia="fr-FR"/>
              </w:rPr>
            </w:pPr>
            <w:r>
              <w:rPr>
                <w:sz w:val="23"/>
                <w:szCs w:val="23"/>
                <w:lang w:eastAsia="fr-FR"/>
              </w:rPr>
              <w:t>2,5</w:t>
            </w:r>
          </w:p>
        </w:tc>
        <w:tc>
          <w:tcPr>
            <w:tcW w:w="850" w:type="dxa"/>
            <w:tcBorders/>
            <w:noWrap/>
            <w:vAlign w:val="center"/>
            <w:hideMark/>
          </w:tcPr>
          <w:p>
            <w:pPr>
              <w:pStyle w:val="style0"/>
              <w:spacing w:before="0"/>
              <w:jc w:val="left"/>
              <w:rPr>
                <w:sz w:val="23"/>
                <w:szCs w:val="23"/>
                <w:lang w:eastAsia="fr-FR"/>
              </w:rPr>
            </w:pPr>
            <w:r>
              <w:rPr>
                <w:sz w:val="23"/>
                <w:szCs w:val="23"/>
                <w:lang w:eastAsia="fr-FR"/>
              </w:rPr>
              <w:t>2,1</w:t>
            </w:r>
          </w:p>
        </w:tc>
        <w:tc>
          <w:tcPr>
            <w:tcW w:w="965" w:type="dxa"/>
            <w:tcBorders/>
            <w:noWrap/>
            <w:vAlign w:val="center"/>
            <w:hideMark/>
          </w:tcPr>
          <w:p>
            <w:pPr>
              <w:pStyle w:val="style0"/>
              <w:spacing w:before="0"/>
              <w:jc w:val="left"/>
              <w:rPr>
                <w:sz w:val="23"/>
                <w:szCs w:val="23"/>
                <w:lang w:eastAsia="fr-FR"/>
              </w:rPr>
            </w:pPr>
            <w:r>
              <w:rPr>
                <w:sz w:val="23"/>
                <w:szCs w:val="23"/>
                <w:lang w:eastAsia="fr-FR"/>
              </w:rPr>
              <w:t>1,8</w:t>
            </w:r>
          </w:p>
        </w:tc>
        <w:tc>
          <w:tcPr>
            <w:tcW w:w="878" w:type="dxa"/>
            <w:tcBorders/>
            <w:noWrap/>
            <w:vAlign w:val="center"/>
            <w:hideMark/>
          </w:tcPr>
          <w:p>
            <w:pPr>
              <w:pStyle w:val="style0"/>
              <w:spacing w:before="0"/>
              <w:jc w:val="left"/>
              <w:rPr>
                <w:sz w:val="23"/>
                <w:szCs w:val="23"/>
                <w:lang w:eastAsia="fr-FR"/>
              </w:rPr>
            </w:pPr>
            <w:r>
              <w:rPr>
                <w:sz w:val="23"/>
                <w:szCs w:val="23"/>
                <w:lang w:eastAsia="fr-FR"/>
              </w:rPr>
              <w:t>2,2</w:t>
            </w:r>
          </w:p>
        </w:tc>
        <w:tc>
          <w:tcPr>
            <w:tcW w:w="992" w:type="dxa"/>
            <w:tcBorders/>
            <w:noWrap/>
            <w:vAlign w:val="center"/>
            <w:hideMark/>
          </w:tcPr>
          <w:p>
            <w:pPr>
              <w:pStyle w:val="style0"/>
              <w:spacing w:before="0"/>
              <w:jc w:val="left"/>
              <w:rPr>
                <w:sz w:val="23"/>
                <w:szCs w:val="23"/>
                <w:lang w:eastAsia="fr-FR"/>
              </w:rPr>
            </w:pPr>
            <w:r>
              <w:rPr>
                <w:sz w:val="23"/>
                <w:szCs w:val="23"/>
                <w:lang w:eastAsia="fr-FR"/>
              </w:rPr>
              <w:t>0,4</w:t>
            </w:r>
          </w:p>
        </w:tc>
      </w:tr>
      <w:tr>
        <w:tblPrEx/>
        <w:trPr>
          <w:trHeight w:val="339" w:hRule="atLeast"/>
          <w:jc w:val="center"/>
        </w:trPr>
        <w:tc>
          <w:tcPr>
            <w:tcW w:w="2440" w:type="dxa"/>
            <w:tcBorders/>
            <w:noWrap/>
            <w:vAlign w:val="center"/>
            <w:hideMark/>
          </w:tcPr>
          <w:p>
            <w:pPr>
              <w:pStyle w:val="style0"/>
              <w:spacing w:before="0"/>
              <w:jc w:val="left"/>
              <w:rPr>
                <w:sz w:val="23"/>
                <w:szCs w:val="23"/>
                <w:lang w:eastAsia="fr-FR"/>
              </w:rPr>
            </w:pPr>
            <w:r>
              <w:rPr>
                <w:sz w:val="23"/>
                <w:szCs w:val="23"/>
                <w:lang w:eastAsia="fr-FR"/>
              </w:rPr>
              <w:t>CASCADES (%)</w:t>
            </w:r>
          </w:p>
        </w:tc>
        <w:tc>
          <w:tcPr>
            <w:tcW w:w="959" w:type="dxa"/>
            <w:tcBorders/>
            <w:noWrap/>
            <w:vAlign w:val="center"/>
            <w:hideMark/>
          </w:tcPr>
          <w:p>
            <w:pPr>
              <w:pStyle w:val="style0"/>
              <w:spacing w:before="0"/>
              <w:jc w:val="left"/>
              <w:rPr>
                <w:sz w:val="23"/>
                <w:szCs w:val="23"/>
                <w:lang w:eastAsia="fr-FR"/>
              </w:rPr>
            </w:pPr>
            <w:r>
              <w:rPr>
                <w:sz w:val="23"/>
                <w:szCs w:val="23"/>
                <w:lang w:eastAsia="fr-FR"/>
              </w:rPr>
              <w:t>20,1</w:t>
            </w:r>
          </w:p>
        </w:tc>
        <w:tc>
          <w:tcPr>
            <w:tcW w:w="941" w:type="dxa"/>
            <w:tcBorders/>
            <w:noWrap/>
            <w:vAlign w:val="center"/>
            <w:hideMark/>
          </w:tcPr>
          <w:p>
            <w:pPr>
              <w:pStyle w:val="style0"/>
              <w:spacing w:before="0"/>
              <w:jc w:val="left"/>
              <w:rPr>
                <w:sz w:val="23"/>
                <w:szCs w:val="23"/>
                <w:lang w:eastAsia="fr-FR"/>
              </w:rPr>
            </w:pPr>
            <w:r>
              <w:rPr>
                <w:sz w:val="23"/>
                <w:szCs w:val="23"/>
                <w:lang w:eastAsia="fr-FR"/>
              </w:rPr>
              <w:t>1,2</w:t>
            </w:r>
          </w:p>
        </w:tc>
        <w:tc>
          <w:tcPr>
            <w:tcW w:w="702" w:type="dxa"/>
            <w:tcBorders/>
            <w:noWrap/>
            <w:vAlign w:val="center"/>
            <w:hideMark/>
          </w:tcPr>
          <w:p>
            <w:pPr>
              <w:pStyle w:val="style0"/>
              <w:spacing w:before="0"/>
              <w:jc w:val="left"/>
              <w:rPr>
                <w:sz w:val="23"/>
                <w:szCs w:val="23"/>
                <w:lang w:eastAsia="fr-FR"/>
              </w:rPr>
            </w:pPr>
            <w:r>
              <w:rPr>
                <w:sz w:val="23"/>
                <w:szCs w:val="23"/>
                <w:lang w:eastAsia="fr-FR"/>
              </w:rPr>
              <w:t>0,1</w:t>
            </w:r>
          </w:p>
        </w:tc>
        <w:tc>
          <w:tcPr>
            <w:tcW w:w="907" w:type="dxa"/>
            <w:tcBorders/>
            <w:noWrap/>
            <w:vAlign w:val="center"/>
            <w:hideMark/>
          </w:tcPr>
          <w:p>
            <w:pPr>
              <w:pStyle w:val="style0"/>
              <w:spacing w:before="0"/>
              <w:jc w:val="left"/>
              <w:rPr>
                <w:sz w:val="23"/>
                <w:szCs w:val="23"/>
                <w:lang w:eastAsia="fr-FR"/>
              </w:rPr>
            </w:pPr>
            <w:r>
              <w:rPr>
                <w:sz w:val="23"/>
                <w:szCs w:val="23"/>
                <w:lang w:eastAsia="fr-FR"/>
              </w:rPr>
              <w:t>4,6</w:t>
            </w:r>
          </w:p>
        </w:tc>
        <w:tc>
          <w:tcPr>
            <w:tcW w:w="850" w:type="dxa"/>
            <w:tcBorders/>
            <w:noWrap/>
            <w:vAlign w:val="center"/>
            <w:hideMark/>
          </w:tcPr>
          <w:p>
            <w:pPr>
              <w:pStyle w:val="style0"/>
              <w:spacing w:before="0"/>
              <w:jc w:val="left"/>
              <w:rPr>
                <w:sz w:val="23"/>
                <w:szCs w:val="23"/>
                <w:lang w:eastAsia="fr-FR"/>
              </w:rPr>
            </w:pPr>
            <w:r>
              <w:rPr>
                <w:sz w:val="23"/>
                <w:szCs w:val="23"/>
                <w:lang w:eastAsia="fr-FR"/>
              </w:rPr>
              <w:t>0,7</w:t>
            </w:r>
          </w:p>
        </w:tc>
        <w:tc>
          <w:tcPr>
            <w:tcW w:w="965" w:type="dxa"/>
            <w:tcBorders/>
            <w:noWrap/>
            <w:vAlign w:val="center"/>
            <w:hideMark/>
          </w:tcPr>
          <w:p>
            <w:pPr>
              <w:pStyle w:val="style0"/>
              <w:spacing w:before="0"/>
              <w:jc w:val="left"/>
              <w:rPr>
                <w:sz w:val="23"/>
                <w:szCs w:val="23"/>
                <w:lang w:eastAsia="fr-FR"/>
              </w:rPr>
            </w:pPr>
            <w:r>
              <w:rPr>
                <w:sz w:val="23"/>
                <w:szCs w:val="23"/>
                <w:lang w:eastAsia="fr-FR"/>
              </w:rPr>
              <w:t>1,2</w:t>
            </w:r>
          </w:p>
        </w:tc>
        <w:tc>
          <w:tcPr>
            <w:tcW w:w="878" w:type="dxa"/>
            <w:tcBorders/>
            <w:noWrap/>
            <w:vAlign w:val="center"/>
            <w:hideMark/>
          </w:tcPr>
          <w:p>
            <w:pPr>
              <w:pStyle w:val="style0"/>
              <w:spacing w:before="0"/>
              <w:jc w:val="left"/>
              <w:rPr>
                <w:sz w:val="23"/>
                <w:szCs w:val="23"/>
                <w:lang w:eastAsia="fr-FR"/>
              </w:rPr>
            </w:pPr>
            <w:r>
              <w:rPr>
                <w:sz w:val="23"/>
                <w:szCs w:val="23"/>
                <w:lang w:eastAsia="fr-FR"/>
              </w:rPr>
              <w:t>1,8</w:t>
            </w:r>
          </w:p>
        </w:tc>
        <w:tc>
          <w:tcPr>
            <w:tcW w:w="992" w:type="dxa"/>
            <w:tcBorders/>
            <w:noWrap/>
            <w:vAlign w:val="center"/>
            <w:hideMark/>
          </w:tcPr>
          <w:p>
            <w:pPr>
              <w:pStyle w:val="style0"/>
              <w:spacing w:before="0"/>
              <w:jc w:val="left"/>
              <w:rPr>
                <w:sz w:val="23"/>
                <w:szCs w:val="23"/>
                <w:lang w:eastAsia="fr-FR"/>
              </w:rPr>
            </w:pPr>
            <w:r>
              <w:rPr>
                <w:sz w:val="23"/>
                <w:szCs w:val="23"/>
                <w:lang w:eastAsia="fr-FR"/>
              </w:rPr>
              <w:t>0,2</w:t>
            </w:r>
          </w:p>
        </w:tc>
      </w:tr>
      <w:tr>
        <w:tblPrEx/>
        <w:trPr>
          <w:trHeight w:val="300" w:hRule="atLeast"/>
          <w:jc w:val="center"/>
        </w:trPr>
        <w:tc>
          <w:tcPr>
            <w:tcW w:w="2440" w:type="dxa"/>
            <w:tcBorders/>
            <w:noWrap/>
            <w:vAlign w:val="center"/>
            <w:hideMark/>
          </w:tcPr>
          <w:p>
            <w:pPr>
              <w:pStyle w:val="style0"/>
              <w:spacing w:before="0"/>
              <w:jc w:val="left"/>
              <w:rPr>
                <w:sz w:val="23"/>
                <w:szCs w:val="23"/>
                <w:lang w:eastAsia="fr-FR"/>
              </w:rPr>
            </w:pPr>
            <w:r>
              <w:rPr>
                <w:sz w:val="23"/>
                <w:szCs w:val="23"/>
                <w:lang w:eastAsia="fr-FR"/>
              </w:rPr>
              <w:t>HAUTS BASSINS (%)</w:t>
            </w:r>
          </w:p>
        </w:tc>
        <w:tc>
          <w:tcPr>
            <w:tcW w:w="959" w:type="dxa"/>
            <w:tcBorders/>
            <w:noWrap/>
            <w:vAlign w:val="center"/>
            <w:hideMark/>
          </w:tcPr>
          <w:p>
            <w:pPr>
              <w:pStyle w:val="style0"/>
              <w:spacing w:before="0"/>
              <w:jc w:val="left"/>
              <w:rPr>
                <w:sz w:val="23"/>
                <w:szCs w:val="23"/>
                <w:lang w:eastAsia="fr-FR"/>
              </w:rPr>
            </w:pPr>
            <w:r>
              <w:rPr>
                <w:sz w:val="23"/>
                <w:szCs w:val="23"/>
                <w:lang w:eastAsia="fr-FR"/>
              </w:rPr>
              <w:t>22,0</w:t>
            </w:r>
          </w:p>
        </w:tc>
        <w:tc>
          <w:tcPr>
            <w:tcW w:w="941" w:type="dxa"/>
            <w:tcBorders/>
            <w:noWrap/>
            <w:vAlign w:val="center"/>
            <w:hideMark/>
          </w:tcPr>
          <w:p>
            <w:pPr>
              <w:pStyle w:val="style0"/>
              <w:spacing w:before="0"/>
              <w:jc w:val="left"/>
              <w:rPr>
                <w:sz w:val="23"/>
                <w:szCs w:val="23"/>
                <w:lang w:eastAsia="fr-FR"/>
              </w:rPr>
            </w:pPr>
            <w:r>
              <w:rPr>
                <w:sz w:val="23"/>
                <w:szCs w:val="23"/>
                <w:lang w:eastAsia="fr-FR"/>
              </w:rPr>
              <w:t>4,1</w:t>
            </w:r>
          </w:p>
        </w:tc>
        <w:tc>
          <w:tcPr>
            <w:tcW w:w="702" w:type="dxa"/>
            <w:tcBorders/>
            <w:noWrap/>
            <w:vAlign w:val="center"/>
            <w:hideMark/>
          </w:tcPr>
          <w:p>
            <w:pPr>
              <w:pStyle w:val="style0"/>
              <w:spacing w:before="0"/>
              <w:jc w:val="left"/>
              <w:rPr>
                <w:sz w:val="23"/>
                <w:szCs w:val="23"/>
                <w:lang w:eastAsia="fr-FR"/>
              </w:rPr>
            </w:pPr>
            <w:r>
              <w:rPr>
                <w:sz w:val="23"/>
                <w:szCs w:val="23"/>
                <w:lang w:eastAsia="fr-FR"/>
              </w:rPr>
              <w:t>0,2</w:t>
            </w:r>
          </w:p>
        </w:tc>
        <w:tc>
          <w:tcPr>
            <w:tcW w:w="907" w:type="dxa"/>
            <w:tcBorders/>
            <w:noWrap/>
            <w:vAlign w:val="center"/>
            <w:hideMark/>
          </w:tcPr>
          <w:p>
            <w:pPr>
              <w:pStyle w:val="style0"/>
              <w:spacing w:before="0"/>
              <w:jc w:val="left"/>
              <w:rPr>
                <w:sz w:val="23"/>
                <w:szCs w:val="23"/>
                <w:lang w:eastAsia="fr-FR"/>
              </w:rPr>
            </w:pPr>
            <w:r>
              <w:rPr>
                <w:sz w:val="23"/>
                <w:szCs w:val="23"/>
                <w:lang w:eastAsia="fr-FR"/>
              </w:rPr>
              <w:t>3,1</w:t>
            </w:r>
          </w:p>
        </w:tc>
        <w:tc>
          <w:tcPr>
            <w:tcW w:w="850" w:type="dxa"/>
            <w:tcBorders/>
            <w:noWrap/>
            <w:vAlign w:val="center"/>
            <w:hideMark/>
          </w:tcPr>
          <w:p>
            <w:pPr>
              <w:pStyle w:val="style0"/>
              <w:spacing w:before="0"/>
              <w:jc w:val="left"/>
              <w:rPr>
                <w:sz w:val="23"/>
                <w:szCs w:val="23"/>
                <w:lang w:eastAsia="fr-FR"/>
              </w:rPr>
            </w:pPr>
            <w:r>
              <w:rPr>
                <w:sz w:val="23"/>
                <w:szCs w:val="23"/>
                <w:lang w:eastAsia="fr-FR"/>
              </w:rPr>
              <w:t>3,7</w:t>
            </w:r>
          </w:p>
        </w:tc>
        <w:tc>
          <w:tcPr>
            <w:tcW w:w="965" w:type="dxa"/>
            <w:tcBorders/>
            <w:noWrap/>
            <w:vAlign w:val="center"/>
            <w:hideMark/>
          </w:tcPr>
          <w:p>
            <w:pPr>
              <w:pStyle w:val="style0"/>
              <w:spacing w:before="0"/>
              <w:jc w:val="left"/>
              <w:rPr>
                <w:sz w:val="23"/>
                <w:szCs w:val="23"/>
                <w:lang w:eastAsia="fr-FR"/>
              </w:rPr>
            </w:pPr>
            <w:r>
              <w:rPr>
                <w:sz w:val="23"/>
                <w:szCs w:val="23"/>
                <w:lang w:eastAsia="fr-FR"/>
              </w:rPr>
              <w:t>1,6</w:t>
            </w:r>
          </w:p>
        </w:tc>
        <w:tc>
          <w:tcPr>
            <w:tcW w:w="878" w:type="dxa"/>
            <w:tcBorders/>
            <w:noWrap/>
            <w:vAlign w:val="center"/>
            <w:hideMark/>
          </w:tcPr>
          <w:p>
            <w:pPr>
              <w:pStyle w:val="style0"/>
              <w:spacing w:before="0"/>
              <w:jc w:val="left"/>
              <w:rPr>
                <w:sz w:val="23"/>
                <w:szCs w:val="23"/>
                <w:lang w:eastAsia="fr-FR"/>
              </w:rPr>
            </w:pPr>
            <w:r>
              <w:rPr>
                <w:sz w:val="23"/>
                <w:szCs w:val="23"/>
                <w:lang w:eastAsia="fr-FR"/>
              </w:rPr>
              <w:t>4,2</w:t>
            </w:r>
          </w:p>
        </w:tc>
        <w:tc>
          <w:tcPr>
            <w:tcW w:w="992" w:type="dxa"/>
            <w:tcBorders/>
            <w:noWrap/>
            <w:vAlign w:val="center"/>
            <w:hideMark/>
          </w:tcPr>
          <w:p>
            <w:pPr>
              <w:pStyle w:val="style0"/>
              <w:spacing w:before="0"/>
              <w:jc w:val="left"/>
              <w:rPr>
                <w:sz w:val="23"/>
                <w:szCs w:val="23"/>
                <w:lang w:eastAsia="fr-FR"/>
              </w:rPr>
            </w:pPr>
            <w:r>
              <w:rPr>
                <w:sz w:val="23"/>
                <w:szCs w:val="23"/>
                <w:lang w:eastAsia="fr-FR"/>
              </w:rPr>
              <w:t>0,2</w:t>
            </w:r>
          </w:p>
        </w:tc>
      </w:tr>
      <w:tr>
        <w:tblPrEx/>
        <w:trPr>
          <w:trHeight w:val="300" w:hRule="atLeast"/>
          <w:jc w:val="center"/>
        </w:trPr>
        <w:tc>
          <w:tcPr>
            <w:tcW w:w="2440" w:type="dxa"/>
            <w:tcBorders>
              <w:bottom w:val="single" w:sz="4" w:space="0" w:color="auto"/>
            </w:tcBorders>
            <w:noWrap/>
            <w:vAlign w:val="center"/>
            <w:hideMark/>
          </w:tcPr>
          <w:p>
            <w:pPr>
              <w:pStyle w:val="style0"/>
              <w:spacing w:before="0"/>
              <w:jc w:val="left"/>
              <w:rPr>
                <w:sz w:val="23"/>
                <w:szCs w:val="23"/>
                <w:lang w:eastAsia="fr-FR"/>
              </w:rPr>
            </w:pPr>
            <w:r>
              <w:rPr>
                <w:sz w:val="23"/>
                <w:szCs w:val="23"/>
                <w:lang w:eastAsia="fr-FR"/>
              </w:rPr>
              <w:t>NORD (%)</w:t>
            </w:r>
          </w:p>
        </w:tc>
        <w:tc>
          <w:tcPr>
            <w:tcW w:w="959" w:type="dxa"/>
            <w:tcBorders>
              <w:bottom w:val="single" w:sz="4" w:space="0" w:color="auto"/>
            </w:tcBorders>
            <w:noWrap/>
            <w:vAlign w:val="center"/>
            <w:hideMark/>
          </w:tcPr>
          <w:p>
            <w:pPr>
              <w:pStyle w:val="style0"/>
              <w:spacing w:before="0"/>
              <w:jc w:val="left"/>
              <w:rPr>
                <w:sz w:val="23"/>
                <w:szCs w:val="23"/>
                <w:lang w:eastAsia="fr-FR"/>
              </w:rPr>
            </w:pPr>
            <w:r>
              <w:rPr>
                <w:sz w:val="23"/>
                <w:szCs w:val="23"/>
                <w:lang w:eastAsia="fr-FR"/>
              </w:rPr>
              <w:t>47,9</w:t>
            </w:r>
          </w:p>
        </w:tc>
        <w:tc>
          <w:tcPr>
            <w:tcW w:w="941" w:type="dxa"/>
            <w:tcBorders>
              <w:bottom w:val="single" w:sz="4" w:space="0" w:color="auto"/>
            </w:tcBorders>
            <w:noWrap/>
            <w:vAlign w:val="center"/>
            <w:hideMark/>
          </w:tcPr>
          <w:p>
            <w:pPr>
              <w:pStyle w:val="style0"/>
              <w:spacing w:before="0"/>
              <w:jc w:val="left"/>
              <w:rPr>
                <w:sz w:val="23"/>
                <w:szCs w:val="23"/>
                <w:lang w:eastAsia="fr-FR"/>
              </w:rPr>
            </w:pPr>
            <w:r>
              <w:rPr>
                <w:sz w:val="23"/>
                <w:szCs w:val="23"/>
                <w:lang w:eastAsia="fr-FR"/>
              </w:rPr>
              <w:t>6,2</w:t>
            </w:r>
          </w:p>
        </w:tc>
        <w:tc>
          <w:tcPr>
            <w:tcW w:w="702" w:type="dxa"/>
            <w:tcBorders>
              <w:bottom w:val="single" w:sz="4" w:space="0" w:color="auto"/>
            </w:tcBorders>
            <w:noWrap/>
            <w:vAlign w:val="center"/>
            <w:hideMark/>
          </w:tcPr>
          <w:p>
            <w:pPr>
              <w:pStyle w:val="style0"/>
              <w:spacing w:before="0"/>
              <w:jc w:val="left"/>
              <w:rPr>
                <w:sz w:val="23"/>
                <w:szCs w:val="23"/>
                <w:lang w:eastAsia="fr-FR"/>
              </w:rPr>
            </w:pPr>
            <w:r>
              <w:rPr>
                <w:sz w:val="23"/>
                <w:szCs w:val="23"/>
                <w:lang w:eastAsia="fr-FR"/>
              </w:rPr>
              <w:t>0,6</w:t>
            </w:r>
          </w:p>
        </w:tc>
        <w:tc>
          <w:tcPr>
            <w:tcW w:w="907" w:type="dxa"/>
            <w:tcBorders>
              <w:bottom w:val="single" w:sz="4" w:space="0" w:color="auto"/>
            </w:tcBorders>
            <w:noWrap/>
            <w:vAlign w:val="center"/>
            <w:hideMark/>
          </w:tcPr>
          <w:p>
            <w:pPr>
              <w:pStyle w:val="style0"/>
              <w:spacing w:before="0"/>
              <w:jc w:val="left"/>
              <w:rPr>
                <w:sz w:val="23"/>
                <w:szCs w:val="23"/>
                <w:lang w:eastAsia="fr-FR"/>
              </w:rPr>
            </w:pPr>
            <w:r>
              <w:rPr>
                <w:sz w:val="23"/>
                <w:szCs w:val="23"/>
                <w:lang w:eastAsia="fr-FR"/>
              </w:rPr>
              <w:t>1,0</w:t>
            </w:r>
          </w:p>
        </w:tc>
        <w:tc>
          <w:tcPr>
            <w:tcW w:w="850" w:type="dxa"/>
            <w:tcBorders>
              <w:bottom w:val="single" w:sz="4" w:space="0" w:color="auto"/>
            </w:tcBorders>
            <w:noWrap/>
            <w:vAlign w:val="center"/>
            <w:hideMark/>
          </w:tcPr>
          <w:p>
            <w:pPr>
              <w:pStyle w:val="style0"/>
              <w:spacing w:before="0"/>
              <w:jc w:val="left"/>
              <w:rPr>
                <w:sz w:val="23"/>
                <w:szCs w:val="23"/>
                <w:lang w:eastAsia="fr-FR"/>
              </w:rPr>
            </w:pPr>
            <w:r>
              <w:rPr>
                <w:sz w:val="23"/>
                <w:szCs w:val="23"/>
                <w:lang w:eastAsia="fr-FR"/>
              </w:rPr>
              <w:t>1,2</w:t>
            </w:r>
          </w:p>
        </w:tc>
        <w:tc>
          <w:tcPr>
            <w:tcW w:w="965" w:type="dxa"/>
            <w:tcBorders>
              <w:bottom w:val="single" w:sz="4" w:space="0" w:color="auto"/>
            </w:tcBorders>
            <w:noWrap/>
            <w:vAlign w:val="center"/>
            <w:hideMark/>
          </w:tcPr>
          <w:p>
            <w:pPr>
              <w:pStyle w:val="style0"/>
              <w:spacing w:before="0"/>
              <w:jc w:val="left"/>
              <w:rPr>
                <w:sz w:val="23"/>
                <w:szCs w:val="23"/>
                <w:lang w:eastAsia="fr-FR"/>
              </w:rPr>
            </w:pPr>
            <w:r>
              <w:rPr>
                <w:sz w:val="23"/>
                <w:szCs w:val="23"/>
                <w:lang w:eastAsia="fr-FR"/>
              </w:rPr>
              <w:t>4,0</w:t>
            </w:r>
          </w:p>
        </w:tc>
        <w:tc>
          <w:tcPr>
            <w:tcW w:w="878" w:type="dxa"/>
            <w:tcBorders>
              <w:bottom w:val="single" w:sz="4" w:space="0" w:color="auto"/>
            </w:tcBorders>
            <w:noWrap/>
            <w:vAlign w:val="center"/>
            <w:hideMark/>
          </w:tcPr>
          <w:p>
            <w:pPr>
              <w:pStyle w:val="style0"/>
              <w:spacing w:before="0"/>
              <w:jc w:val="left"/>
              <w:rPr>
                <w:sz w:val="23"/>
                <w:szCs w:val="23"/>
                <w:lang w:eastAsia="fr-FR"/>
              </w:rPr>
            </w:pPr>
            <w:r>
              <w:rPr>
                <w:sz w:val="23"/>
                <w:szCs w:val="23"/>
                <w:lang w:eastAsia="fr-FR"/>
              </w:rPr>
              <w:t>0,4</w:t>
            </w:r>
          </w:p>
        </w:tc>
        <w:tc>
          <w:tcPr>
            <w:tcW w:w="992" w:type="dxa"/>
            <w:tcBorders>
              <w:bottom w:val="single" w:sz="4" w:space="0" w:color="auto"/>
            </w:tcBorders>
            <w:noWrap/>
            <w:vAlign w:val="center"/>
            <w:hideMark/>
          </w:tcPr>
          <w:p>
            <w:pPr>
              <w:pStyle w:val="style0"/>
              <w:spacing w:before="0"/>
              <w:jc w:val="left"/>
              <w:rPr>
                <w:sz w:val="23"/>
                <w:szCs w:val="23"/>
                <w:lang w:eastAsia="fr-FR"/>
              </w:rPr>
            </w:pPr>
            <w:r>
              <w:rPr>
                <w:sz w:val="23"/>
                <w:szCs w:val="23"/>
                <w:lang w:eastAsia="fr-FR"/>
              </w:rPr>
              <w:t>0,3</w:t>
            </w:r>
          </w:p>
        </w:tc>
      </w:tr>
      <w:tr>
        <w:tblPrEx/>
        <w:trPr>
          <w:trHeight w:val="300" w:hRule="atLeast"/>
          <w:jc w:val="center"/>
        </w:trPr>
        <w:tc>
          <w:tcPr>
            <w:tcW w:w="2440" w:type="dxa"/>
            <w:tcBorders/>
            <w:shd w:val="pct10" w:color="auto" w:fill="ffe599"/>
            <w:noWrap/>
            <w:vAlign w:val="center"/>
            <w:hideMark/>
          </w:tcPr>
          <w:p>
            <w:pPr>
              <w:pStyle w:val="style0"/>
              <w:spacing w:before="0"/>
              <w:jc w:val="left"/>
              <w:rPr>
                <w:sz w:val="23"/>
                <w:szCs w:val="23"/>
                <w:lang w:eastAsia="fr-FR"/>
              </w:rPr>
            </w:pPr>
            <w:r>
              <w:rPr>
                <w:sz w:val="23"/>
                <w:szCs w:val="23"/>
                <w:lang w:eastAsia="fr-FR"/>
              </w:rPr>
              <w:t>BURKINA FASO (%)</w:t>
            </w:r>
          </w:p>
        </w:tc>
        <w:tc>
          <w:tcPr>
            <w:tcW w:w="959" w:type="dxa"/>
            <w:tcBorders/>
            <w:shd w:val="pct10" w:color="auto" w:fill="ffe599"/>
            <w:noWrap/>
            <w:vAlign w:val="center"/>
            <w:hideMark/>
          </w:tcPr>
          <w:p>
            <w:pPr>
              <w:pStyle w:val="style0"/>
              <w:spacing w:before="0"/>
              <w:jc w:val="left"/>
              <w:rPr>
                <w:sz w:val="23"/>
                <w:szCs w:val="23"/>
                <w:lang w:eastAsia="fr-FR"/>
              </w:rPr>
            </w:pPr>
            <w:r>
              <w:rPr>
                <w:sz w:val="23"/>
                <w:szCs w:val="23"/>
                <w:lang w:eastAsia="fr-FR"/>
              </w:rPr>
              <w:t>23,9</w:t>
            </w:r>
          </w:p>
        </w:tc>
        <w:tc>
          <w:tcPr>
            <w:tcW w:w="941" w:type="dxa"/>
            <w:tcBorders/>
            <w:shd w:val="pct10" w:color="auto" w:fill="ffe599"/>
            <w:noWrap/>
            <w:vAlign w:val="center"/>
            <w:hideMark/>
          </w:tcPr>
          <w:p>
            <w:pPr>
              <w:pStyle w:val="style0"/>
              <w:spacing w:before="0"/>
              <w:jc w:val="left"/>
              <w:rPr>
                <w:sz w:val="23"/>
                <w:szCs w:val="23"/>
                <w:lang w:eastAsia="fr-FR"/>
              </w:rPr>
            </w:pPr>
            <w:r>
              <w:rPr>
                <w:sz w:val="23"/>
                <w:szCs w:val="23"/>
                <w:lang w:eastAsia="fr-FR"/>
              </w:rPr>
              <w:t>6,2</w:t>
            </w:r>
          </w:p>
        </w:tc>
        <w:tc>
          <w:tcPr>
            <w:tcW w:w="702" w:type="dxa"/>
            <w:tcBorders/>
            <w:shd w:val="pct10" w:color="auto" w:fill="ffe599"/>
            <w:noWrap/>
            <w:vAlign w:val="center"/>
            <w:hideMark/>
          </w:tcPr>
          <w:p>
            <w:pPr>
              <w:pStyle w:val="style0"/>
              <w:spacing w:before="0"/>
              <w:jc w:val="left"/>
              <w:rPr>
                <w:sz w:val="23"/>
                <w:szCs w:val="23"/>
                <w:lang w:eastAsia="fr-FR"/>
              </w:rPr>
            </w:pPr>
            <w:r>
              <w:rPr>
                <w:sz w:val="23"/>
                <w:szCs w:val="23"/>
                <w:lang w:eastAsia="fr-FR"/>
              </w:rPr>
              <w:t>0,5</w:t>
            </w:r>
          </w:p>
        </w:tc>
        <w:tc>
          <w:tcPr>
            <w:tcW w:w="907" w:type="dxa"/>
            <w:tcBorders/>
            <w:shd w:val="pct10" w:color="auto" w:fill="ffe599"/>
            <w:noWrap/>
            <w:vAlign w:val="center"/>
            <w:hideMark/>
          </w:tcPr>
          <w:p>
            <w:pPr>
              <w:pStyle w:val="style0"/>
              <w:spacing w:before="0"/>
              <w:jc w:val="left"/>
              <w:rPr>
                <w:sz w:val="23"/>
                <w:szCs w:val="23"/>
                <w:lang w:eastAsia="fr-FR"/>
              </w:rPr>
            </w:pPr>
            <w:r>
              <w:rPr>
                <w:sz w:val="23"/>
                <w:szCs w:val="23"/>
                <w:lang w:eastAsia="fr-FR"/>
              </w:rPr>
              <w:t>3,8</w:t>
            </w:r>
          </w:p>
        </w:tc>
        <w:tc>
          <w:tcPr>
            <w:tcW w:w="850" w:type="dxa"/>
            <w:tcBorders/>
            <w:shd w:val="pct10" w:color="auto" w:fill="ffe599"/>
            <w:noWrap/>
            <w:vAlign w:val="center"/>
            <w:hideMark/>
          </w:tcPr>
          <w:p>
            <w:pPr>
              <w:pStyle w:val="style0"/>
              <w:spacing w:before="0"/>
              <w:jc w:val="left"/>
              <w:rPr>
                <w:sz w:val="23"/>
                <w:szCs w:val="23"/>
                <w:lang w:eastAsia="fr-FR"/>
              </w:rPr>
            </w:pPr>
            <w:r>
              <w:rPr>
                <w:sz w:val="23"/>
                <w:szCs w:val="23"/>
                <w:lang w:eastAsia="fr-FR"/>
              </w:rPr>
              <w:t>3,0</w:t>
            </w:r>
          </w:p>
        </w:tc>
        <w:tc>
          <w:tcPr>
            <w:tcW w:w="965" w:type="dxa"/>
            <w:tcBorders/>
            <w:shd w:val="pct10" w:color="auto" w:fill="ffe599"/>
            <w:noWrap/>
            <w:vAlign w:val="center"/>
            <w:hideMark/>
          </w:tcPr>
          <w:p>
            <w:pPr>
              <w:pStyle w:val="style0"/>
              <w:spacing w:before="0"/>
              <w:jc w:val="left"/>
              <w:rPr>
                <w:sz w:val="23"/>
                <w:szCs w:val="23"/>
                <w:lang w:eastAsia="fr-FR"/>
              </w:rPr>
            </w:pPr>
            <w:r>
              <w:rPr>
                <w:sz w:val="23"/>
                <w:szCs w:val="23"/>
                <w:lang w:eastAsia="fr-FR"/>
              </w:rPr>
              <w:t>2,2</w:t>
            </w:r>
          </w:p>
        </w:tc>
        <w:tc>
          <w:tcPr>
            <w:tcW w:w="878" w:type="dxa"/>
            <w:tcBorders/>
            <w:shd w:val="pct10" w:color="auto" w:fill="ffe599"/>
            <w:noWrap/>
            <w:vAlign w:val="center"/>
            <w:hideMark/>
          </w:tcPr>
          <w:p>
            <w:pPr>
              <w:pStyle w:val="style0"/>
              <w:spacing w:before="0"/>
              <w:jc w:val="left"/>
              <w:rPr>
                <w:sz w:val="23"/>
                <w:szCs w:val="23"/>
                <w:lang w:eastAsia="fr-FR"/>
              </w:rPr>
            </w:pPr>
            <w:r>
              <w:rPr>
                <w:sz w:val="23"/>
                <w:szCs w:val="23"/>
                <w:lang w:eastAsia="fr-FR"/>
              </w:rPr>
              <w:t>1,9</w:t>
            </w:r>
          </w:p>
        </w:tc>
        <w:tc>
          <w:tcPr>
            <w:tcW w:w="992" w:type="dxa"/>
            <w:tcBorders/>
            <w:shd w:val="pct10" w:color="auto" w:fill="ffe599"/>
            <w:noWrap/>
            <w:vAlign w:val="center"/>
            <w:hideMark/>
          </w:tcPr>
          <w:p>
            <w:pPr>
              <w:pStyle w:val="style0"/>
              <w:spacing w:before="0"/>
              <w:jc w:val="left"/>
              <w:rPr>
                <w:sz w:val="23"/>
                <w:szCs w:val="23"/>
                <w:lang w:eastAsia="fr-FR"/>
              </w:rPr>
            </w:pPr>
            <w:r>
              <w:rPr>
                <w:sz w:val="23"/>
                <w:szCs w:val="23"/>
                <w:lang w:eastAsia="fr-FR"/>
              </w:rPr>
              <w:t>0,3</w:t>
            </w:r>
          </w:p>
        </w:tc>
      </w:tr>
    </w:tbl>
    <w:p>
      <w:pPr>
        <w:pStyle w:val="style0"/>
        <w:spacing w:lineRule="auto" w:line="276"/>
        <w:rPr>
          <w:sz w:val="23"/>
          <w:szCs w:val="23"/>
        </w:rPr>
      </w:pPr>
      <w:r>
        <w:rPr>
          <w:sz w:val="23"/>
          <w:szCs w:val="23"/>
          <w:u w:val="single"/>
        </w:rPr>
        <w:t>Source</w:t>
      </w:r>
      <w:r>
        <w:rPr>
          <w:sz w:val="23"/>
          <w:szCs w:val="23"/>
        </w:rPr>
        <w:t> : DSS/DGESS/MAAH, 2017</w:t>
      </w:r>
    </w:p>
    <w:p>
      <w:pPr>
        <w:pStyle w:val="style0"/>
        <w:rPr>
          <w:rFonts w:eastAsia="MS Mincho"/>
        </w:rPr>
      </w:pPr>
      <w:r>
        <w:rPr>
          <w:rFonts w:eastAsia="MS Mincho"/>
        </w:rPr>
        <w:t xml:space="preserve">Sur le plan du commerce des produits agricoles au niveau sous régional, les flux entrant de céréales locales des pays de la sous-région sont faibles. Pour les cultures de rente, il est enregistré une entrée timide du sésame du Mali. En ce qui concerne les autres cultures </w:t>
      </w:r>
      <w:r>
        <w:rPr>
          <w:rFonts w:eastAsia="MS Mincho"/>
        </w:rPr>
        <w:t xml:space="preserve">vivrières, de l’igname du Ghana et les produits dérivés du manioc de la Côte d’Ivoire sont présents sur le territoire national. </w:t>
      </w:r>
    </w:p>
    <w:p>
      <w:pPr>
        <w:pStyle w:val="style0"/>
        <w:rPr>
          <w:bCs/>
        </w:rPr>
      </w:pPr>
      <w:r>
        <w:rPr>
          <w:rFonts w:eastAsia="MS Mincho"/>
        </w:rPr>
        <w:t>Quant aux flux sortants</w:t>
      </w:r>
      <w:r>
        <w:rPr>
          <w:rFonts w:eastAsia="MS Mincho"/>
        </w:rPr>
        <w:t>,</w:t>
      </w:r>
      <w:r>
        <w:rPr>
          <w:rFonts w:eastAsia="MS Mincho"/>
        </w:rPr>
        <w:t xml:space="preserve"> ils sont dominés par le sésame, le niébé et l’arachide. Les sorties de produits enregistrées sont à destination : (i) </w:t>
      </w:r>
      <w:r>
        <w:rPr>
          <w:bCs/>
        </w:rPr>
        <w:t xml:space="preserve">de la Côte d’Ivoire pour ce qui concerne le mil, les graines d’arachide et les produits maraichers, (ii) du Mali en ce qui concerne la patate douce, le niébé, l’arachide graine et le fonio, (iii) le Niger en ce qui concerne </w:t>
      </w:r>
      <w:r>
        <w:rPr>
          <w:bCs/>
        </w:rPr>
        <w:t>le mil</w:t>
      </w:r>
      <w:r>
        <w:rPr>
          <w:bCs/>
        </w:rPr>
        <w:t xml:space="preserve">, le  riz local et surtout le maïs, (iv) le Ghana pour ce qui concerne l’arachide graine et le maïs. L'exportation des produits maraîchers (tomate, oignon, piment) se fait principalement vers les pays côtiers frontaliers (Côte d'Ivoire, Ghana, Togo, Bénin). </w:t>
      </w:r>
    </w:p>
    <w:p>
      <w:pPr>
        <w:pStyle w:val="style0"/>
        <w:rPr/>
      </w:pPr>
      <w:r>
        <w:t xml:space="preserve">Afin de réaliser ses objectifs de croissance, le Gouvernement a récemment adopté le Plan </w:t>
      </w:r>
      <w:r>
        <w:t>N</w:t>
      </w:r>
      <w:r>
        <w:t xml:space="preserve">ational </w:t>
      </w:r>
      <w:r>
        <w:t xml:space="preserve">de </w:t>
      </w:r>
      <w:r>
        <w:t>D</w:t>
      </w:r>
      <w:r>
        <w:t xml:space="preserve">éveloppement </w:t>
      </w:r>
      <w:r>
        <w:t>E</w:t>
      </w:r>
      <w:r>
        <w:t xml:space="preserve">conomique </w:t>
      </w:r>
      <w:r>
        <w:t xml:space="preserve">et </w:t>
      </w:r>
      <w:r>
        <w:t>S</w:t>
      </w:r>
      <w:r>
        <w:t xml:space="preserve">ocial </w:t>
      </w:r>
      <w:r>
        <w:t>2016-2020 (PNDES), qui est l’actuel référentiel en matière de développement au Burkina Faso. Le PNDES entend, entre autres, dynamiser les secteurs porteurs pour l'économie et les emplois afin de faire émerger une économie moderne basée sur un secteur primaire plus compétitif et des industries de transformation et de services plus performants. La recherche et l’innovation sont considérées comme des leviers importants pour la transformation de cette économie.</w:t>
      </w:r>
    </w:p>
    <w:bookmarkStart w:id="117" w:name="_Toc2831189"/>
    <w:bookmarkStart w:id="118" w:name="_Hlk780297"/>
    <w:bookmarkEnd w:id="110"/>
    <w:p>
      <w:pPr>
        <w:pStyle w:val="style2"/>
        <w:numPr>
          <w:ilvl w:val="1"/>
          <w:numId w:val="58"/>
        </w:numPr>
        <w:rPr/>
      </w:pPr>
      <w:r>
        <w:t>Données spécifiques aux zones d’intervention du pro</w:t>
      </w:r>
      <w:r>
        <w:t>gramme</w:t>
      </w:r>
      <w:bookmarkEnd w:id="117"/>
    </w:p>
    <w:bookmarkEnd w:id="118"/>
    <w:p>
      <w:pPr>
        <w:pStyle w:val="style0"/>
        <w:rPr/>
      </w:pPr>
      <w:r>
        <w:t xml:space="preserve">Les zones </w:t>
      </w:r>
      <w:r>
        <w:t>d’intervention du pro</w:t>
      </w:r>
      <w:r>
        <w:t>gramme</w:t>
      </w:r>
      <w:r>
        <w:t xml:space="preserve"> couvertes par la présente étude</w:t>
      </w:r>
      <w:r>
        <w:t xml:space="preserve"> </w:t>
      </w:r>
      <w:r>
        <w:t>sont :</w:t>
      </w:r>
      <w:r>
        <w:t xml:space="preserve"> </w:t>
      </w:r>
    </w:p>
    <w:p>
      <w:pPr>
        <w:pStyle w:val="style66"/>
        <w:numPr>
          <w:ilvl w:val="0"/>
          <w:numId w:val="107"/>
        </w:numPr>
        <w:tabs>
          <w:tab w:val="clear" w:pos="786"/>
        </w:tabs>
        <w:spacing w:before="0" w:after="0" w:lineRule="auto" w:line="240"/>
        <w:ind w:left="360"/>
        <w:rPr>
          <w:lang w:val="fr-FR"/>
        </w:rPr>
      </w:pPr>
      <w:r>
        <w:rPr>
          <w:lang w:val="fr-FR"/>
        </w:rPr>
        <w:t xml:space="preserve">zone Ouest  abritant les </w:t>
      </w:r>
      <w:r>
        <w:rPr>
          <w:lang w:val="fr-FR"/>
        </w:rPr>
        <w:t>site</w:t>
      </w:r>
      <w:r>
        <w:rPr>
          <w:lang w:val="fr-FR"/>
        </w:rPr>
        <w:t>s aménageables</w:t>
      </w:r>
      <w:r>
        <w:rPr>
          <w:lang w:val="fr-FR"/>
        </w:rPr>
        <w:t xml:space="preserve"> de </w:t>
      </w:r>
      <w:r>
        <w:rPr>
          <w:lang w:val="fr-FR"/>
        </w:rPr>
        <w:t>Douna (région des Cascades)</w:t>
      </w:r>
      <w:r>
        <w:rPr>
          <w:lang w:val="fr-FR"/>
        </w:rPr>
        <w:t>, de Banzon (région des Hauts Bassins)</w:t>
      </w:r>
      <w:r>
        <w:rPr>
          <w:lang w:val="fr-FR"/>
        </w:rPr>
        <w:t xml:space="preserve"> et</w:t>
      </w:r>
      <w:r>
        <w:rPr>
          <w:lang w:val="fr-FR"/>
        </w:rPr>
        <w:t xml:space="preserve"> de la vallée du Sourou (ré</w:t>
      </w:r>
      <w:r>
        <w:rPr>
          <w:lang w:val="fr-FR"/>
        </w:rPr>
        <w:t>gion de la Boucle du Mouhoun) ;</w:t>
      </w:r>
    </w:p>
    <w:p>
      <w:pPr>
        <w:pStyle w:val="style66"/>
        <w:numPr>
          <w:ilvl w:val="0"/>
          <w:numId w:val="107"/>
        </w:numPr>
        <w:tabs>
          <w:tab w:val="clear" w:pos="786"/>
        </w:tabs>
        <w:spacing w:before="0" w:after="0" w:lineRule="auto" w:line="240"/>
        <w:ind w:left="360"/>
        <w:rPr>
          <w:lang w:val="fr-FR"/>
        </w:rPr>
      </w:pPr>
      <w:r>
        <w:rPr>
          <w:lang w:val="fr-FR"/>
        </w:rPr>
        <w:t xml:space="preserve">zone Nord pour les </w:t>
      </w:r>
      <w:r>
        <w:rPr>
          <w:lang w:val="fr-FR"/>
        </w:rPr>
        <w:t>site</w:t>
      </w:r>
      <w:r>
        <w:rPr>
          <w:lang w:val="fr-FR"/>
        </w:rPr>
        <w:t>s</w:t>
      </w:r>
      <w:r>
        <w:rPr>
          <w:lang w:val="fr-FR"/>
        </w:rPr>
        <w:t xml:space="preserve"> de </w:t>
      </w:r>
      <w:r>
        <w:rPr>
          <w:lang w:val="fr-FR"/>
        </w:rPr>
        <w:t>Toécé-Dourou (région du Nord)</w:t>
      </w:r>
      <w:r>
        <w:rPr>
          <w:lang w:val="fr-FR"/>
        </w:rPr>
        <w:t>.</w:t>
      </w:r>
      <w:r>
        <w:rPr>
          <w:lang w:val="fr-FR"/>
        </w:rPr>
        <w:t xml:space="preserve"> </w:t>
      </w:r>
    </w:p>
    <w:p>
      <w:pPr>
        <w:pStyle w:val="style66"/>
        <w:spacing w:before="0" w:after="0" w:lineRule="auto" w:line="240"/>
        <w:ind w:left="360"/>
        <w:rPr>
          <w:sz w:val="22"/>
          <w:lang w:val="fr-FR"/>
        </w:rPr>
      </w:pPr>
    </w:p>
    <w:bookmarkStart w:id="119" w:name="_Toc2831190"/>
    <w:p>
      <w:pPr>
        <w:pStyle w:val="style3"/>
        <w:numPr>
          <w:ilvl w:val="2"/>
          <w:numId w:val="58"/>
        </w:numPr>
        <w:rPr/>
      </w:pPr>
      <w:r>
        <w:t>Région du Nord</w:t>
      </w:r>
      <w:bookmarkEnd w:id="119"/>
    </w:p>
    <w:p>
      <w:pPr>
        <w:pStyle w:val="style0"/>
        <w:autoSpaceDE w:val="false"/>
        <w:autoSpaceDN w:val="false"/>
        <w:adjustRightInd w:val="false"/>
        <w:spacing w:after="120"/>
        <w:rPr>
          <w:color w:val="000000"/>
        </w:rPr>
      </w:pPr>
      <w:r>
        <w:rPr>
          <w:color w:val="000000"/>
        </w:rPr>
        <w:t xml:space="preserve">Créée par la loi N° 2001-013/AN du 02 juillet 2001 portant création des régions, la région du Nord regroupe les provinces du Loroum, du Passoré, du Yatenga et du Zondoma. La région du Nord est située dans la partie septentrionale du Burkina Faso. Elle est située </w:t>
      </w:r>
      <w:r>
        <w:rPr>
          <w:color w:val="000000"/>
        </w:rPr>
        <w:t>entre les latitudes 12°38’ et 14°18’ Nord et les longitudes 1°33’ et 2°55’ Ouest. La région fait frontière avec le Mali au Nord et 5 autres régions que sont : le Sahel, le Centre-nord, le plateau central, le Centre</w:t>
      </w:r>
      <w:r>
        <w:rPr>
          <w:color w:val="000000"/>
        </w:rPr>
        <w:t>-</w:t>
      </w:r>
      <w:r>
        <w:rPr>
          <w:color w:val="000000"/>
        </w:rPr>
        <w:t xml:space="preserve"> ouest et la Boucle du Mouhoun respectivement au Nord-est, à l’Est, au </w:t>
      </w:r>
      <w:r>
        <w:rPr>
          <w:color w:val="000000"/>
        </w:rPr>
        <w:t>S</w:t>
      </w:r>
      <w:r>
        <w:rPr>
          <w:color w:val="000000"/>
        </w:rPr>
        <w:t>u</w:t>
      </w:r>
      <w:r>
        <w:rPr>
          <w:color w:val="000000"/>
        </w:rPr>
        <w:t xml:space="preserve">d </w:t>
      </w:r>
      <w:r>
        <w:rPr>
          <w:color w:val="000000"/>
        </w:rPr>
        <w:t xml:space="preserve">et à </w:t>
      </w:r>
      <w:r>
        <w:rPr>
          <w:color w:val="000000"/>
        </w:rPr>
        <w:t>l’Ouest</w:t>
      </w:r>
      <w:r>
        <w:rPr>
          <w:color w:val="000000"/>
        </w:rPr>
        <w:t xml:space="preserve">. </w:t>
      </w:r>
    </w:p>
    <w:p>
      <w:pPr>
        <w:pStyle w:val="style0"/>
        <w:autoSpaceDE w:val="false"/>
        <w:autoSpaceDN w:val="false"/>
        <w:adjustRightInd w:val="false"/>
        <w:spacing w:after="120"/>
        <w:rPr>
          <w:color w:val="000000"/>
        </w:rPr>
      </w:pPr>
      <w:r>
        <w:rPr>
          <w:color w:val="000000"/>
        </w:rPr>
        <w:t xml:space="preserve">La région du Nord possède des altitudes variant de 200 à 400 mètres et se caractérise par la présence de plaines et de plateaux dans toutes les quatre provinces. Par endroit, le relief est légèrement perturbé par des élévations collinaires dont l’altitude moyenne est comprise entre 300 et 400 mètres. Cependant, </w:t>
      </w:r>
      <w:r>
        <w:rPr>
          <w:color w:val="000000"/>
        </w:rPr>
        <w:t>quelques</w:t>
      </w:r>
      <w:r>
        <w:rPr>
          <w:color w:val="000000"/>
        </w:rPr>
        <w:t>-</w:t>
      </w:r>
      <w:r>
        <w:rPr>
          <w:color w:val="000000"/>
        </w:rPr>
        <w:t>unes</w:t>
      </w:r>
      <w:r>
        <w:rPr>
          <w:color w:val="000000"/>
        </w:rPr>
        <w:t xml:space="preserve"> peuvent atteindre 600 mètres (Pic de Komkoulibo dans le Passoré avec près de 630 mètre</w:t>
      </w:r>
      <w:r>
        <w:rPr>
          <w:color w:val="000000"/>
        </w:rPr>
        <w:t>s</w:t>
      </w:r>
      <w:r>
        <w:rPr>
          <w:color w:val="000000"/>
        </w:rPr>
        <w:t xml:space="preserve">) </w:t>
      </w:r>
    </w:p>
    <w:p>
      <w:pPr>
        <w:pStyle w:val="style0"/>
        <w:autoSpaceDE w:val="false"/>
        <w:autoSpaceDN w:val="false"/>
        <w:adjustRightInd w:val="false"/>
        <w:spacing w:after="120"/>
        <w:rPr>
          <w:color w:val="000000"/>
        </w:rPr>
      </w:pPr>
      <w:r>
        <w:rPr>
          <w:color w:val="000000"/>
        </w:rPr>
        <w:t>La région dispose de plusieurs types de sols dont les plus représentatifs sont :</w:t>
      </w:r>
    </w:p>
    <w:p>
      <w:pPr>
        <w:pStyle w:val="style0"/>
        <w:numPr>
          <w:ilvl w:val="0"/>
          <w:numId w:val="115"/>
        </w:numPr>
        <w:autoSpaceDE w:val="false"/>
        <w:autoSpaceDN w:val="false"/>
        <w:adjustRightInd w:val="false"/>
        <w:spacing w:after="120"/>
        <w:ind w:left="360"/>
        <w:rPr>
          <w:color w:val="000000"/>
        </w:rPr>
      </w:pPr>
      <w:r>
        <w:rPr>
          <w:color w:val="000000"/>
        </w:rPr>
        <w:t>l</w:t>
      </w:r>
      <w:r>
        <w:rPr>
          <w:color w:val="000000"/>
        </w:rPr>
        <w:t>es lithosols sur cuirasse : ce sont des sols superficiels, très peu épais avec un recouvrement gravillonnaire, présents dans toute la région où ils occupent 33,3 % de la superficie ;</w:t>
      </w:r>
    </w:p>
    <w:p>
      <w:pPr>
        <w:pStyle w:val="style0"/>
        <w:numPr>
          <w:ilvl w:val="0"/>
          <w:numId w:val="115"/>
        </w:numPr>
        <w:autoSpaceDE w:val="false"/>
        <w:autoSpaceDN w:val="false"/>
        <w:adjustRightInd w:val="false"/>
        <w:spacing w:after="120"/>
        <w:ind w:left="360"/>
        <w:rPr>
          <w:color w:val="000000"/>
        </w:rPr>
      </w:pPr>
      <w:r>
        <w:rPr>
          <w:color w:val="000000"/>
        </w:rPr>
        <w:t xml:space="preserve">les sols ferrugineux tropicaux lessivés ou appauvris : ils sont profonds et se caractérisent par une texture sableuse en surface et argilo-sableuse dès les 40 à 50 cm. C’est le type de sol le plus dominant dans la région. </w:t>
      </w:r>
      <w:r>
        <w:rPr>
          <w:color w:val="000000"/>
        </w:rPr>
        <w:t>Il occupe</w:t>
      </w:r>
      <w:r>
        <w:rPr>
          <w:color w:val="000000"/>
        </w:rPr>
        <w:t xml:space="preserve"> 39,4 % de la superficie totale ;</w:t>
      </w:r>
    </w:p>
    <w:p>
      <w:pPr>
        <w:pStyle w:val="style0"/>
        <w:numPr>
          <w:ilvl w:val="0"/>
          <w:numId w:val="115"/>
        </w:numPr>
        <w:autoSpaceDE w:val="false"/>
        <w:autoSpaceDN w:val="false"/>
        <w:adjustRightInd w:val="false"/>
        <w:spacing w:after="120"/>
        <w:ind w:left="360"/>
        <w:rPr>
          <w:color w:val="000000"/>
        </w:rPr>
      </w:pPr>
      <w:r>
        <w:rPr>
          <w:color w:val="000000"/>
        </w:rPr>
        <w:t>l</w:t>
      </w:r>
      <w:r>
        <w:rPr>
          <w:color w:val="000000"/>
        </w:rPr>
        <w:t xml:space="preserve">es </w:t>
      </w:r>
      <w:r>
        <w:rPr>
          <w:color w:val="000000"/>
        </w:rPr>
        <w:t xml:space="preserve">sols peu évolués d’érosion gravillonnaire : ils ont une épaisseur restreinte avec une texture graveleuse à sableuse. Ils ont une faible capacité de rétention en eau. Ces sols occupent 19,2 % de la superficie de la région. </w:t>
      </w:r>
      <w:r>
        <w:rPr>
          <w:color w:val="000000"/>
        </w:rPr>
        <w:t>Ils sont localisés dans toutes les provinces.</w:t>
      </w:r>
    </w:p>
    <w:p>
      <w:pPr>
        <w:pStyle w:val="style0"/>
        <w:rPr/>
      </w:pPr>
      <w:r>
        <w:t xml:space="preserve">La région du Nord correspond au climat soudano-sahélien qui est caractérisé par l’alternance de deux saisons : une longue saison sèche allant généralement </w:t>
      </w:r>
      <w:r>
        <w:t>d’</w:t>
      </w:r>
      <w:r>
        <w:t>O</w:t>
      </w:r>
      <w:r>
        <w:t xml:space="preserve">ctobre </w:t>
      </w:r>
      <w:r>
        <w:t xml:space="preserve">à </w:t>
      </w:r>
      <w:r>
        <w:t>M</w:t>
      </w:r>
      <w:r>
        <w:t xml:space="preserve">ai </w:t>
      </w:r>
      <w:r>
        <w:t xml:space="preserve">et une courte saison pluvieuse allant de </w:t>
      </w:r>
      <w:r>
        <w:t>M</w:t>
      </w:r>
      <w:r>
        <w:t xml:space="preserve">ai </w:t>
      </w:r>
      <w:r>
        <w:t xml:space="preserve">à </w:t>
      </w:r>
      <w:r>
        <w:t>S</w:t>
      </w:r>
      <w:r>
        <w:t>eptembre</w:t>
      </w:r>
      <w:r>
        <w:t xml:space="preserve">. </w:t>
      </w:r>
    </w:p>
    <w:p>
      <w:pPr>
        <w:pStyle w:val="style0"/>
        <w:rPr/>
      </w:pPr>
      <w:r>
        <w:t>Les précipitations y sont insuffisantes et irrégulières avec une pluviométrie annuelle de l’ordre de 600 à 700 mm.</w:t>
      </w:r>
    </w:p>
    <w:p>
      <w:pPr>
        <w:pStyle w:val="style0"/>
        <w:autoSpaceDE w:val="false"/>
        <w:autoSpaceDN w:val="false"/>
        <w:adjustRightInd w:val="false"/>
        <w:spacing w:after="120"/>
        <w:rPr>
          <w:color w:val="000000"/>
        </w:rPr>
      </w:pPr>
      <w:r>
        <w:rPr>
          <w:color w:val="000000"/>
        </w:rPr>
        <w:t>La végétation est caractérisée essentiellement par quatre types de formations végétales. En allant du Nord au Sud on distingue respectivement une steppe, une brousse tigrée, une savane arbustive et une savane arborée. Outre ces quatre formations, on note la présence de quelques reliques de forêts galeries localisées essentiellement le long des cours d’eau.</w:t>
      </w:r>
      <w:r>
        <w:rPr>
          <w:color w:val="000000"/>
        </w:rPr>
        <w:t xml:space="preserve"> </w:t>
      </w:r>
      <w:r>
        <w:rPr>
          <w:color w:val="000000"/>
        </w:rPr>
        <w:t>Des menaces pèsent sur le couvert végétal de la région. On peut retenir essentiellement la diminution, voire la disparition de certaines espèces ligneuse</w:t>
      </w:r>
      <w:r>
        <w:rPr>
          <w:color w:val="000000"/>
        </w:rPr>
        <w:t>s</w:t>
      </w:r>
      <w:r>
        <w:rPr>
          <w:color w:val="000000"/>
        </w:rPr>
        <w:t xml:space="preserve"> et/ou herbacées. Tous ces aspects ont des relations de cause à effet qui se manifestent essentiellement par la dégradation de l’environnement et du milieu physique avec pour corollaire, l’avancée progressive du désert.</w:t>
      </w:r>
    </w:p>
    <w:p>
      <w:pPr>
        <w:pStyle w:val="style0"/>
        <w:autoSpaceDE w:val="false"/>
        <w:autoSpaceDN w:val="false"/>
        <w:adjustRightInd w:val="false"/>
        <w:spacing w:after="120"/>
        <w:rPr>
          <w:color w:val="000000"/>
        </w:rPr>
      </w:pPr>
      <w:r>
        <w:rPr>
          <w:color w:val="000000"/>
        </w:rPr>
        <w:t>La région est peu fournie en ressources fauniques qui ont pratiquement disparu. Cette situation semble s’expliquer par les facteurs anthropiques (pression démographique, feux de brousse, méthodes culturales et d’élevage) et naturels (dégradation du couvert végétal). Tout comme la faune, les ressources halieutiques demeurent faibles dans la région. Ces ressources sont essentiellement localisées sur le Nakambé et ses affluents et sur certains barrages et retenues d’eau tels que le barrage de Kanazoé, le barrage de Taonsgo, etc. le caractère temporaire des cours d’eau limite le développement des ressources halieutiques qui sont composées essentiellement de tilapia, claria, schilbé, synodontus, d’auchenoglanis,</w:t>
      </w:r>
      <w:r>
        <w:rPr>
          <w:color w:val="000000"/>
        </w:rPr>
        <w:t xml:space="preserve"> </w:t>
      </w:r>
      <w:r>
        <w:rPr>
          <w:color w:val="000000"/>
        </w:rPr>
        <w:t>etc.</w:t>
      </w:r>
      <w:r>
        <w:rPr>
          <w:color w:val="000000"/>
        </w:rPr>
        <w:t xml:space="preserve"> </w:t>
      </w:r>
      <w:r>
        <w:rPr>
          <w:color w:val="000000"/>
        </w:rPr>
        <w:t xml:space="preserve">Malgré cette situation environnementale peu reluisante, la disponibilité de ressources humaines a permis de transformer certaines contraintes en atouts. Ainsi, peut-on constater l’existence d’organisations agricoles crédibles à même de porter le développement agricole et l’existence de potentialité aménageables et irrigables au niveau de secteur agricole. </w:t>
      </w:r>
      <w:r>
        <w:rPr>
          <w:color w:val="000000"/>
        </w:rPr>
        <w:t>Egalement</w:t>
      </w:r>
      <w:r>
        <w:rPr>
          <w:color w:val="000000"/>
        </w:rPr>
        <w:t>,</w:t>
      </w:r>
      <w:r>
        <w:rPr>
          <w:color w:val="000000"/>
        </w:rPr>
        <w:t xml:space="preserve"> l’activité commerciale y est très développée.</w:t>
      </w:r>
    </w:p>
    <w:p>
      <w:pPr>
        <w:pStyle w:val="style66"/>
        <w:spacing w:before="0" w:after="0" w:lineRule="auto" w:line="240"/>
        <w:rPr>
          <w:sz w:val="22"/>
          <w:lang w:val="fr-FR"/>
        </w:rPr>
      </w:pPr>
    </w:p>
    <w:bookmarkStart w:id="120" w:name="_Toc2831191"/>
    <w:p>
      <w:pPr>
        <w:pStyle w:val="style3"/>
        <w:numPr>
          <w:ilvl w:val="2"/>
          <w:numId w:val="58"/>
        </w:numPr>
        <w:rPr/>
      </w:pPr>
      <w:r>
        <w:t>Région des Cascades</w:t>
      </w:r>
      <w:bookmarkEnd w:id="120"/>
    </w:p>
    <w:p>
      <w:pPr>
        <w:pStyle w:val="style0"/>
        <w:autoSpaceDE w:val="false"/>
        <w:autoSpaceDN w:val="false"/>
        <w:adjustRightInd w:val="false"/>
        <w:spacing w:after="120"/>
        <w:rPr>
          <w:color w:val="000000"/>
        </w:rPr>
      </w:pPr>
      <w:r>
        <w:rPr>
          <w:color w:val="000000"/>
        </w:rPr>
        <w:t>Créée par la loi N° 2001-013/AN du 02 juillet 2001 portant création des régions, la région des Cascades regroupe les provinces de la Comoé et de la Léraba qui ont respectivement pour chef</w:t>
      </w:r>
      <w:r>
        <w:rPr>
          <w:color w:val="000000"/>
        </w:rPr>
        <w:t>-</w:t>
      </w:r>
      <w:r>
        <w:rPr>
          <w:color w:val="000000"/>
        </w:rPr>
        <w:t xml:space="preserve"> lieux, les villes de Banfora et de Sindou. </w:t>
      </w:r>
    </w:p>
    <w:p>
      <w:pPr>
        <w:pStyle w:val="style0"/>
        <w:autoSpaceDE w:val="false"/>
        <w:autoSpaceDN w:val="false"/>
        <w:adjustRightInd w:val="false"/>
        <w:spacing w:after="120"/>
        <w:rPr>
          <w:color w:val="000000"/>
        </w:rPr>
      </w:pPr>
      <w:r>
        <w:rPr>
          <w:color w:val="000000"/>
        </w:rPr>
        <w:t xml:space="preserve">Le relief de la région est l’un des plus accidenté au Burkina Faso. Cependant, il est composé essentiellement de deux unités topographiques que sont les plateaux et les plaines. </w:t>
      </w:r>
    </w:p>
    <w:p>
      <w:pPr>
        <w:pStyle w:val="style0"/>
        <w:autoSpaceDE w:val="false"/>
        <w:autoSpaceDN w:val="false"/>
        <w:adjustRightInd w:val="false"/>
        <w:spacing w:after="120"/>
        <w:rPr>
          <w:color w:val="000000"/>
        </w:rPr>
      </w:pPr>
      <w:r>
        <w:rPr>
          <w:color w:val="000000"/>
        </w:rPr>
        <w:t xml:space="preserve">Selon les critères de profondeur et de position physiographique, la région des Cascades se compose de divers types de sols. La diversité de ses sols est sans nul doute, un énorme potentiel pour l’activité agricole dans la zone. En effet, la région est considérée à la fois </w:t>
      </w:r>
      <w:r>
        <w:rPr>
          <w:color w:val="000000"/>
        </w:rPr>
        <w:t>comme le grenier et le verger du pays, de sorte que de nombreuses études p</w:t>
      </w:r>
      <w:r>
        <w:rPr>
          <w:color w:val="000000"/>
        </w:rPr>
        <w:t>édologiques y ont été réalisées</w:t>
      </w:r>
      <w:r>
        <w:rPr>
          <w:color w:val="000000"/>
        </w:rPr>
        <w:t xml:space="preserve">. La quasi-totalité des sols de cette partie du Burkina est propice à </w:t>
      </w:r>
      <w:r>
        <w:rPr>
          <w:color w:val="000000"/>
        </w:rPr>
        <w:t>l’agriculture</w:t>
      </w:r>
      <w:r>
        <w:rPr>
          <w:color w:val="000000"/>
        </w:rPr>
        <w:t xml:space="preserve">. Cependant, on rencontre par endroit des sols inaptes à </w:t>
      </w:r>
      <w:r>
        <w:rPr>
          <w:color w:val="000000"/>
        </w:rPr>
        <w:t>l’agriculture</w:t>
      </w:r>
      <w:r>
        <w:rPr>
          <w:color w:val="000000"/>
        </w:rPr>
        <w:t xml:space="preserve"> ou faiblement aptes à </w:t>
      </w:r>
      <w:r>
        <w:rPr>
          <w:color w:val="000000"/>
        </w:rPr>
        <w:t>l’agriculture.</w:t>
      </w:r>
    </w:p>
    <w:p>
      <w:pPr>
        <w:pStyle w:val="style0"/>
        <w:autoSpaceDE w:val="false"/>
        <w:autoSpaceDN w:val="false"/>
        <w:adjustRightInd w:val="false"/>
        <w:spacing w:after="120"/>
        <w:rPr>
          <w:color w:val="000000"/>
        </w:rPr>
      </w:pPr>
      <w:r>
        <w:rPr>
          <w:color w:val="000000"/>
        </w:rPr>
        <w:t>La région appartient à un climat de type sud</w:t>
      </w:r>
      <w:r>
        <w:rPr>
          <w:color w:val="000000"/>
        </w:rPr>
        <w:t>-</w:t>
      </w:r>
      <w:r>
        <w:rPr>
          <w:color w:val="000000"/>
        </w:rPr>
        <w:t xml:space="preserve">soudanien, déterminé par deux grandes saisons que sont la saison humide </w:t>
      </w:r>
      <w:r>
        <w:rPr>
          <w:color w:val="000000"/>
        </w:rPr>
        <w:t>d'</w:t>
      </w:r>
      <w:r>
        <w:rPr>
          <w:color w:val="000000"/>
        </w:rPr>
        <w:t>A</w:t>
      </w:r>
      <w:r>
        <w:rPr>
          <w:color w:val="000000"/>
        </w:rPr>
        <w:t xml:space="preserve">vril </w:t>
      </w:r>
      <w:r>
        <w:rPr>
          <w:color w:val="000000"/>
        </w:rPr>
        <w:t xml:space="preserve">à </w:t>
      </w:r>
      <w:r>
        <w:rPr>
          <w:color w:val="000000"/>
        </w:rPr>
        <w:t>O</w:t>
      </w:r>
      <w:r>
        <w:rPr>
          <w:color w:val="000000"/>
        </w:rPr>
        <w:t xml:space="preserve">ctobre </w:t>
      </w:r>
      <w:r>
        <w:rPr>
          <w:color w:val="000000"/>
        </w:rPr>
        <w:t xml:space="preserve">et la saison sèche de </w:t>
      </w:r>
      <w:r>
        <w:rPr>
          <w:color w:val="000000"/>
        </w:rPr>
        <w:t>N</w:t>
      </w:r>
      <w:r>
        <w:rPr>
          <w:color w:val="000000"/>
        </w:rPr>
        <w:t xml:space="preserve">ovembre </w:t>
      </w:r>
      <w:r>
        <w:rPr>
          <w:color w:val="000000"/>
        </w:rPr>
        <w:t xml:space="preserve">à </w:t>
      </w:r>
      <w:r>
        <w:rPr>
          <w:color w:val="000000"/>
        </w:rPr>
        <w:t>M</w:t>
      </w:r>
      <w:r>
        <w:rPr>
          <w:color w:val="000000"/>
        </w:rPr>
        <w:t>ars</w:t>
      </w:r>
      <w:r>
        <w:rPr>
          <w:color w:val="000000"/>
        </w:rPr>
        <w:t>. Les températures moyennes annuelles sont comprises entre 17 et 36° C, soit une amplitude thermique de 19° C.</w:t>
      </w:r>
    </w:p>
    <w:p>
      <w:pPr>
        <w:pStyle w:val="style0"/>
        <w:autoSpaceDE w:val="false"/>
        <w:autoSpaceDN w:val="false"/>
        <w:adjustRightInd w:val="false"/>
        <w:spacing w:after="120"/>
        <w:rPr>
          <w:color w:val="000000"/>
        </w:rPr>
      </w:pPr>
      <w:r>
        <w:rPr>
          <w:color w:val="000000"/>
        </w:rPr>
        <w:t xml:space="preserve">En raison de sa forte pluviométrie et de la diversité de ses sols, la zone offre des conditions idéales à la formation d’un couvert végétal très diversifié. En effet, la végétation dans son ensemble est constituée de savanes boisées et de forêts claires hautes de 15 à 20 m entrecoupées de galeries forestières. </w:t>
      </w:r>
    </w:p>
    <w:p>
      <w:pPr>
        <w:pStyle w:val="style0"/>
        <w:autoSpaceDE w:val="false"/>
        <w:autoSpaceDN w:val="false"/>
        <w:adjustRightInd w:val="false"/>
        <w:spacing w:after="120"/>
        <w:rPr>
          <w:color w:val="000000"/>
        </w:rPr>
      </w:pPr>
      <w:r>
        <w:rPr>
          <w:color w:val="000000"/>
        </w:rPr>
        <w:t>A ces différentes espèces, s'ajoutent les peuplements de rôniers et les différents vergers. On dénombre plusieurs forêts classées dans la région dont les plus importantes en superficie sont celles de Dioufoula (85 000 ha) et de Dida (75 000 ha). Les bosquets des tradipraticiens et ceux de Kawara dans le département de Sindou sont également des espaces classés.</w:t>
      </w:r>
      <w:r>
        <w:rPr>
          <w:color w:val="000000"/>
        </w:rPr>
        <w:t xml:space="preserve"> </w:t>
      </w:r>
      <w:r>
        <w:rPr>
          <w:color w:val="000000"/>
        </w:rPr>
        <w:t xml:space="preserve">Dans cette végétation diverse, abonde une faune également diversifiée. </w:t>
      </w:r>
    </w:p>
    <w:p>
      <w:pPr>
        <w:pStyle w:val="style0"/>
        <w:autoSpaceDE w:val="false"/>
        <w:autoSpaceDN w:val="false"/>
        <w:adjustRightInd w:val="false"/>
        <w:spacing w:after="120"/>
        <w:rPr>
          <w:color w:val="000000"/>
        </w:rPr>
      </w:pPr>
      <w:r>
        <w:rPr>
          <w:color w:val="000000"/>
        </w:rPr>
        <w:t>La région est située dans le bassin versant de la Comoé et dispose de deux fleuves qui coulent de façon permanente. Ces cours d’eau, la Comoé et la Léraba, ont donné leurs noms aux deux provinces de la région.</w:t>
      </w:r>
    </w:p>
    <w:p>
      <w:pPr>
        <w:pStyle w:val="style0"/>
        <w:autoSpaceDE w:val="false"/>
        <w:autoSpaceDN w:val="false"/>
        <w:adjustRightInd w:val="false"/>
        <w:spacing w:after="120"/>
        <w:rPr>
          <w:color w:val="000000"/>
        </w:rPr>
      </w:pPr>
      <w:r>
        <w:rPr>
          <w:color w:val="000000"/>
        </w:rPr>
        <w:t>La région jouit d’une bonne pluviométrie et compte ainsi, parmi les zones les mieux arrosées du Burkina Faso. La combinaison de cette bonne pluviométrie et des autres facteurs naturels est favorable à l’intensification et à la diversification des activités agro-pastorales De plus, la région compte des lacs et de nombreuses retenues d'eau. En effet, sur les cours d'eau, plus d'une vingtaine d'ouvrages hydrauliques dont les capacités varient entre 0,5 et 50 000 millions de m</w:t>
      </w:r>
      <w:r>
        <w:rPr>
          <w:color w:val="000000"/>
          <w:vertAlign w:val="superscript"/>
        </w:rPr>
        <w:t>3</w:t>
      </w:r>
      <w:r>
        <w:rPr>
          <w:color w:val="000000"/>
        </w:rPr>
        <w:t xml:space="preserve"> ont été édifiés. </w:t>
      </w:r>
    </w:p>
    <w:p>
      <w:pPr>
        <w:pStyle w:val="style0"/>
        <w:autoSpaceDE w:val="false"/>
        <w:autoSpaceDN w:val="false"/>
        <w:adjustRightInd w:val="false"/>
        <w:spacing w:after="120"/>
        <w:rPr>
          <w:color w:val="000000"/>
        </w:rPr>
      </w:pPr>
      <w:r>
        <w:rPr>
          <w:color w:val="000000"/>
        </w:rPr>
        <w:t>La présence de ces ouvrages est un atout pour l’énergie, le développement de la culture irriguée (le riz) et la pratique de la sylviculture. L’abondance des plans d’eau permet également à la population de pratiquer la culture de contre saison (cultures maraîchères).</w:t>
      </w:r>
    </w:p>
    <w:p>
      <w:pPr>
        <w:pStyle w:val="style66"/>
        <w:spacing w:before="0" w:after="0" w:lineRule="auto" w:line="240"/>
        <w:rPr>
          <w:sz w:val="22"/>
          <w:lang w:val="fr-FR"/>
        </w:rPr>
      </w:pPr>
    </w:p>
    <w:bookmarkStart w:id="121" w:name="_Toc2831192"/>
    <w:p>
      <w:pPr>
        <w:pStyle w:val="style3"/>
        <w:numPr>
          <w:ilvl w:val="2"/>
          <w:numId w:val="58"/>
        </w:numPr>
        <w:rPr/>
      </w:pPr>
      <w:r>
        <w:t>Région</w:t>
      </w:r>
      <w:r>
        <w:t xml:space="preserve"> de la Boucle du Mouhoun</w:t>
      </w:r>
      <w:bookmarkEnd w:id="121"/>
    </w:p>
    <w:p>
      <w:pPr>
        <w:pStyle w:val="style0"/>
        <w:autoSpaceDE w:val="false"/>
        <w:autoSpaceDN w:val="false"/>
        <w:adjustRightInd w:val="false"/>
        <w:spacing w:after="120"/>
        <w:rPr>
          <w:color w:val="000000"/>
        </w:rPr>
      </w:pPr>
      <w:r>
        <w:rPr>
          <w:color w:val="000000"/>
        </w:rPr>
        <w:t>Créée par la loi N° 2001-013/AN du 02 juillet 2001 portant création des régions, la région de la Boucle du Mouhoun regroupe les provinces des Balé, des Banwa, de la Kossi, du Mouhoun, du Nayala et du Sourou qui ont respectivement pour chef</w:t>
      </w:r>
      <w:r>
        <w:rPr>
          <w:color w:val="000000"/>
        </w:rPr>
        <w:t>-</w:t>
      </w:r>
      <w:r>
        <w:rPr>
          <w:color w:val="000000"/>
        </w:rPr>
        <w:t xml:space="preserve">lieux, les villes de Boromo, Solenzo, Nouna, Dédougou, Toma et Tougan. </w:t>
      </w:r>
    </w:p>
    <w:p>
      <w:pPr>
        <w:pStyle w:val="style0"/>
        <w:autoSpaceDE w:val="false"/>
        <w:autoSpaceDN w:val="false"/>
        <w:adjustRightInd w:val="false"/>
        <w:spacing w:after="120"/>
        <w:rPr>
          <w:color w:val="000000"/>
        </w:rPr>
      </w:pPr>
      <w:r>
        <w:rPr>
          <w:color w:val="000000"/>
        </w:rPr>
        <w:t>La Boucle du Mouhoun à l’instar du reste du Burkina, est une région peu accidentée. Elle est plate sur près de 4/5 de sa superficie. Le relief est assez monotone et quelques fois interrompu par des affleurements de grès parfois fortement escarpés (</w:t>
      </w:r>
      <w:r>
        <w:rPr>
          <w:color w:val="000000"/>
        </w:rPr>
        <w:t>S</w:t>
      </w:r>
      <w:r>
        <w:rPr>
          <w:color w:val="000000"/>
        </w:rPr>
        <w:t xml:space="preserve">ud </w:t>
      </w:r>
      <w:r>
        <w:rPr>
          <w:color w:val="000000"/>
        </w:rPr>
        <w:t xml:space="preserve">du Mouhoun, </w:t>
      </w:r>
      <w:r>
        <w:rPr>
          <w:color w:val="000000"/>
        </w:rPr>
        <w:t>N</w:t>
      </w:r>
      <w:r>
        <w:rPr>
          <w:color w:val="000000"/>
        </w:rPr>
        <w:t>ord</w:t>
      </w:r>
      <w:r>
        <w:rPr>
          <w:color w:val="000000"/>
        </w:rPr>
        <w:t xml:space="preserve">-est des Balé et le </w:t>
      </w:r>
      <w:r>
        <w:rPr>
          <w:color w:val="000000"/>
        </w:rPr>
        <w:t>C</w:t>
      </w:r>
      <w:r>
        <w:rPr>
          <w:color w:val="000000"/>
        </w:rPr>
        <w:t xml:space="preserve">entre </w:t>
      </w:r>
      <w:r>
        <w:rPr>
          <w:color w:val="000000"/>
        </w:rPr>
        <w:t xml:space="preserve">des Banwa). </w:t>
      </w:r>
    </w:p>
    <w:p>
      <w:pPr>
        <w:pStyle w:val="style0"/>
        <w:autoSpaceDE w:val="false"/>
        <w:autoSpaceDN w:val="false"/>
        <w:adjustRightInd w:val="false"/>
        <w:spacing w:after="120"/>
        <w:rPr>
          <w:color w:val="000000"/>
        </w:rPr>
      </w:pPr>
      <w:r>
        <w:rPr>
          <w:color w:val="000000"/>
        </w:rPr>
        <w:t>Au niveau des sols, on distingue 04 types dans la région</w:t>
      </w:r>
      <w:r>
        <w:rPr>
          <w:color w:val="000000"/>
        </w:rPr>
        <w:t xml:space="preserve"> </w:t>
      </w:r>
      <w:r>
        <w:rPr>
          <w:color w:val="000000"/>
        </w:rPr>
        <w:t>:</w:t>
      </w:r>
    </w:p>
    <w:p>
      <w:pPr>
        <w:pStyle w:val="style0"/>
        <w:numPr>
          <w:ilvl w:val="0"/>
          <w:numId w:val="10"/>
        </w:numPr>
        <w:autoSpaceDE w:val="false"/>
        <w:autoSpaceDN w:val="false"/>
        <w:adjustRightInd w:val="false"/>
        <w:ind w:left="270" w:hanging="284"/>
        <w:rPr>
          <w:color w:val="000000"/>
        </w:rPr>
      </w:pPr>
      <w:r>
        <w:rPr>
          <w:color w:val="000000"/>
        </w:rPr>
        <w:t xml:space="preserve">les sols minéraux bruts associés aux sols peu évolués : leur intérêt agronomique est faible ou nul. </w:t>
      </w:r>
      <w:r>
        <w:rPr>
          <w:color w:val="000000"/>
        </w:rPr>
        <w:t>Ce sont essentiellement des sols réservés au pâturage ;</w:t>
      </w:r>
    </w:p>
    <w:p>
      <w:pPr>
        <w:pStyle w:val="style0"/>
        <w:numPr>
          <w:ilvl w:val="0"/>
          <w:numId w:val="10"/>
        </w:numPr>
        <w:autoSpaceDE w:val="false"/>
        <w:autoSpaceDN w:val="false"/>
        <w:adjustRightInd w:val="false"/>
        <w:ind w:left="270" w:hanging="284"/>
        <w:rPr>
          <w:color w:val="000000"/>
        </w:rPr>
      </w:pPr>
      <w:r>
        <w:rPr>
          <w:color w:val="000000"/>
        </w:rPr>
        <w:t>les vertisols et les sols bruns eutrophes : ce sont des sols à valeur agronomique forte à moyenne, aptes à l’ensemble des cultures pratiquées dans la région. Ces sols sont peu exigeants et se prêtent facilement aux actions d’amélioration ;</w:t>
      </w:r>
    </w:p>
    <w:p>
      <w:pPr>
        <w:pStyle w:val="style0"/>
        <w:numPr>
          <w:ilvl w:val="0"/>
          <w:numId w:val="10"/>
        </w:numPr>
        <w:autoSpaceDE w:val="false"/>
        <w:autoSpaceDN w:val="false"/>
        <w:adjustRightInd w:val="false"/>
        <w:ind w:left="270" w:hanging="284"/>
        <w:rPr>
          <w:color w:val="000000"/>
        </w:rPr>
      </w:pPr>
      <w:r>
        <w:rPr>
          <w:color w:val="000000"/>
        </w:rPr>
        <w:t>les sols ferrugineux tropicaux : ils ont une valeur agronomique médiocre et supportent les cultures vivrières comme le fonio et le petit mil ;</w:t>
      </w:r>
    </w:p>
    <w:p>
      <w:pPr>
        <w:pStyle w:val="style0"/>
        <w:numPr>
          <w:ilvl w:val="0"/>
          <w:numId w:val="10"/>
        </w:numPr>
        <w:autoSpaceDE w:val="false"/>
        <w:autoSpaceDN w:val="false"/>
        <w:adjustRightInd w:val="false"/>
        <w:ind w:left="270" w:hanging="284"/>
        <w:rPr>
          <w:color w:val="000000"/>
        </w:rPr>
      </w:pPr>
      <w:r>
        <w:rPr>
          <w:color w:val="000000"/>
        </w:rPr>
        <w:t>les sols hydromorphes : ils sont localisés dans les bas-fonds et les zones d’inondation des cours d’eau. Ce sont des sols lourds, difficiles à travailler mais à haute valeur agronomique.</w:t>
      </w:r>
    </w:p>
    <w:p>
      <w:pPr>
        <w:pStyle w:val="style0"/>
        <w:rPr/>
      </w:pPr>
      <w:r>
        <w:t>Ils constituent d’excellentes terres de maraîchage. La région de la Boucle du Mouhoun est située dans la zone soudano-sahélienne et connaît deux (2) saisons :</w:t>
      </w:r>
    </w:p>
    <w:p>
      <w:pPr>
        <w:pStyle w:val="style4164"/>
        <w:numPr>
          <w:ilvl w:val="0"/>
          <w:numId w:val="10"/>
        </w:numPr>
        <w:autoSpaceDE w:val="false"/>
        <w:autoSpaceDN w:val="false"/>
        <w:adjustRightInd w:val="false"/>
        <w:ind w:left="270" w:hanging="284"/>
        <w:contextualSpacing/>
        <w:rPr>
          <w:color w:val="000000"/>
        </w:rPr>
      </w:pPr>
      <w:r>
        <w:rPr>
          <w:color w:val="000000"/>
        </w:rPr>
        <w:t xml:space="preserve">une saison sèche qui dure de 7 à 9 mois dans le </w:t>
      </w:r>
      <w:r>
        <w:rPr>
          <w:color w:val="000000"/>
          <w:lang w:val="fr-FR"/>
        </w:rPr>
        <w:t>N</w:t>
      </w:r>
      <w:r>
        <w:rPr>
          <w:color w:val="000000"/>
        </w:rPr>
        <w:t xml:space="preserve">ord </w:t>
      </w:r>
      <w:r>
        <w:rPr>
          <w:color w:val="000000"/>
        </w:rPr>
        <w:t xml:space="preserve">de la région et de 4 à 6 mois dans le </w:t>
      </w:r>
      <w:r>
        <w:rPr>
          <w:color w:val="000000"/>
          <w:lang w:val="fr-FR"/>
        </w:rPr>
        <w:t>S</w:t>
      </w:r>
      <w:r>
        <w:rPr>
          <w:color w:val="000000"/>
        </w:rPr>
        <w:t>ud</w:t>
      </w:r>
      <w:r>
        <w:rPr>
          <w:color w:val="000000"/>
        </w:rPr>
        <w:t xml:space="preserve">. </w:t>
      </w:r>
    </w:p>
    <w:p>
      <w:pPr>
        <w:pStyle w:val="style4164"/>
        <w:numPr>
          <w:ilvl w:val="0"/>
          <w:numId w:val="10"/>
        </w:numPr>
        <w:autoSpaceDE w:val="false"/>
        <w:autoSpaceDN w:val="false"/>
        <w:adjustRightInd w:val="false"/>
        <w:ind w:left="270" w:hanging="284"/>
        <w:contextualSpacing/>
        <w:rPr>
          <w:color w:val="000000"/>
        </w:rPr>
      </w:pPr>
      <w:r>
        <w:rPr>
          <w:color w:val="000000"/>
        </w:rPr>
        <w:t xml:space="preserve">une saison pluvieuse qui s’étale sur 3 à 5 mois dans le </w:t>
      </w:r>
      <w:r>
        <w:rPr>
          <w:color w:val="000000"/>
          <w:lang w:val="fr-FR"/>
        </w:rPr>
        <w:t>N</w:t>
      </w:r>
      <w:r>
        <w:rPr>
          <w:color w:val="000000"/>
        </w:rPr>
        <w:t xml:space="preserve">ord </w:t>
      </w:r>
      <w:r>
        <w:rPr>
          <w:color w:val="000000"/>
        </w:rPr>
        <w:t xml:space="preserve">et 6 à 8 mois dans le </w:t>
      </w:r>
      <w:r>
        <w:rPr>
          <w:color w:val="000000"/>
          <w:lang w:val="fr-FR"/>
        </w:rPr>
        <w:t>S</w:t>
      </w:r>
      <w:r>
        <w:rPr>
          <w:color w:val="000000"/>
        </w:rPr>
        <w:t>ud</w:t>
      </w:r>
      <w:r>
        <w:rPr>
          <w:color w:val="000000"/>
        </w:rPr>
        <w:t xml:space="preserve">. </w:t>
      </w:r>
    </w:p>
    <w:p>
      <w:pPr>
        <w:pStyle w:val="style0"/>
        <w:autoSpaceDE w:val="false"/>
        <w:autoSpaceDN w:val="false"/>
        <w:adjustRightInd w:val="false"/>
        <w:spacing w:after="120"/>
        <w:rPr>
          <w:color w:val="000000"/>
        </w:rPr>
      </w:pPr>
      <w:r>
        <w:rPr>
          <w:color w:val="000000"/>
        </w:rPr>
        <w:t xml:space="preserve">Les enjeux environnementaux dans la région varient d’une zone à une autre. En effet, au </w:t>
      </w:r>
      <w:r>
        <w:rPr>
          <w:color w:val="000000"/>
        </w:rPr>
        <w:t>N</w:t>
      </w:r>
      <w:r>
        <w:rPr>
          <w:color w:val="000000"/>
        </w:rPr>
        <w:t xml:space="preserve">ord </w:t>
      </w:r>
      <w:r>
        <w:rPr>
          <w:color w:val="000000"/>
        </w:rPr>
        <w:t xml:space="preserve">dans le secteur </w:t>
      </w:r>
      <w:r>
        <w:rPr>
          <w:color w:val="000000"/>
        </w:rPr>
        <w:t>S</w:t>
      </w:r>
      <w:r>
        <w:rPr>
          <w:color w:val="000000"/>
        </w:rPr>
        <w:t>ud</w:t>
      </w:r>
      <w:r>
        <w:rPr>
          <w:color w:val="000000"/>
        </w:rPr>
        <w:t xml:space="preserve">-sahélien, la végétation évolue de la steppe arbustive à la steppe arborée et au </w:t>
      </w:r>
      <w:r>
        <w:rPr>
          <w:color w:val="000000"/>
        </w:rPr>
        <w:t>S</w:t>
      </w:r>
      <w:r>
        <w:rPr>
          <w:color w:val="000000"/>
        </w:rPr>
        <w:t>ud</w:t>
      </w:r>
      <w:r>
        <w:rPr>
          <w:color w:val="000000"/>
        </w:rPr>
        <w:t xml:space="preserve">, à la savane. Au </w:t>
      </w:r>
      <w:r>
        <w:rPr>
          <w:color w:val="000000"/>
        </w:rPr>
        <w:t>C</w:t>
      </w:r>
      <w:r>
        <w:rPr>
          <w:color w:val="000000"/>
        </w:rPr>
        <w:t xml:space="preserve">entre </w:t>
      </w:r>
      <w:r>
        <w:rPr>
          <w:color w:val="000000"/>
        </w:rPr>
        <w:t xml:space="preserve">dans le secteur nord soudanien, dominent les savanes arbustives et arborées, les formations mixtes des vallées associées aux cultures. Enfin, au Sud dans le secteur sud-soudanien, s’étend la savane arborée à boisée avec des forêts galeries le long des cours d’eau. Ces formations végétales servent de gîte à une faune assez riche et variée. Elle est constituée en grande partie de petits gibiers (lièvres, antilopes de petite taille, rats, écureuils, tourterelles…). Le gros gibier rencontré est formé essentiellement de quelques troupeaux d’hippopotames, de buffles, d’éléphants (espèce intégralement protégée), de phacochères, d’hyènes, de lions et de panthères. </w:t>
      </w:r>
    </w:p>
    <w:p>
      <w:pPr>
        <w:pStyle w:val="style0"/>
        <w:autoSpaceDE w:val="false"/>
        <w:autoSpaceDN w:val="false"/>
        <w:adjustRightInd w:val="false"/>
        <w:spacing w:after="120"/>
        <w:rPr>
          <w:color w:val="000000"/>
        </w:rPr>
      </w:pPr>
      <w:r>
        <w:rPr>
          <w:color w:val="000000"/>
        </w:rPr>
        <w:t xml:space="preserve">Sur le plan hydrographique, la région dispose d’un réseau assez dense tissé autour du bassin versant du fleuve Mouhoun qui traverse la région sur 280 km. Autour du fleuve Mouhoun s’organisent des cours d’eau secondaires permanents Cet ensemble physique intègre des réserves et forêts classées représentant environ 7% de la superficie régionale et localisée essentiellement dans les provinces des Balé, du Mouhoun et du Nayala </w:t>
      </w:r>
    </w:p>
    <w:p>
      <w:pPr>
        <w:pStyle w:val="style0"/>
        <w:autoSpaceDE w:val="false"/>
        <w:autoSpaceDN w:val="false"/>
        <w:adjustRightInd w:val="false"/>
        <w:spacing w:after="120"/>
        <w:rPr>
          <w:color w:val="000000"/>
        </w:rPr>
      </w:pPr>
      <w:r>
        <w:rPr>
          <w:color w:val="000000"/>
        </w:rPr>
        <w:t>L’économie de la région est essentiellement basée sur l’agriculture et l’élevage qui occupent environ 90% de la population. A ces deux secteurs clés, s’ajoutent des secteurs d’opportunités tels les mines, l’artisanat, l’industrie et les services.</w:t>
      </w:r>
    </w:p>
    <w:p>
      <w:pPr>
        <w:pStyle w:val="style66"/>
        <w:spacing w:before="0" w:after="0" w:lineRule="auto" w:line="240"/>
        <w:rPr>
          <w:sz w:val="22"/>
          <w:lang w:val="fr-FR"/>
        </w:rPr>
      </w:pPr>
    </w:p>
    <w:bookmarkStart w:id="122" w:name="_Toc2831193"/>
    <w:p>
      <w:pPr>
        <w:pStyle w:val="style3"/>
        <w:numPr>
          <w:ilvl w:val="2"/>
          <w:numId w:val="58"/>
        </w:numPr>
        <w:rPr/>
      </w:pPr>
      <w:r>
        <w:t>Région</w:t>
      </w:r>
      <w:r>
        <w:t xml:space="preserve"> des Hauts Bassins</w:t>
      </w:r>
      <w:bookmarkEnd w:id="122"/>
      <w:r>
        <w:t xml:space="preserve"> </w:t>
      </w:r>
    </w:p>
    <w:p>
      <w:pPr>
        <w:pStyle w:val="style0"/>
        <w:autoSpaceDE w:val="false"/>
        <w:autoSpaceDN w:val="false"/>
        <w:adjustRightInd w:val="false"/>
        <w:spacing w:after="120"/>
        <w:rPr>
          <w:b/>
          <w:bCs/>
          <w:color w:val="000000"/>
        </w:rPr>
      </w:pPr>
      <w:r>
        <w:rPr>
          <w:color w:val="000000"/>
        </w:rPr>
        <w:t xml:space="preserve">Créée par la loi n° 031/AN du 2 juillet 2001 dans ses limites actuelles, la région des Hauts-Bassins comprend les provinces du Houet, du Kénédougou et du Tuy qui ont respectivement pour </w:t>
      </w:r>
      <w:r>
        <w:rPr>
          <w:color w:val="000000"/>
        </w:rPr>
        <w:t>chef-lieu</w:t>
      </w:r>
      <w:r>
        <w:rPr>
          <w:color w:val="000000"/>
        </w:rPr>
        <w:t xml:space="preserve"> Bobo Dioulasso, Orodara et Houndé. </w:t>
      </w:r>
    </w:p>
    <w:p>
      <w:pPr>
        <w:pStyle w:val="style0"/>
        <w:autoSpaceDE w:val="false"/>
        <w:autoSpaceDN w:val="false"/>
        <w:adjustRightInd w:val="false"/>
        <w:spacing w:after="120"/>
        <w:rPr>
          <w:color w:val="000000"/>
        </w:rPr>
      </w:pPr>
      <w:r>
        <w:rPr>
          <w:color w:val="000000"/>
        </w:rPr>
        <w:t>La région se situe à l’Ouest du Burkina Faso. Elle est limitée au Nord par la région de la Boucle du Mouhoun, au Sud par la Région des Cascades, à l’Est par la Région du Sud-Ouest et à l’Ouest par la République du Mali. Elle couvre une superficie de 25 479 Km</w:t>
      </w:r>
      <w:r>
        <w:rPr>
          <w:color w:val="000000"/>
          <w:vertAlign w:val="superscript"/>
        </w:rPr>
        <w:t>2</w:t>
      </w:r>
      <w:r>
        <w:rPr>
          <w:color w:val="000000"/>
        </w:rPr>
        <w:t xml:space="preserve"> soit 9,4 % du territoire national. </w:t>
      </w:r>
    </w:p>
    <w:p>
      <w:pPr>
        <w:pStyle w:val="style0"/>
        <w:autoSpaceDE w:val="false"/>
        <w:autoSpaceDN w:val="false"/>
        <w:adjustRightInd w:val="false"/>
        <w:spacing w:after="120"/>
        <w:rPr>
          <w:color w:val="000000"/>
        </w:rPr>
      </w:pPr>
      <w:r>
        <w:rPr>
          <w:color w:val="000000"/>
        </w:rPr>
        <w:t>Le relief de la région se caractérise par des plateaux et des plaines auxquels s'ajoutent quelques buttes, collines et vallées (colline de Kari et de Houndé dans le Tuy)</w:t>
      </w:r>
    </w:p>
    <w:p>
      <w:pPr>
        <w:pStyle w:val="style0"/>
        <w:autoSpaceDE w:val="false"/>
        <w:autoSpaceDN w:val="false"/>
        <w:adjustRightInd w:val="false"/>
        <w:spacing w:after="120"/>
        <w:rPr>
          <w:b/>
          <w:bCs/>
          <w:color w:val="000000"/>
        </w:rPr>
      </w:pPr>
      <w:r>
        <w:rPr>
          <w:color w:val="000000"/>
        </w:rPr>
        <w:t xml:space="preserve">Les principaux sols sont des sols ferrugineux tropicaux peu lessivés ou lessivés et des sols hydromorphes. </w:t>
      </w:r>
    </w:p>
    <w:p>
      <w:pPr>
        <w:pStyle w:val="style0"/>
        <w:autoSpaceDE w:val="false"/>
        <w:autoSpaceDN w:val="false"/>
        <w:adjustRightInd w:val="false"/>
        <w:spacing w:after="120"/>
        <w:rPr>
          <w:color w:val="000000"/>
        </w:rPr>
      </w:pPr>
      <w:r>
        <w:rPr>
          <w:color w:val="000000"/>
        </w:rPr>
        <w:t>Le climat est tropical de type nord-soudanien et sud soudanien. Il est marqué par 2 grandes saisons : une saison humide qui dure 06 à 07 mois (mai à octobre/novembre) et une saison sèche qui s'étend sur 05 à 06 mois (</w:t>
      </w:r>
      <w:r>
        <w:rPr>
          <w:color w:val="000000"/>
        </w:rPr>
        <w:t>N</w:t>
      </w:r>
      <w:r>
        <w:rPr>
          <w:color w:val="000000"/>
        </w:rPr>
        <w:t>ovembre</w:t>
      </w:r>
      <w:r>
        <w:rPr>
          <w:color w:val="000000"/>
        </w:rPr>
        <w:t>/</w:t>
      </w:r>
      <w:r>
        <w:rPr>
          <w:color w:val="000000"/>
        </w:rPr>
        <w:t>D</w:t>
      </w:r>
      <w:r>
        <w:rPr>
          <w:color w:val="000000"/>
        </w:rPr>
        <w:t xml:space="preserve">écembre </w:t>
      </w:r>
      <w:r>
        <w:rPr>
          <w:color w:val="000000"/>
        </w:rPr>
        <w:t xml:space="preserve">à </w:t>
      </w:r>
      <w:r>
        <w:rPr>
          <w:color w:val="000000"/>
        </w:rPr>
        <w:t>A</w:t>
      </w:r>
      <w:r>
        <w:rPr>
          <w:color w:val="000000"/>
        </w:rPr>
        <w:t>vril</w:t>
      </w:r>
      <w:r>
        <w:rPr>
          <w:color w:val="000000"/>
        </w:rPr>
        <w:t>). La pluviométrie relativement abondante est comprise entre 800 et 1200 mm.</w:t>
      </w:r>
    </w:p>
    <w:p>
      <w:pPr>
        <w:pStyle w:val="style0"/>
        <w:autoSpaceDE w:val="false"/>
        <w:autoSpaceDN w:val="false"/>
        <w:adjustRightInd w:val="false"/>
        <w:spacing w:after="120"/>
        <w:rPr>
          <w:color w:val="000000"/>
        </w:rPr>
      </w:pPr>
      <w:r>
        <w:rPr>
          <w:color w:val="000000"/>
        </w:rPr>
        <w:t>La particularité de la topographie et du climat fait d’elle un véritable château d'eau. D’importants fleuves du pays y prennent leur source. Ce sont</w:t>
      </w:r>
      <w:r>
        <w:rPr>
          <w:color w:val="000000"/>
        </w:rPr>
        <w:t>,</w:t>
      </w:r>
      <w:r>
        <w:rPr>
          <w:color w:val="000000"/>
        </w:rPr>
        <w:t xml:space="preserve"> notamment le Mouhoun, le Banifing, le Tuy (Grand Balé), la Comoé et la Léraba qui ont leurs sources dans la région. </w:t>
      </w:r>
    </w:p>
    <w:p>
      <w:pPr>
        <w:pStyle w:val="style0"/>
        <w:autoSpaceDE w:val="false"/>
        <w:autoSpaceDN w:val="false"/>
        <w:adjustRightInd w:val="false"/>
        <w:spacing w:after="120"/>
        <w:rPr>
          <w:color w:val="000000"/>
        </w:rPr>
      </w:pPr>
      <w:r>
        <w:rPr>
          <w:color w:val="000000"/>
        </w:rPr>
        <w:t>La région se caractérise par la densité de sa végétation naturelle composée essentiellement de savane comportant tous les sous-types depuis la savane boisée jusqu’à la savane herbeuse. Elle compte 16 forêts classées avec une biodiversité assez riche comparativement au reste du pays.</w:t>
      </w:r>
    </w:p>
    <w:p>
      <w:pPr>
        <w:pStyle w:val="style0"/>
        <w:autoSpaceDE w:val="false"/>
        <w:autoSpaceDN w:val="false"/>
        <w:adjustRightInd w:val="false"/>
        <w:spacing w:after="120"/>
        <w:rPr>
          <w:color w:val="000000"/>
        </w:rPr>
      </w:pPr>
      <w:r>
        <w:rPr>
          <w:color w:val="000000"/>
        </w:rPr>
        <w:t xml:space="preserve">La faune est assez riche et variée du fait de l’existence de nombreuses forêts classées (16 au total). En effet, cette couverture végétale abondante a favorisé la convergence des espèces animales : </w:t>
      </w:r>
      <w:r>
        <w:rPr>
          <w:color w:val="000000"/>
        </w:rPr>
        <w:t>é</w:t>
      </w:r>
      <w:r>
        <w:rPr>
          <w:color w:val="000000"/>
        </w:rPr>
        <w:t>léphants</w:t>
      </w:r>
      <w:r>
        <w:rPr>
          <w:color w:val="000000"/>
        </w:rPr>
        <w:t xml:space="preserve">, </w:t>
      </w:r>
      <w:r>
        <w:rPr>
          <w:color w:val="000000"/>
        </w:rPr>
        <w:t>k</w:t>
      </w:r>
      <w:r>
        <w:rPr>
          <w:color w:val="000000"/>
        </w:rPr>
        <w:t>obas</w:t>
      </w:r>
      <w:r>
        <w:rPr>
          <w:color w:val="000000"/>
        </w:rPr>
        <w:t xml:space="preserve">, </w:t>
      </w:r>
      <w:r>
        <w:rPr>
          <w:color w:val="000000"/>
        </w:rPr>
        <w:t>h</w:t>
      </w:r>
      <w:r>
        <w:rPr>
          <w:color w:val="000000"/>
        </w:rPr>
        <w:t>ippopotames</w:t>
      </w:r>
      <w:r>
        <w:rPr>
          <w:color w:val="000000"/>
        </w:rPr>
        <w:t xml:space="preserve">, </w:t>
      </w:r>
      <w:r>
        <w:rPr>
          <w:color w:val="000000"/>
        </w:rPr>
        <w:t>s</w:t>
      </w:r>
      <w:r>
        <w:rPr>
          <w:color w:val="000000"/>
        </w:rPr>
        <w:t>inges</w:t>
      </w:r>
      <w:r>
        <w:rPr>
          <w:color w:val="000000"/>
        </w:rPr>
        <w:t xml:space="preserve">, oiseaux, </w:t>
      </w:r>
      <w:r>
        <w:rPr>
          <w:color w:val="000000"/>
        </w:rPr>
        <w:t>p</w:t>
      </w:r>
      <w:r>
        <w:rPr>
          <w:color w:val="000000"/>
        </w:rPr>
        <w:t>oissons</w:t>
      </w:r>
      <w:r>
        <w:rPr>
          <w:color w:val="000000"/>
        </w:rPr>
        <w:t>, etc.</w:t>
      </w:r>
    </w:p>
    <w:p>
      <w:pPr>
        <w:pStyle w:val="style0"/>
        <w:autoSpaceDE w:val="false"/>
        <w:autoSpaceDN w:val="false"/>
        <w:adjustRightInd w:val="false"/>
        <w:spacing w:after="120"/>
        <w:rPr>
          <w:color w:val="000000"/>
        </w:rPr>
      </w:pPr>
      <w:r>
        <w:rPr>
          <w:color w:val="000000"/>
        </w:rPr>
        <w:t>Les ressources halieutiques ne sont pas négligeables mais la pêche est de type artisanal.</w:t>
      </w:r>
    </w:p>
    <w:p>
      <w:pPr>
        <w:pStyle w:val="style0"/>
        <w:autoSpaceDE w:val="false"/>
        <w:autoSpaceDN w:val="false"/>
        <w:adjustRightInd w:val="false"/>
        <w:spacing w:after="120"/>
        <w:rPr>
          <w:color w:val="000000"/>
        </w:rPr>
      </w:pPr>
      <w:r>
        <w:rPr>
          <w:color w:val="000000"/>
        </w:rPr>
        <w:t>Cet environnement est un véritable potentiel pour les activités du secteur primaire et sa situation géographique est un atout pour les activités commerciales.</w:t>
      </w:r>
    </w:p>
    <w:p>
      <w:pPr>
        <w:pStyle w:val="style0"/>
        <w:autoSpaceDE w:val="false"/>
        <w:autoSpaceDN w:val="false"/>
        <w:adjustRightInd w:val="false"/>
        <w:spacing w:after="120"/>
        <w:rPr>
          <w:color w:val="000000"/>
        </w:rPr>
      </w:pPr>
      <w:r>
        <w:rPr>
          <w:color w:val="000000"/>
        </w:rPr>
        <w:t>Malheureusement, cet environnement est en pleine mutation. Les causes principales de cette mutation sont entre autres la pression démographique, les pratiques culturales inappropriées et les feux de brousse.</w:t>
      </w:r>
    </w:p>
    <w:bookmarkStart w:id="123" w:name="_Toc2831194"/>
    <w:p>
      <w:pPr>
        <w:pStyle w:val="style2"/>
        <w:numPr>
          <w:ilvl w:val="1"/>
          <w:numId w:val="58"/>
        </w:numPr>
        <w:rPr/>
      </w:pPr>
      <w:r>
        <w:t>Arrangem</w:t>
      </w:r>
      <w:r>
        <w:t xml:space="preserve">ents institutionnels pour la mise en œuvre </w:t>
      </w:r>
      <w:r>
        <w:t>du pro</w:t>
      </w:r>
      <w:r>
        <w:t>gramme</w:t>
      </w:r>
      <w:bookmarkEnd w:id="123"/>
    </w:p>
    <w:bookmarkStart w:id="124" w:name="_Toc2831195"/>
    <w:p>
      <w:pPr>
        <w:pStyle w:val="style3"/>
        <w:numPr>
          <w:ilvl w:val="2"/>
          <w:numId w:val="58"/>
        </w:numPr>
        <w:rPr/>
      </w:pPr>
      <w:r>
        <w:t>Le comité de pilotage</w:t>
      </w:r>
      <w:bookmarkEnd w:id="124"/>
    </w:p>
    <w:p>
      <w:pPr>
        <w:pStyle w:val="style0"/>
        <w:rPr/>
      </w:pPr>
      <w:r>
        <w:t>Le Ministère de l’agriculture et des aménagements hydrauliques (MAAH) assurera la tutelle technique du programme. Il sera chargé de mettre en place le Comité de pilotage (CP) du programme conformément aux dispositions du Décret N°2007-775/PRES/PM/MEF du 22 novembre 2007 et portant règlementation générale des projets ou programmes de développement exécutés au Burkina Faso.</w:t>
      </w:r>
    </w:p>
    <w:p>
      <w:pPr>
        <w:pStyle w:val="style0"/>
        <w:rPr/>
      </w:pPr>
      <w:r>
        <w:t>Ce Comité qui regroupe l’ensemble des parties prenantes est l’organe d’orientation de la mise en œuvre globale du programme. Il examine et approuve les plans de travail annuels et les budgets, e</w:t>
      </w:r>
      <w:r>
        <w:t>t</w:t>
      </w:r>
      <w:r>
        <w:t xml:space="preserve"> s’assur</w:t>
      </w:r>
      <w:r>
        <w:t>e</w:t>
      </w:r>
      <w:r>
        <w:t xml:space="preserve"> de leur cohérence avec les objectifs du programme et les priorités du Gouvernement. Le Ministère de l’économie, des finances et du développement assurera la tutelle financière du programme.</w:t>
      </w:r>
    </w:p>
    <w:p>
      <w:pPr>
        <w:pStyle w:val="style0"/>
        <w:spacing w:before="0" w:after="120" w:lineRule="auto" w:line="276"/>
        <w:contextualSpacing/>
        <w:rPr>
          <w:rFonts w:ascii="Arial Narrow" w:cs="Arial" w:hAnsi="Arial Narrow"/>
          <w:b/>
        </w:rPr>
      </w:pPr>
    </w:p>
    <w:bookmarkStart w:id="125" w:name="_Toc2831196"/>
    <w:p>
      <w:pPr>
        <w:pStyle w:val="style3"/>
        <w:numPr>
          <w:ilvl w:val="2"/>
          <w:numId w:val="58"/>
        </w:numPr>
        <w:rPr/>
      </w:pPr>
      <w:r>
        <w:t>C</w:t>
      </w:r>
      <w:r>
        <w:t>oordination</w:t>
      </w:r>
      <w:r>
        <w:t xml:space="preserve"> du programme</w:t>
      </w:r>
      <w:bookmarkEnd w:id="125"/>
    </w:p>
    <w:p>
      <w:pPr>
        <w:pStyle w:val="style0"/>
        <w:rPr/>
      </w:pPr>
      <w:r>
        <w:t xml:space="preserve">Une </w:t>
      </w:r>
      <w:r>
        <w:rPr>
          <w:b/>
        </w:rPr>
        <w:t>Unité nationale de coordination (UNC)</w:t>
      </w:r>
      <w:r>
        <w:t xml:space="preserve"> sera mise en place pou</w:t>
      </w:r>
      <w:r>
        <w:t>r la mise en œuvre du programme</w:t>
      </w:r>
      <w:r>
        <w:t xml:space="preserve">. Cette unité est chargée d’assurer la gestion globale et la coordination des activités du programme, de suivre la mise en œuvre des orientations et décisions prises par le Comité de Pilotage. </w:t>
      </w:r>
    </w:p>
    <w:p>
      <w:pPr>
        <w:pStyle w:val="style0"/>
        <w:rPr/>
      </w:pPr>
      <w:r>
        <w:rPr>
          <w:bCs/>
        </w:rPr>
        <w:t>Des</w:t>
      </w:r>
      <w:r>
        <w:rPr>
          <w:b/>
          <w:bCs/>
        </w:rPr>
        <w:t xml:space="preserve"> Unités régionales de coordination (URC) : </w:t>
      </w:r>
      <w:r>
        <w:rPr>
          <w:bCs/>
        </w:rPr>
        <w:t xml:space="preserve">déployées </w:t>
      </w:r>
      <w:r>
        <w:t>dans chacune des régions d’intervention du programme, ces unités travailleront en collaboration permanente avec les acteurs régionaux, provinciaux et communaux de leur ressort</w:t>
      </w:r>
      <w:r>
        <w:t xml:space="preserve"> territorial</w:t>
      </w:r>
      <w:r>
        <w:t>.</w:t>
      </w:r>
    </w:p>
    <w:bookmarkStart w:id="126" w:name="_Toc486594533"/>
    <w:bookmarkStart w:id="127" w:name="_Toc486594579"/>
    <w:bookmarkStart w:id="128" w:name="_Toc486595380"/>
    <w:bookmarkStart w:id="129" w:name="_Toc486595482"/>
    <w:bookmarkStart w:id="130" w:name="_Toc486595483"/>
    <w:bookmarkEnd w:id="126"/>
    <w:bookmarkEnd w:id="127"/>
    <w:bookmarkEnd w:id="128"/>
    <w:bookmarkEnd w:id="129"/>
    <w:p>
      <w:pPr>
        <w:pStyle w:val="style5"/>
        <w:numPr>
          <w:ilvl w:val="2"/>
          <w:numId w:val="58"/>
        </w:numPr>
        <w:rPr/>
      </w:pPr>
      <w:r>
        <w:t>Suivi-évaluation</w:t>
      </w:r>
      <w:bookmarkEnd w:id="130"/>
    </w:p>
    <w:p>
      <w:pPr>
        <w:pStyle w:val="style0"/>
        <w:rPr/>
      </w:pPr>
      <w:r>
        <w:t>Un dispositif de suivi-évaluation sera mis en place et le programme fera l’objet d’un suivi tant au niveau interne qu’au niveau externe.</w:t>
      </w:r>
    </w:p>
    <w:p>
      <w:pPr>
        <w:pStyle w:val="style0"/>
        <w:rPr/>
      </w:pPr>
      <w:r>
        <w:t>Au niveau interne et en adéquation avec l’organisation du programm</w:t>
      </w:r>
      <w:r>
        <w:t>e, le suivi sera réalisé par un</w:t>
      </w:r>
      <w:r>
        <w:t xml:space="preserve"> responsable du suivi évaluation à partir des outils élaborés à cet effet. Celui-ci est tenu de produire des rapports d’activités périodiques (rapports mensuels, trimestriels et annuels). </w:t>
      </w:r>
    </w:p>
    <w:p>
      <w:pPr>
        <w:pStyle w:val="style0"/>
        <w:rPr/>
      </w:pPr>
      <w:r>
        <w:t xml:space="preserve">Au niveau externe, le suivi est assuré par les Directions générales des études et statistiques sectorielles (DGESS) des Ministères concernés, la Direction générale des études et de la planification (DGEP) et la Direction générale de la coopération (DGCoop) et portera notamment sur l’exécution physique et financière du programme, l’atteinte de ses objectifs, ses effets sur les populations cibles et sa contribution à l’objectif global. A cet effet, des missions conjointes de supervision, de suivi et de revue à mi-parcours seront organisées. Le suivi externe fera également l’objet de rapports périodiques. </w:t>
      </w:r>
    </w:p>
    <w:p>
      <w:pPr>
        <w:pStyle w:val="style0"/>
        <w:rPr/>
      </w:pPr>
      <w:r>
        <w:t xml:space="preserve">L’évaluation du programme se fera selon les modalités suivantes : </w:t>
      </w:r>
    </w:p>
    <w:p>
      <w:pPr>
        <w:pStyle w:val="style179"/>
        <w:numPr>
          <w:ilvl w:val="0"/>
          <w:numId w:val="57"/>
        </w:numPr>
        <w:rPr/>
      </w:pPr>
      <w:r>
        <w:t>l’évaluation à mi-parcours : cette évaluation fera un bilan à mi-parcours des réalisations physiques, financières, des effets et des impacts du programme. Elle permettra de relever les difficultés rencontrées et de formuler des recommandations visant à améliorer les performances du programme. Elle devra prendre en compte l’appréciation que les bénéficiaires font des services offerts par le programme ;</w:t>
      </w:r>
    </w:p>
    <w:p>
      <w:pPr>
        <w:pStyle w:val="style179"/>
        <w:numPr>
          <w:ilvl w:val="0"/>
          <w:numId w:val="57"/>
        </w:numPr>
        <w:rPr/>
      </w:pPr>
      <w:r>
        <w:t>l’évaluation finale : en fin d’exécution, une évaluation finale est prévue afin de faire le bilan des actions et d’en mesurer la performance globale.</w:t>
      </w:r>
    </w:p>
    <w:p>
      <w:pPr>
        <w:pStyle w:val="style0"/>
        <w:rPr/>
      </w:pPr>
      <w:r>
        <w:t xml:space="preserve">Un manuel de suivi-évaluation sera élaboré en début de mise en œuvre du programme et servira de guide à l’ensemble des activités de suivi et d’évaluation. </w:t>
      </w:r>
    </w:p>
    <w:p>
      <w:pPr>
        <w:pStyle w:val="style0"/>
        <w:rPr>
          <w:sz w:val="22"/>
          <w:szCs w:val="22"/>
        </w:rPr>
      </w:pPr>
    </w:p>
    <w:p>
      <w:pPr>
        <w:pStyle w:val="style1"/>
        <w:numPr>
          <w:ilvl w:val="0"/>
          <w:numId w:val="0"/>
        </w:numPr>
        <w:rPr/>
        <w:sectPr>
          <w:pgSz w:w="11906" w:h="16838" w:orient="portrait"/>
          <w:pgMar w:top="1418" w:right="1418" w:bottom="1418" w:left="1418" w:header="709" w:footer="709" w:gutter="0"/>
          <w:pgNumType w:start="1"/>
          <w:cols w:space="708"/>
          <w:docGrid w:linePitch="360"/>
        </w:sectPr>
      </w:pPr>
    </w:p>
    <w:bookmarkStart w:id="131" w:name="_Toc2831197"/>
    <w:p>
      <w:pPr>
        <w:pStyle w:val="style1"/>
        <w:numPr>
          <w:ilvl w:val="0"/>
          <w:numId w:val="0"/>
        </w:numPr>
        <w:rPr/>
      </w:pPr>
      <w:r>
        <w:t>C. Approches actuelles de la lutte antiparasitaire dans le secteur du pro</w:t>
      </w:r>
      <w:r>
        <w:t xml:space="preserve">GRAMME </w:t>
      </w:r>
      <w:r>
        <w:t>dans le pays</w:t>
      </w:r>
      <w:bookmarkEnd w:id="131"/>
    </w:p>
    <w:bookmarkStart w:id="132" w:name="_Toc2831198"/>
    <w:p>
      <w:pPr>
        <w:pStyle w:val="style2"/>
        <w:numPr>
          <w:ilvl w:val="1"/>
          <w:numId w:val="60"/>
        </w:numPr>
        <w:rPr>
          <w:caps/>
        </w:rPr>
      </w:pPr>
      <w:r>
        <w:t>Aperçu des cultures cibles et des problèmes de ravageurs associés</w:t>
      </w:r>
      <w:bookmarkEnd w:id="132"/>
      <w:r>
        <w:t xml:space="preserve"> </w:t>
      </w:r>
    </w:p>
    <w:p>
      <w:pPr>
        <w:pStyle w:val="style0"/>
        <w:rPr/>
      </w:pPr>
      <w:r>
        <w:t xml:space="preserve">Le programme couvrira quatre régions </w:t>
      </w:r>
      <w:r>
        <w:t>ayant de</w:t>
      </w:r>
      <w:r>
        <w:t xml:space="preserve"> fortes potentialités en terres aménageables et des retenues d’eau avec pour principales filières ciblées le riz, le maïs, la tomate, l’oignon, et l’arboriculture fruitière. En plus de ces filières, les cultures de diversification agricole notamment le niébé, l’anacarde et le sésame bénéficieront des services et facilités d’accès au marché, de transformation et de commercialisation des produits agricoles mis en place par le Programme. </w:t>
      </w:r>
      <w:r>
        <w:rPr>
          <w:bCs/>
        </w:rPr>
        <w:t xml:space="preserve">A cet effet, l’identification des ravageurs et des maladies tient compte des principales spéculations </w:t>
      </w:r>
      <w:r>
        <w:rPr>
          <w:bCs/>
        </w:rPr>
        <w:t>cibles</w:t>
      </w:r>
      <w:r>
        <w:rPr>
          <w:bCs/>
        </w:rPr>
        <w:t xml:space="preserve"> et se base sur des études antérieures. Cette identification des déprédateurs et des maladies a été réalisée grâce à plusieurs études antérieures menées au Burkina Faso : </w:t>
      </w:r>
      <w:r>
        <w:t xml:space="preserve">MARA-MESSRS ; Projet canado-burkinabè de Protection des Végétaux-agriculture Canada ACDI 960 / 10325, 1995 ; : DR-INSD/SHL, Annuaire statistique 2011 ; DRRA/SHL MAHRH-Région du Centre-Est, DRAHRH, DPAHRH du Boulgou, 2006-2007, 2007-2008, 2008-2009, 2009-2010 ; MAHRH/SG/PAFASP, 2006 ; MAHRH/SG/PAPSA, 2009 ; INSAH-CSP, vol.1 à 6, 2010). Les déprédateurs sont présentés dans des rapports antérieurs de PGP (BagréPôle, PAFASP, PAPSA, AMVS, PARIIS, PTAAO etc…). </w:t>
      </w:r>
    </w:p>
    <w:p>
      <w:pPr>
        <w:pStyle w:val="style0"/>
        <w:rPr/>
      </w:pPr>
      <w:r>
        <w:t>Les principales espèces d’insectes ravageurs et de maladies pathogènes rencontrées au Burkina Faso sont données selon les cultures ciblées.</w:t>
      </w:r>
    </w:p>
    <w:p>
      <w:pPr>
        <w:pStyle w:val="style0"/>
        <w:spacing w:lineRule="auto" w:line="276"/>
        <w:rPr>
          <w:sz w:val="23"/>
          <w:szCs w:val="23"/>
        </w:rPr>
      </w:pPr>
    </w:p>
    <w:p>
      <w:pPr>
        <w:pStyle w:val="style0"/>
        <w:spacing w:lineRule="auto" w:line="276"/>
        <w:rPr>
          <w:sz w:val="23"/>
          <w:szCs w:val="23"/>
        </w:rPr>
        <w:sectPr>
          <w:pgSz w:w="11906" w:h="16838" w:orient="portrait"/>
          <w:pgMar w:top="1418" w:right="1418" w:bottom="1418" w:left="1418" w:header="709" w:footer="709" w:gutter="0"/>
          <w:cols w:space="708"/>
          <w:docGrid w:linePitch="360"/>
        </w:sectPr>
      </w:pPr>
    </w:p>
    <w:bookmarkStart w:id="133" w:name="_Toc260210"/>
    <w:p>
      <w:pPr>
        <w:pStyle w:val="style34"/>
        <w:rPr>
          <w:sz w:val="23"/>
          <w:szCs w:val="23"/>
        </w:rPr>
      </w:pPr>
      <w:r>
        <w:rPr>
          <w:sz w:val="20"/>
          <w:szCs w:val="20"/>
        </w:rPr>
        <w:t xml:space="preserve">Tableau </w:t>
      </w:r>
      <w:r>
        <w:rPr>
          <w:sz w:val="20"/>
          <w:szCs w:val="20"/>
        </w:rPr>
        <w:fldChar w:fldCharType="begin"/>
      </w:r>
      <w:r>
        <w:rPr>
          <w:sz w:val="20"/>
          <w:szCs w:val="20"/>
        </w:rPr>
        <w:instrText xml:space="preserve"> </w:instrText>
      </w:r>
      <w:r>
        <w:rPr>
          <w:sz w:val="20"/>
          <w:szCs w:val="20"/>
        </w:rPr>
        <w:instrText>SEQ</w:instrText>
      </w:r>
      <w:r>
        <w:rPr>
          <w:sz w:val="20"/>
          <w:szCs w:val="20"/>
        </w:rPr>
        <w:instrText xml:space="preserve"> Tableau \* ARABIC </w:instrText>
      </w:r>
      <w:r>
        <w:rPr>
          <w:sz w:val="20"/>
          <w:szCs w:val="20"/>
        </w:rPr>
        <w:fldChar w:fldCharType="separate"/>
      </w:r>
      <w:r>
        <w:rPr>
          <w:noProof/>
          <w:sz w:val="20"/>
          <w:szCs w:val="20"/>
        </w:rPr>
        <w:t>3</w:t>
      </w:r>
      <w:r>
        <w:rPr>
          <w:sz w:val="20"/>
          <w:szCs w:val="20"/>
        </w:rPr>
        <w:fldChar w:fldCharType="end"/>
      </w:r>
      <w:r>
        <w:rPr>
          <w:rFonts w:eastAsia="Calibri"/>
          <w:i/>
          <w:iCs/>
          <w:color w:val="1f497d"/>
          <w:sz w:val="20"/>
          <w:szCs w:val="20"/>
        </w:rPr>
        <w:t xml:space="preserve"> : </w:t>
      </w:r>
      <w:r>
        <w:rPr>
          <w:rFonts w:eastAsia="Calibri"/>
          <w:i/>
          <w:iCs/>
          <w:color w:val="1f497d"/>
          <w:sz w:val="20"/>
          <w:szCs w:val="20"/>
        </w:rPr>
        <w:t>Déprédateurs et agents pathogènes de la tomate</w:t>
      </w:r>
      <w:bookmarkEnd w:id="133"/>
      <w:r>
        <w:rPr>
          <w:rFonts w:eastAsia="Calibri"/>
          <w:i/>
          <w:iCs/>
          <w:color w:val="1f497d"/>
          <w:sz w:val="20"/>
          <w:szCs w:val="20"/>
        </w:rPr>
        <w:t xml:space="preserve"> </w:t>
      </w:r>
    </w:p>
    <w:p>
      <w:pPr>
        <w:pStyle w:val="style34"/>
        <w:rPr>
          <w:rFonts w:eastAsia="Calibri"/>
          <w:i/>
          <w:iCs/>
          <w:color w:val="1f497d"/>
          <w:sz w:val="20"/>
          <w:szCs w:val="20"/>
        </w:rPr>
      </w:pPr>
      <w:r>
        <w:rPr>
          <w:noProof/>
          <w:lang w:eastAsia="fr-FR"/>
        </w:rPr>
        <mc:AlternateContent>
          <mc:Choice Requires="wps">
            <w:drawing>
              <wp:anchor distT="0" distB="0" distL="114300" distR="114300" simplePos="false" relativeHeight="7" behindDoc="false" locked="false" layoutInCell="true" allowOverlap="true">
                <wp:simplePos x="0" y="0"/>
                <wp:positionH relativeFrom="column">
                  <wp:posOffset>8161655</wp:posOffset>
                </wp:positionH>
                <wp:positionV relativeFrom="paragraph">
                  <wp:posOffset>2856230</wp:posOffset>
                </wp:positionV>
                <wp:extent cx="1684655" cy="346075"/>
                <wp:effectExtent l="0" t="0" r="0" b="9525"/>
                <wp:wrapSquare wrapText="bothSides"/>
                <wp:docPr id="1028" name="Zone de texte 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84655" cy="346075"/>
                        </a:xfrm>
                        <a:prstGeom prst="rect"/>
                        <a:ln>
                          <a:noFill/>
                        </a:ln>
                      </wps:spPr>
                      <wps:txbx id="1028">
                        <w:txbxContent>
                          <w:p>
                            <w:pPr>
                              <w:pStyle w:val="style0"/>
                              <w:rPr/>
                            </w:pPr>
                            <w:r>
                              <w:rPr>
                                <w:i/>
                              </w:rPr>
                              <w:t>Helicoverpa armigera</w:t>
                            </w: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28" filled="f" stroked="f" style="position:absolute;margin-left:642.65pt;margin-top:224.9pt;width:132.65pt;height:27.25pt;z-index:7;mso-position-horizontal-relative:text;mso-position-vertical-relative:text;mso-width-percent:0;mso-height-percent:0;mso-width-relative:margin;mso-height-relative:margin;visibility:visible;">
                <v:stroke on="f"/>
                <w10:wrap type="square"/>
                <v:fill/>
                <v:textbox inset="7.2pt,3.6pt,7.2pt,3.6pt">
                  <w:txbxContent>
                    <w:p>
                      <w:pPr>
                        <w:pStyle w:val="style0"/>
                        <w:rPr/>
                      </w:pPr>
                      <w:r>
                        <w:rPr>
                          <w:i/>
                        </w:rPr>
                        <w:t>Helicoverpa armigera</w:t>
                      </w:r>
                    </w:p>
                  </w:txbxContent>
                </v:textbox>
              </v:rect>
            </w:pict>
          </mc:Fallback>
        </mc:AlternateContent>
      </w:r>
      <w:r>
        <w:rPr>
          <w:noProof/>
          <w:lang w:eastAsia="fr-FR"/>
        </w:rPr>
        <mc:AlternateContent>
          <mc:Choice Requires="wps">
            <w:drawing>
              <wp:anchor distT="0" distB="0" distL="114300" distR="114300" simplePos="false" relativeHeight="6" behindDoc="false" locked="false" layoutInCell="true" allowOverlap="true">
                <wp:simplePos x="0" y="0"/>
                <wp:positionH relativeFrom="column">
                  <wp:posOffset>8016240</wp:posOffset>
                </wp:positionH>
                <wp:positionV relativeFrom="paragraph">
                  <wp:posOffset>1833245</wp:posOffset>
                </wp:positionV>
                <wp:extent cx="1447800" cy="911860"/>
                <wp:effectExtent l="0" t="0" r="0" b="2540"/>
                <wp:wrapSquare wrapText="bothSides"/>
                <wp:docPr id="1029" name="Zone de texte 2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47800" cy="911860"/>
                        </a:xfrm>
                        <a:prstGeom prst="rect"/>
                        <a:ln>
                          <a:noFill/>
                        </a:ln>
                      </wps:spPr>
                      <wps:txbx id="1029">
                        <w:txbxContent>
                          <w:p>
                            <w:pPr>
                              <w:pStyle w:val="style0"/>
                              <w:rPr/>
                            </w:pPr>
                            <w:r>
                              <w:rPr>
                                <w:noProof/>
                                <w:lang w:eastAsia="fr-FR"/>
                              </w:rPr>
                              <w:drawing>
                                <wp:inline distT="0" distR="0" distL="0" distB="0">
                                  <wp:extent cx="1270000" cy="825500"/>
                                  <wp:effectExtent l="0" t="0" r="0" b="12700"/>
                                  <wp:docPr id="204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srcRect l="0" t="0" r="0" b="0"/>
                                          <a:stretch/>
                                        </pic:blipFill>
                                        <pic:spPr>
                                          <a:xfrm rot="0">
                                            <a:off x="0" y="0"/>
                                            <a:ext cx="1270000" cy="825500"/>
                                          </a:xfrm>
                                          <a:prstGeom prst="rect"/>
                                          <a:ln>
                                            <a:noFill/>
                                          </a:ln>
                                        </pic:spPr>
                                      </pic:pic>
                                    </a:graphicData>
                                  </a:graphic>
                                </wp:inline>
                              </w:drawing>
                            </w:r>
                          </w:p>
                        </w:txbxContent>
                      </wps:txbx>
                      <wps:bodyPr lIns="91440" rIns="91440" tIns="45720" bIns="45720" vert="horz" anchor="t" wrap="square">
                        <a:prstTxWarp prst="textNoShape"/>
                        <a:noAutofit/>
                      </wps:bodyPr>
                    </wps:wsp>
                  </a:graphicData>
                </a:graphic>
                <wp14:sizeRelH relativeFrom="page">
                  <wp14:pctWidth>0</wp14:pctWidth>
                </wp14:sizeRelH>
                <wp14:sizeRelV relativeFrom="margin">
                  <wp14:pctHeight>0</wp14:pctHeight>
                </wp14:sizeRelV>
              </wp:anchor>
            </w:drawing>
          </mc:Choice>
          <mc:Fallback>
            <w:pict>
              <v:rect id="1029" filled="f" stroked="f" style="position:absolute;margin-left:631.2pt;margin-top:144.35pt;width:114.0pt;height:71.8pt;z-index:6;mso-position-horizontal-relative:text;mso-position-vertical-relative:text;mso-width-percent:0;mso-height-percent:0;mso-width-relative:page;mso-height-relative:margin;visibility:visible;">
                <v:stroke on="f"/>
                <w10:wrap type="square"/>
                <v:fill/>
                <v:textbox inset="7.2pt,3.6pt,7.2pt,3.6pt">
                  <w:txbxContent>
                    <w:p>
                      <w:pPr>
                        <w:pStyle w:val="style0"/>
                        <w:rPr/>
                      </w:pPr>
                      <w:r>
                        <w:rPr>
                          <w:noProof/>
                          <w:lang w:eastAsia="fr-FR"/>
                        </w:rPr>
                        <w:drawing>
                          <wp:inline distT="0" distR="0" distL="0" distB="0">
                            <wp:extent cx="1270000" cy="825500"/>
                            <wp:effectExtent l="0" t="0" r="0" b="12700"/>
                            <wp:docPr id="204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srcRect l="0" t="0" r="0" b="0"/>
                                    <a:stretch/>
                                  </pic:blipFill>
                                  <pic:spPr>
                                    <a:xfrm rot="0">
                                      <a:off x="0" y="0"/>
                                      <a:ext cx="1270000" cy="825500"/>
                                    </a:xfrm>
                                    <a:prstGeom prst="rect"/>
                                    <a:ln>
                                      <a:noFill/>
                                    </a:ln>
                                  </pic:spPr>
                                </pic:pic>
                              </a:graphicData>
                            </a:graphic>
                          </wp:inline>
                        </w:drawing>
                      </w:r>
                    </w:p>
                  </w:txbxContent>
                </v:textbox>
              </v:rect>
            </w:pict>
          </mc:Fallback>
        </mc:AlternateContent>
      </w:r>
      <w:r>
        <w:rPr>
          <w:noProof/>
          <w:lang w:eastAsia="fr-FR"/>
        </w:rPr>
        <mc:AlternateContent>
          <mc:Choice Requires="wps">
            <w:drawing>
              <wp:anchor distT="0" distB="0" distL="114300" distR="114300" simplePos="false" relativeHeight="5" behindDoc="false" locked="false" layoutInCell="true" allowOverlap="true">
                <wp:simplePos x="0" y="0"/>
                <wp:positionH relativeFrom="column">
                  <wp:posOffset>8023859</wp:posOffset>
                </wp:positionH>
                <wp:positionV relativeFrom="paragraph">
                  <wp:posOffset>1554480</wp:posOffset>
                </wp:positionV>
                <wp:extent cx="1447800" cy="228599"/>
                <wp:effectExtent l="0" t="0" r="0" b="0"/>
                <wp:wrapSquare wrapText="bothSides"/>
                <wp:docPr id="1030" name="Zone de texte 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47800" cy="228599"/>
                        </a:xfrm>
                        <a:prstGeom prst="rect"/>
                        <a:ln>
                          <a:noFill/>
                        </a:ln>
                      </wps:spPr>
                      <wps:txbx id="1030">
                        <w:txbxContent>
                          <w:p>
                            <w:pPr>
                              <w:pStyle w:val="style0"/>
                              <w:rPr/>
                            </w:pPr>
                            <w:r>
                              <w:rPr>
                                <w:i/>
                              </w:rPr>
                              <w:t>Bemisia tabaci</w:t>
                            </w:r>
                          </w:p>
                        </w:txbxContent>
                      </wps:txbx>
                      <wps:bodyPr lIns="0" rIns="0" tIns="0" bIns="0" vert="horz" anchor="t" wrap="square">
                        <a:prstTxWarp prst="textNoShape"/>
                        <a:noAutofit/>
                      </wps:bodyPr>
                    </wps:wsp>
                  </a:graphicData>
                </a:graphic>
                <wp14:sizeRelH relativeFrom="page">
                  <wp14:pctWidth>0</wp14:pctWidth>
                </wp14:sizeRelH>
                <wp14:sizeRelV relativeFrom="page">
                  <wp14:pctHeight>0</wp14:pctHeight>
                </wp14:sizeRelV>
              </wp:anchor>
            </w:drawing>
          </mc:Choice>
          <mc:Fallback>
            <w:pict>
              <v:rect id="1030" filled="f" stroked="f" style="position:absolute;margin-left:631.8pt;margin-top:122.4pt;width:114.0pt;height:18.0pt;z-index:5;mso-position-horizontal-relative:text;mso-position-vertical-relative:text;mso-width-percent:0;mso-height-percent:0;mso-width-relative:page;mso-height-relative:page;visibility:visible;">
                <v:stroke on="f"/>
                <w10:wrap type="square"/>
                <v:fill/>
                <v:textbox inset="0.0pt,0.0pt,0.0pt,0.0pt">
                  <w:txbxContent>
                    <w:p>
                      <w:pPr>
                        <w:pStyle w:val="style0"/>
                        <w:rPr/>
                      </w:pPr>
                      <w:r>
                        <w:rPr>
                          <w:i/>
                        </w:rPr>
                        <w:t>Bemisia tabaci</w:t>
                      </w:r>
                    </w:p>
                  </w:txbxContent>
                </v:textbox>
              </v:rect>
            </w:pict>
          </mc:Fallback>
        </mc:AlternateContent>
      </w:r>
      <w:r>
        <w:rPr>
          <w:noProof/>
          <w:lang w:eastAsia="fr-FR"/>
        </w:rPr>
        <w:drawing>
          <wp:anchor distT="0" distB="0" distL="0" distR="0" simplePos="false" relativeHeight="3" behindDoc="false" locked="false" layoutInCell="true" allowOverlap="true">
            <wp:simplePos x="0" y="0"/>
            <wp:positionH relativeFrom="column">
              <wp:posOffset>7940675</wp:posOffset>
            </wp:positionH>
            <wp:positionV relativeFrom="paragraph">
              <wp:posOffset>233045</wp:posOffset>
            </wp:positionV>
            <wp:extent cx="1578609" cy="1155065"/>
            <wp:effectExtent l="0" t="0" r="0" b="0"/>
            <wp:wrapNone/>
            <wp:docPr id="1031"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srcRect l="0" t="0" r="0" b="0"/>
                    <a:stretch/>
                  </pic:blipFill>
                  <pic:spPr>
                    <a:xfrm rot="0">
                      <a:off x="0" y="0"/>
                      <a:ext cx="1578609" cy="1155065"/>
                    </a:xfrm>
                    <a:prstGeom prst="rect"/>
                    <a:ln>
                      <a:noFill/>
                    </a:ln>
                  </pic:spPr>
                </pic:pic>
              </a:graphicData>
            </a:graphic>
            <wp14:sizeRelH relativeFrom="page">
              <wp14:pctWidth>0</wp14:pctWidth>
            </wp14:sizeRelH>
            <wp14:sizeRelV relativeFrom="page">
              <wp14:pctHeight>0</wp14:pctHeight>
            </wp14:sizeRelV>
          </wp:anchor>
        </w:drawing>
      </w:r>
    </w:p>
    <w:bookmarkStart w:id="134" w:name="_Toc283269428"/>
    <w:bookmarkStart w:id="135" w:name="_Toc283352217"/>
    <w:bookmarkStart w:id="136" w:name="_Toc283547417"/>
    <w:bookmarkStart w:id="137" w:name="_Toc284184062"/>
    <w:bookmarkStart w:id="138" w:name="_Toc284397441"/>
    <w:bookmarkStart w:id="139" w:name="_Toc284400619"/>
    <w:bookmarkStart w:id="140" w:name="_Toc295903002"/>
    <w:bookmarkStart w:id="141" w:name="_Toc377745888"/>
    <w:bookmarkStart w:id="142" w:name="_Toc380136333"/>
    <w:bookmarkStart w:id="143" w:name="_Toc380136653"/>
    <w:bookmarkStart w:id="144" w:name="_Toc380230483"/>
    <w:bookmarkStart w:id="145" w:name="_Toc381371825"/>
    <w:bookmarkStart w:id="146" w:name="_Toc383563140"/>
    <w:bookmarkStart w:id="147" w:name="_Toc383570651"/>
    <w:bookmarkStart w:id="148" w:name="_Toc383608284"/>
    <w:bookmarkStart w:id="149" w:name="_Toc385280100"/>
    <w:bookmarkStart w:id="150" w:name="_Toc408576094"/>
    <w:bookmarkStart w:id="151" w:name="_Toc408738492"/>
    <w:tbl>
      <w:tblPr>
        <w:tblW w:w="1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3"/>
        <w:gridCol w:w="2825"/>
        <w:gridCol w:w="7240"/>
      </w:tblGrid>
      <w:tr>
        <w:trPr>
          <w:trHeight w:val="360" w:hRule="atLeast"/>
        </w:trPr>
        <w:tc>
          <w:tcPr>
            <w:tcW w:w="5098" w:type="dxa"/>
            <w:gridSpan w:val="2"/>
            <w:tcBorders/>
          </w:tcPr>
          <w:p>
            <w:pPr>
              <w:pStyle w:val="style0"/>
              <w:spacing w:before="0"/>
              <w:jc w:val="center"/>
              <w:rPr>
                <w:rFonts w:eastAsia="SimSun"/>
                <w:b/>
                <w:bCs/>
                <w:color w:val="000000"/>
                <w:sz w:val="23"/>
                <w:szCs w:val="23"/>
              </w:rPr>
            </w:pPr>
            <w:r>
              <w:rPr>
                <w:noProof/>
                <w:lang w:eastAsia="fr-FR"/>
              </w:rPr>
              <w:drawing>
                <wp:anchor distT="0" distB="0" distL="0" distR="0" simplePos="false" relativeHeight="2" behindDoc="false" locked="false" layoutInCell="true" allowOverlap="true">
                  <wp:simplePos x="0" y="0"/>
                  <wp:positionH relativeFrom="column">
                    <wp:posOffset>661035</wp:posOffset>
                  </wp:positionH>
                  <wp:positionV relativeFrom="paragraph">
                    <wp:posOffset>-1855263616</wp:posOffset>
                  </wp:positionV>
                  <wp:extent cx="3214369" cy="2071290"/>
                  <wp:effectExtent l="25400" t="25400" r="36830" b="36830"/>
                  <wp:wrapNone/>
                  <wp:docPr id="1032"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srcRect l="0" t="0" r="0" b="0"/>
                          <a:stretch/>
                        </pic:blipFill>
                        <pic:spPr>
                          <a:xfrm rot="0">
                            <a:off x="0" y="0"/>
                            <a:ext cx="3214369" cy="2071290"/>
                          </a:xfrm>
                          <a:prstGeom prst="rect"/>
                          <a:ln cmpd="sng" cap="sq" w="12700">
                            <a:solidFill>
                              <a:srgbClr val="000000"/>
                            </a:solidFill>
                            <a:prstDash val="solid"/>
                            <a:miter/>
                            <a:headEnd len="med" type="none" w="med"/>
                            <a:tailEnd len="med" type="none" w="med"/>
                          </a:ln>
                        </pic:spPr>
                      </pic:pic>
                    </a:graphicData>
                  </a:graphic>
                  <wp14:sizeRelH relativeFrom="page">
                    <wp14:pctWidth>0</wp14:pctWidth>
                  </wp14:sizeRelH>
                  <wp14:sizeRelV relativeFrom="page">
                    <wp14:pctHeight>0</wp14:pctHeight>
                  </wp14:sizeRelV>
                </wp:anchor>
              </w:drawing>
            </w:r>
            <w:r>
              <w:rPr>
                <w:rFonts w:eastAsia="SimSun"/>
                <w:b/>
                <w:sz w:val="23"/>
                <w:szCs w:val="23"/>
              </w:rPr>
              <w:t>Déprédateurs</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Pr>
                <w:rFonts w:eastAsia="SimSun"/>
                <w:b/>
                <w:sz w:val="23"/>
                <w:szCs w:val="23"/>
              </w:rPr>
              <w:t xml:space="preserve"> et agents pathogènes</w:t>
            </w:r>
          </w:p>
          <w:bookmarkStart w:id="152" w:name="_Toc283269429"/>
          <w:bookmarkStart w:id="153" w:name="_Toc283352218"/>
          <w:bookmarkStart w:id="154" w:name="_Toc283547418"/>
          <w:bookmarkStart w:id="155" w:name="_Toc284184063"/>
          <w:bookmarkStart w:id="156" w:name="_Toc284397442"/>
          <w:bookmarkStart w:id="157" w:name="_Toc284400620"/>
          <w:bookmarkStart w:id="158" w:name="_Toc295903003"/>
          <w:bookmarkStart w:id="159" w:name="_Toc377745889"/>
          <w:bookmarkStart w:id="160" w:name="_Toc380136334"/>
          <w:bookmarkStart w:id="161" w:name="_Toc380136654"/>
          <w:bookmarkStart w:id="162" w:name="_Toc380230484"/>
          <w:bookmarkStart w:id="163" w:name="_Toc381371826"/>
          <w:bookmarkStart w:id="164" w:name="_Toc383563141"/>
          <w:bookmarkStart w:id="165" w:name="_Toc383570652"/>
          <w:bookmarkStart w:id="166" w:name="_Toc383608285"/>
          <w:bookmarkStart w:id="167" w:name="_Toc385280101"/>
          <w:bookmarkStart w:id="168" w:name="_Toc408576095"/>
          <w:bookmarkStart w:id="169" w:name="_Toc408738493"/>
        </w:tc>
        <w:tc>
          <w:tcPr>
            <w:tcW w:w="7240" w:type="dxa"/>
            <w:tcBorders/>
          </w:tcPr>
          <w:p>
            <w:pPr>
              <w:pStyle w:val="style0"/>
              <w:spacing w:before="0"/>
              <w:jc w:val="center"/>
              <w:rPr>
                <w:rFonts w:eastAsia="SimSun"/>
                <w:b/>
                <w:sz w:val="23"/>
                <w:szCs w:val="23"/>
              </w:rPr>
            </w:pPr>
            <w:r>
              <w:rPr>
                <w:rFonts w:eastAsia="SimSun"/>
                <w:b/>
                <w:sz w:val="23"/>
                <w:szCs w:val="23"/>
              </w:rPr>
              <w:t>Genres / Espèces</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tc>
      </w:tr>
      <w:tr>
        <w:tblPrEx/>
        <w:trPr>
          <w:trHeight w:val="340" w:hRule="atLeast"/>
        </w:trPr>
        <w:tc>
          <w:tcPr>
            <w:tcW w:w="2273" w:type="dxa"/>
            <w:vMerge w:val="restart"/>
            <w:tcBorders/>
          </w:tcPr>
          <w:p>
            <w:pPr>
              <w:pStyle w:val="style0"/>
              <w:spacing w:before="0"/>
              <w:rPr>
                <w:rFonts w:eastAsia="SimSun"/>
                <w:sz w:val="23"/>
                <w:szCs w:val="23"/>
                <w:lang w:eastAsia="zh-CN"/>
              </w:rPr>
            </w:pPr>
            <w:r>
              <w:rPr>
                <w:rFonts w:eastAsia="SimSun"/>
                <w:sz w:val="23"/>
                <w:szCs w:val="23"/>
                <w:lang w:eastAsia="zh-CN"/>
              </w:rPr>
              <w:t>Les insectes ravageurs</w:t>
            </w:r>
          </w:p>
        </w:tc>
        <w:tc>
          <w:tcPr>
            <w:tcW w:w="2825" w:type="dxa"/>
            <w:tcBorders/>
          </w:tcPr>
          <w:p>
            <w:pPr>
              <w:pStyle w:val="style0"/>
              <w:spacing w:before="0"/>
              <w:rPr>
                <w:rFonts w:eastAsia="SimSun"/>
                <w:color w:val="000000"/>
                <w:sz w:val="23"/>
                <w:szCs w:val="23"/>
                <w:lang w:eastAsia="zh-CN"/>
              </w:rPr>
            </w:pPr>
            <w:r>
              <w:rPr>
                <w:rFonts w:eastAsia="SimSun"/>
                <w:color w:val="000000"/>
                <w:sz w:val="23"/>
                <w:szCs w:val="23"/>
                <w:lang w:eastAsia="zh-CN"/>
              </w:rPr>
              <w:t>Lépidoptères</w:t>
            </w:r>
          </w:p>
        </w:tc>
        <w:tc>
          <w:tcPr>
            <w:tcW w:w="7240" w:type="dxa"/>
            <w:tcBorders/>
          </w:tcPr>
          <w:p>
            <w:pPr>
              <w:pStyle w:val="style0"/>
              <w:spacing w:before="0"/>
              <w:rPr>
                <w:rFonts w:eastAsia="SimSun"/>
                <w:color w:val="000000"/>
                <w:sz w:val="23"/>
                <w:szCs w:val="23"/>
                <w:lang w:eastAsia="zh-CN"/>
              </w:rPr>
            </w:pPr>
            <w:r>
              <w:rPr>
                <w:rFonts w:eastAsia="SimSun"/>
                <w:i/>
                <w:color w:val="000000"/>
                <w:sz w:val="23"/>
                <w:szCs w:val="23"/>
                <w:lang w:eastAsia="zh-CN"/>
              </w:rPr>
              <w:t>Helicoverpa armigera</w:t>
            </w:r>
            <w:r>
              <w:rPr>
                <w:rFonts w:eastAsia="SimSun"/>
                <w:color w:val="000000"/>
                <w:sz w:val="23"/>
                <w:szCs w:val="23"/>
                <w:lang w:eastAsia="zh-CN"/>
              </w:rPr>
              <w:t> </w:t>
            </w:r>
            <w:r>
              <w:rPr>
                <w:sz w:val="23"/>
                <w:szCs w:val="23"/>
              </w:rPr>
              <w:t>(Hbn)</w:t>
            </w:r>
            <w:r>
              <w:rPr>
                <w:rFonts w:eastAsia="SimSun"/>
                <w:bCs/>
                <w:i/>
                <w:iCs/>
                <w:color w:val="000000"/>
                <w:sz w:val="23"/>
                <w:szCs w:val="23"/>
                <w:lang w:eastAsia="zh-CN"/>
              </w:rPr>
              <w:t>,</w:t>
            </w:r>
            <w:r>
              <w:rPr>
                <w:rFonts w:eastAsia="SimSun"/>
                <w:color w:val="000000"/>
                <w:sz w:val="23"/>
                <w:szCs w:val="23"/>
                <w:lang w:eastAsia="zh-CN"/>
              </w:rPr>
              <w:t>;</w:t>
            </w:r>
            <w:r>
              <w:rPr>
                <w:rFonts w:eastAsia="SimSun"/>
                <w:i/>
                <w:iCs/>
                <w:color w:val="000000"/>
                <w:sz w:val="23"/>
                <w:szCs w:val="23"/>
                <w:lang w:eastAsia="zh-CN"/>
              </w:rPr>
              <w:t xml:space="preserve"> Spodoptera littoralis (Boisd) ; Spodoptera exigua (Hb.) Trichoplusia ni </w:t>
            </w:r>
            <w:r>
              <w:rPr>
                <w:sz w:val="23"/>
                <w:szCs w:val="23"/>
              </w:rPr>
              <w:t xml:space="preserve">(Hb) </w:t>
            </w:r>
            <w:r>
              <w:rPr>
                <w:rFonts w:eastAsia="SimSun"/>
                <w:bCs/>
                <w:i/>
                <w:iCs/>
                <w:color w:val="000000"/>
                <w:sz w:val="23"/>
                <w:szCs w:val="23"/>
                <w:lang w:eastAsia="zh-CN"/>
              </w:rPr>
              <w:t>;</w:t>
            </w:r>
            <w:r>
              <w:rPr>
                <w:rFonts w:eastAsia="SimSun"/>
                <w:i/>
                <w:iCs/>
                <w:color w:val="000000"/>
                <w:sz w:val="23"/>
                <w:szCs w:val="23"/>
                <w:lang w:eastAsia="zh-CN"/>
              </w:rPr>
              <w:t xml:space="preserve"> </w:t>
            </w:r>
            <w:r>
              <w:rPr>
                <w:rFonts w:eastAsia="SimSun"/>
                <w:bCs/>
                <w:i/>
                <w:iCs/>
                <w:color w:val="000000"/>
                <w:sz w:val="23"/>
                <w:szCs w:val="23"/>
                <w:lang w:eastAsia="zh-CN"/>
              </w:rPr>
              <w:t>Agrotis ipsilon (Hb)</w:t>
            </w:r>
          </w:p>
        </w:tc>
      </w:tr>
      <w:tr>
        <w:tblPrEx/>
        <w:trPr>
          <w:trHeight w:val="340" w:hRule="atLeast"/>
        </w:trPr>
        <w:tc>
          <w:tcPr>
            <w:tcW w:w="2273" w:type="dxa"/>
            <w:vMerge w:val="continue"/>
            <w:tcBorders/>
          </w:tcPr>
          <w:p>
            <w:pPr>
              <w:pStyle w:val="style0"/>
              <w:spacing w:before="0"/>
              <w:rPr>
                <w:rFonts w:eastAsia="SimSun"/>
                <w:sz w:val="23"/>
                <w:szCs w:val="23"/>
                <w:lang w:eastAsia="zh-CN"/>
              </w:rPr>
            </w:pPr>
          </w:p>
        </w:tc>
        <w:tc>
          <w:tcPr>
            <w:tcW w:w="2825" w:type="dxa"/>
            <w:tcBorders/>
          </w:tcPr>
          <w:p>
            <w:pPr>
              <w:pStyle w:val="style0"/>
              <w:spacing w:before="0"/>
              <w:rPr>
                <w:rFonts w:eastAsia="SimSun"/>
                <w:color w:val="000000"/>
                <w:sz w:val="23"/>
                <w:szCs w:val="23"/>
                <w:lang w:eastAsia="zh-CN"/>
              </w:rPr>
            </w:pPr>
            <w:r>
              <w:rPr>
                <w:rFonts w:eastAsia="SimSun"/>
                <w:color w:val="000000"/>
                <w:sz w:val="23"/>
                <w:szCs w:val="23"/>
                <w:lang w:eastAsia="zh-CN"/>
              </w:rPr>
              <w:t>Homoptères</w:t>
            </w:r>
          </w:p>
        </w:tc>
        <w:tc>
          <w:tcPr>
            <w:tcW w:w="7240" w:type="dxa"/>
            <w:tcBorders/>
          </w:tcPr>
          <w:p>
            <w:pPr>
              <w:pStyle w:val="style0"/>
              <w:spacing w:before="0"/>
              <w:rPr>
                <w:rFonts w:eastAsia="SimSun"/>
                <w:iCs/>
                <w:sz w:val="23"/>
                <w:szCs w:val="23"/>
                <w:lang w:eastAsia="zh-CN"/>
              </w:rPr>
            </w:pPr>
            <w:r>
              <w:rPr>
                <w:rFonts w:eastAsia="SimSun"/>
                <w:i/>
                <w:iCs/>
                <w:sz w:val="23"/>
                <w:szCs w:val="23"/>
                <w:lang w:eastAsia="zh-CN"/>
              </w:rPr>
              <w:t xml:space="preserve">Bemisai tabaci </w:t>
            </w:r>
            <w:r>
              <w:rPr>
                <w:rFonts w:eastAsia="SimSun"/>
                <w:iCs/>
                <w:sz w:val="23"/>
                <w:szCs w:val="23"/>
                <w:lang w:eastAsia="zh-CN"/>
              </w:rPr>
              <w:t xml:space="preserve">(mouche blanche) ; </w:t>
            </w:r>
            <w:r>
              <w:rPr>
                <w:rFonts w:eastAsia="SimSun"/>
                <w:i/>
                <w:sz w:val="23"/>
                <w:szCs w:val="23"/>
                <w:lang w:eastAsia="zh-CN"/>
              </w:rPr>
              <w:t>Myzus persicae</w:t>
            </w:r>
            <w:r>
              <w:rPr>
                <w:rFonts w:eastAsia="SimSun"/>
                <w:sz w:val="23"/>
                <w:szCs w:val="23"/>
                <w:lang w:eastAsia="zh-CN"/>
              </w:rPr>
              <w:t xml:space="preserve"> (Puceron vert) ; </w:t>
            </w:r>
            <w:r>
              <w:rPr>
                <w:bCs/>
                <w:i/>
                <w:iCs/>
                <w:color w:val="000000"/>
                <w:kern w:val="24"/>
                <w:sz w:val="23"/>
                <w:szCs w:val="23"/>
              </w:rPr>
              <w:t>Empoasca sp (Jassides)</w:t>
            </w:r>
          </w:p>
        </w:tc>
      </w:tr>
      <w:tr>
        <w:tblPrEx/>
        <w:trPr>
          <w:trHeight w:val="340" w:hRule="atLeast"/>
        </w:trPr>
        <w:tc>
          <w:tcPr>
            <w:tcW w:w="2273" w:type="dxa"/>
            <w:vMerge w:val="continue"/>
            <w:tcBorders/>
          </w:tcPr>
          <w:p>
            <w:pPr>
              <w:pStyle w:val="style0"/>
              <w:spacing w:before="0"/>
              <w:rPr>
                <w:rFonts w:eastAsia="SimSun"/>
                <w:i/>
                <w:iCs/>
                <w:sz w:val="23"/>
                <w:szCs w:val="23"/>
                <w:lang w:eastAsia="zh-CN"/>
              </w:rPr>
            </w:pPr>
          </w:p>
        </w:tc>
        <w:tc>
          <w:tcPr>
            <w:tcW w:w="2825" w:type="dxa"/>
            <w:tcBorders/>
          </w:tcPr>
          <w:p>
            <w:pPr>
              <w:pStyle w:val="style0"/>
              <w:spacing w:before="0"/>
              <w:rPr>
                <w:rFonts w:eastAsia="SimSun"/>
                <w:i/>
                <w:iCs/>
                <w:sz w:val="23"/>
                <w:szCs w:val="23"/>
                <w:lang w:eastAsia="zh-CN"/>
              </w:rPr>
            </w:pPr>
            <w:r>
              <w:rPr>
                <w:rFonts w:eastAsia="SimSun"/>
                <w:i/>
                <w:iCs/>
                <w:sz w:val="23"/>
                <w:szCs w:val="23"/>
                <w:lang w:eastAsia="zh-CN"/>
              </w:rPr>
              <w:t>Diptères</w:t>
            </w:r>
          </w:p>
        </w:tc>
        <w:tc>
          <w:tcPr>
            <w:tcW w:w="7240" w:type="dxa"/>
            <w:tcBorders/>
          </w:tcPr>
          <w:p>
            <w:pPr>
              <w:pStyle w:val="style0"/>
              <w:spacing w:before="0"/>
              <w:rPr>
                <w:rFonts w:eastAsia="SimSun"/>
                <w:sz w:val="23"/>
                <w:szCs w:val="23"/>
                <w:lang w:eastAsia="zh-CN"/>
              </w:rPr>
            </w:pPr>
            <w:r>
              <w:rPr>
                <w:rFonts w:eastAsia="SimSun"/>
                <w:i/>
                <w:iCs/>
                <w:sz w:val="23"/>
                <w:szCs w:val="23"/>
                <w:lang w:eastAsia="zh-CN"/>
              </w:rPr>
              <w:t xml:space="preserve">Liriomiza trifolii </w:t>
            </w:r>
            <w:r>
              <w:rPr>
                <w:rFonts w:eastAsia="SimSun"/>
                <w:iCs/>
                <w:sz w:val="23"/>
                <w:szCs w:val="23"/>
                <w:lang w:eastAsia="zh-CN"/>
              </w:rPr>
              <w:t>(mouche mineuse)</w:t>
            </w:r>
          </w:p>
        </w:tc>
      </w:tr>
      <w:tr>
        <w:tblPrEx/>
        <w:trPr>
          <w:trHeight w:val="340" w:hRule="atLeast"/>
        </w:trPr>
        <w:tc>
          <w:tcPr>
            <w:tcW w:w="2273" w:type="dxa"/>
            <w:tcBorders/>
          </w:tcPr>
          <w:p>
            <w:pPr>
              <w:pStyle w:val="style0"/>
              <w:spacing w:before="0"/>
              <w:rPr>
                <w:rFonts w:eastAsia="SimSun"/>
                <w:bCs/>
                <w:sz w:val="23"/>
                <w:szCs w:val="23"/>
                <w:lang w:eastAsia="zh-CN"/>
              </w:rPr>
            </w:pPr>
            <w:r>
              <w:rPr>
                <w:rFonts w:eastAsia="SimSun"/>
                <w:bCs/>
                <w:sz w:val="23"/>
                <w:szCs w:val="23"/>
                <w:lang w:eastAsia="zh-CN"/>
              </w:rPr>
              <w:t xml:space="preserve">Les acariens </w:t>
            </w:r>
          </w:p>
        </w:tc>
        <w:tc>
          <w:tcPr>
            <w:tcW w:w="2825" w:type="dxa"/>
            <w:tcBorders/>
          </w:tcPr>
          <w:p>
            <w:pPr>
              <w:pStyle w:val="style0"/>
              <w:spacing w:before="0"/>
              <w:rPr>
                <w:rFonts w:eastAsia="SimSun"/>
                <w:bCs/>
                <w:sz w:val="23"/>
                <w:szCs w:val="23"/>
                <w:lang w:eastAsia="zh-CN"/>
              </w:rPr>
            </w:pPr>
            <w:r>
              <w:rPr>
                <w:rFonts w:eastAsia="SimSun"/>
                <w:bCs/>
                <w:sz w:val="23"/>
                <w:szCs w:val="23"/>
                <w:lang w:eastAsia="zh-CN"/>
              </w:rPr>
              <w:t>Acarioses</w:t>
            </w:r>
          </w:p>
        </w:tc>
        <w:tc>
          <w:tcPr>
            <w:tcW w:w="7240" w:type="dxa"/>
            <w:tcBorders/>
          </w:tcPr>
          <w:p>
            <w:pPr>
              <w:pStyle w:val="style0"/>
              <w:spacing w:before="0"/>
              <w:rPr>
                <w:rFonts w:eastAsia="SimSun"/>
                <w:i/>
                <w:sz w:val="23"/>
                <w:szCs w:val="23"/>
                <w:lang w:val="en-US" w:eastAsia="zh-CN"/>
              </w:rPr>
            </w:pPr>
            <w:r>
              <w:rPr>
                <w:rFonts w:eastAsia="SimSun"/>
                <w:i/>
                <w:sz w:val="23"/>
                <w:szCs w:val="23"/>
                <w:lang w:val="en-US" w:eastAsia="zh-CN"/>
              </w:rPr>
              <w:t xml:space="preserve">Aculops lycopersici; </w:t>
            </w:r>
            <w:r>
              <w:rPr>
                <w:rFonts w:eastAsia="SimSun"/>
                <w:bCs/>
                <w:i/>
                <w:iCs/>
                <w:sz w:val="23"/>
                <w:szCs w:val="23"/>
                <w:lang w:val="en-US" w:eastAsia="zh-CN"/>
              </w:rPr>
              <w:t>Polyphagotarsonemus latus</w:t>
            </w:r>
            <w:r>
              <w:rPr>
                <w:rFonts w:eastAsia="SimSun"/>
                <w:bCs/>
                <w:i/>
                <w:sz w:val="23"/>
                <w:szCs w:val="23"/>
                <w:lang w:val="en-US" w:eastAsia="zh-CN"/>
              </w:rPr>
              <w:t xml:space="preserve"> Bank</w:t>
            </w:r>
          </w:p>
        </w:tc>
      </w:tr>
      <w:tr>
        <w:tblPrEx/>
        <w:trPr>
          <w:trHeight w:val="340" w:hRule="atLeast"/>
        </w:trPr>
        <w:tc>
          <w:tcPr>
            <w:tcW w:w="2273" w:type="dxa"/>
            <w:vMerge w:val="restart"/>
            <w:tcBorders/>
          </w:tcPr>
          <w:p>
            <w:pPr>
              <w:pStyle w:val="style0"/>
              <w:spacing w:before="0"/>
              <w:rPr>
                <w:sz w:val="23"/>
                <w:szCs w:val="23"/>
              </w:rPr>
            </w:pPr>
            <w:r>
              <w:rPr>
                <w:sz w:val="23"/>
                <w:szCs w:val="23"/>
              </w:rPr>
              <w:t>Les maladies de la tomate</w:t>
            </w:r>
          </w:p>
        </w:tc>
        <w:tc>
          <w:tcPr>
            <w:tcW w:w="2825" w:type="dxa"/>
            <w:tcBorders/>
          </w:tcPr>
          <w:p>
            <w:pPr>
              <w:pStyle w:val="style0"/>
              <w:spacing w:before="0"/>
              <w:rPr>
                <w:bCs/>
                <w:sz w:val="23"/>
                <w:szCs w:val="23"/>
              </w:rPr>
            </w:pPr>
            <w:r>
              <w:rPr>
                <w:bCs/>
                <w:sz w:val="23"/>
                <w:szCs w:val="23"/>
              </w:rPr>
              <w:t>Fontes de semis</w:t>
            </w:r>
          </w:p>
        </w:tc>
        <w:tc>
          <w:tcPr>
            <w:tcW w:w="7240" w:type="dxa"/>
            <w:tcBorders/>
          </w:tcPr>
          <w:p>
            <w:pPr>
              <w:pStyle w:val="style0"/>
              <w:spacing w:before="0"/>
              <w:rPr>
                <w:rFonts w:eastAsia="SimSun"/>
                <w:i/>
                <w:iCs/>
                <w:sz w:val="23"/>
                <w:szCs w:val="23"/>
                <w:lang w:val="en-US" w:eastAsia="zh-CN"/>
              </w:rPr>
            </w:pPr>
            <w:r>
              <w:rPr>
                <w:rFonts w:eastAsia="SimSun"/>
                <w:i/>
                <w:iCs/>
                <w:sz w:val="23"/>
                <w:szCs w:val="23"/>
                <w:lang w:val="en-US" w:eastAsia="zh-CN"/>
              </w:rPr>
              <w:t>Pythium sp ; Botritis  cinerea ; Phytophtora sp</w:t>
            </w:r>
          </w:p>
        </w:tc>
      </w:tr>
      <w:tr>
        <w:tblPrEx/>
        <w:trPr>
          <w:trHeight w:val="340" w:hRule="atLeast"/>
        </w:trPr>
        <w:tc>
          <w:tcPr>
            <w:tcW w:w="2273" w:type="dxa"/>
            <w:vMerge w:val="continue"/>
            <w:tcBorders/>
          </w:tcPr>
          <w:p>
            <w:pPr>
              <w:pStyle w:val="style0"/>
              <w:spacing w:before="0"/>
              <w:rPr>
                <w:b/>
                <w:bCs/>
                <w:sz w:val="23"/>
                <w:szCs w:val="23"/>
                <w:lang w:val="en-US"/>
              </w:rPr>
            </w:pPr>
          </w:p>
        </w:tc>
        <w:tc>
          <w:tcPr>
            <w:tcW w:w="2825" w:type="dxa"/>
            <w:vMerge w:val="restart"/>
            <w:tcBorders/>
          </w:tcPr>
          <w:p>
            <w:pPr>
              <w:pStyle w:val="style0"/>
              <w:spacing w:before="0"/>
              <w:rPr>
                <w:bCs/>
                <w:sz w:val="23"/>
                <w:szCs w:val="23"/>
              </w:rPr>
            </w:pPr>
            <w:r>
              <w:rPr>
                <w:bCs/>
                <w:sz w:val="23"/>
                <w:szCs w:val="23"/>
              </w:rPr>
              <w:t xml:space="preserve">Maladies des feuilles, des tiges et des racines </w:t>
            </w:r>
          </w:p>
        </w:tc>
        <w:tc>
          <w:tcPr>
            <w:tcW w:w="7240" w:type="dxa"/>
            <w:tcBorders/>
          </w:tcPr>
          <w:p>
            <w:pPr>
              <w:pStyle w:val="style0"/>
              <w:spacing w:before="0"/>
              <w:rPr>
                <w:rFonts w:eastAsia="SimSun"/>
                <w:i/>
                <w:iCs/>
                <w:sz w:val="23"/>
                <w:szCs w:val="23"/>
                <w:lang w:eastAsia="zh-CN"/>
              </w:rPr>
            </w:pPr>
            <w:r>
              <w:rPr>
                <w:rFonts w:eastAsia="SimSun"/>
                <w:i/>
                <w:iCs/>
                <w:sz w:val="23"/>
                <w:szCs w:val="23"/>
                <w:lang w:eastAsia="zh-CN"/>
              </w:rPr>
              <w:t xml:space="preserve">Alternaria solani ; </w:t>
            </w:r>
            <w:r>
              <w:rPr>
                <w:rFonts w:eastAsia="SimSun"/>
                <w:bCs/>
                <w:i/>
                <w:iCs/>
                <w:sz w:val="23"/>
                <w:szCs w:val="23"/>
                <w:lang w:eastAsia="zh-CN"/>
              </w:rPr>
              <w:t xml:space="preserve">Leveillula taurica ; </w:t>
            </w:r>
            <w:r>
              <w:rPr>
                <w:rFonts w:eastAsia="SimSun"/>
                <w:i/>
                <w:iCs/>
                <w:sz w:val="23"/>
                <w:szCs w:val="23"/>
                <w:lang w:eastAsia="zh-CN"/>
              </w:rPr>
              <w:t xml:space="preserve">Phytophtora sp ; </w:t>
            </w:r>
            <w:r>
              <w:rPr>
                <w:rFonts w:eastAsia="SimSun"/>
                <w:bCs/>
                <w:i/>
                <w:iCs/>
                <w:sz w:val="23"/>
                <w:szCs w:val="23"/>
                <w:lang w:eastAsia="zh-CN"/>
              </w:rPr>
              <w:t>Fusarium  oxysporium </w:t>
            </w:r>
            <w:r>
              <w:rPr>
                <w:rFonts w:eastAsia="SimSun"/>
                <w:i/>
                <w:iCs/>
                <w:sz w:val="23"/>
                <w:szCs w:val="23"/>
                <w:lang w:eastAsia="zh-CN"/>
              </w:rPr>
              <w:t>;</w:t>
            </w:r>
          </w:p>
        </w:tc>
      </w:tr>
      <w:tr>
        <w:tblPrEx/>
        <w:trPr>
          <w:trHeight w:val="340" w:hRule="atLeast"/>
        </w:trPr>
        <w:tc>
          <w:tcPr>
            <w:tcW w:w="2273" w:type="dxa"/>
            <w:vMerge w:val="continue"/>
            <w:tcBorders/>
          </w:tcPr>
          <w:p>
            <w:pPr>
              <w:pStyle w:val="style0"/>
              <w:spacing w:before="0"/>
              <w:rPr>
                <w:rFonts w:eastAsia="Calibri"/>
                <w:bCs/>
                <w:sz w:val="23"/>
                <w:szCs w:val="23"/>
              </w:rPr>
            </w:pPr>
          </w:p>
        </w:tc>
        <w:tc>
          <w:tcPr>
            <w:tcW w:w="2825" w:type="dxa"/>
            <w:vMerge w:val="continue"/>
            <w:tcBorders/>
          </w:tcPr>
          <w:p>
            <w:pPr>
              <w:pStyle w:val="style0"/>
              <w:spacing w:before="0"/>
              <w:rPr>
                <w:rFonts w:eastAsia="Calibri"/>
                <w:bCs/>
                <w:sz w:val="23"/>
                <w:szCs w:val="23"/>
              </w:rPr>
            </w:pPr>
          </w:p>
        </w:tc>
        <w:tc>
          <w:tcPr>
            <w:tcW w:w="7240" w:type="dxa"/>
            <w:tcBorders/>
          </w:tcPr>
          <w:p>
            <w:pPr>
              <w:pStyle w:val="style0"/>
              <w:spacing w:before="0"/>
              <w:rPr>
                <w:rFonts w:eastAsia="SimSun"/>
                <w:i/>
                <w:iCs/>
                <w:sz w:val="23"/>
                <w:szCs w:val="23"/>
                <w:lang w:eastAsia="zh-CN"/>
              </w:rPr>
            </w:pPr>
            <w:r>
              <w:rPr>
                <w:rFonts w:eastAsia="SimSun"/>
                <w:bCs/>
                <w:i/>
                <w:iCs/>
                <w:sz w:val="23"/>
                <w:szCs w:val="23"/>
                <w:lang w:eastAsia="zh-CN"/>
              </w:rPr>
              <w:t>Rhizoctonia solani</w:t>
            </w:r>
          </w:p>
        </w:tc>
      </w:tr>
      <w:tr>
        <w:tblPrEx/>
        <w:trPr>
          <w:trHeight w:val="340" w:hRule="atLeast"/>
        </w:trPr>
        <w:tc>
          <w:tcPr>
            <w:tcW w:w="2273" w:type="dxa"/>
            <w:vMerge w:val="continue"/>
            <w:tcBorders/>
          </w:tcPr>
          <w:p>
            <w:pPr>
              <w:pStyle w:val="style0"/>
              <w:spacing w:before="0"/>
              <w:rPr>
                <w:rFonts w:eastAsia="Calibri"/>
                <w:bCs/>
                <w:sz w:val="23"/>
                <w:szCs w:val="23"/>
              </w:rPr>
            </w:pPr>
          </w:p>
        </w:tc>
        <w:tc>
          <w:tcPr>
            <w:tcW w:w="2825" w:type="dxa"/>
            <w:tcBorders/>
          </w:tcPr>
          <w:p>
            <w:pPr>
              <w:pStyle w:val="style0"/>
              <w:spacing w:before="0"/>
              <w:rPr>
                <w:rFonts w:eastAsia="Calibri"/>
                <w:bCs/>
                <w:sz w:val="23"/>
                <w:szCs w:val="23"/>
              </w:rPr>
            </w:pPr>
            <w:r>
              <w:rPr>
                <w:rFonts w:eastAsia="Calibri"/>
                <w:bCs/>
                <w:sz w:val="23"/>
                <w:szCs w:val="23"/>
              </w:rPr>
              <w:t>Maladies à virales</w:t>
            </w:r>
          </w:p>
        </w:tc>
        <w:tc>
          <w:tcPr>
            <w:tcW w:w="7240" w:type="dxa"/>
            <w:tcBorders/>
          </w:tcPr>
          <w:p>
            <w:pPr>
              <w:pStyle w:val="style0"/>
              <w:spacing w:before="0"/>
              <w:rPr>
                <w:rFonts w:eastAsia="SimSun"/>
                <w:i/>
                <w:iCs/>
                <w:sz w:val="23"/>
                <w:szCs w:val="23"/>
                <w:lang w:eastAsia="zh-CN"/>
              </w:rPr>
            </w:pPr>
            <w:r>
              <w:rPr>
                <w:rFonts w:eastAsia="SimSun"/>
                <w:bCs/>
                <w:i/>
                <w:iCs/>
                <w:sz w:val="23"/>
                <w:szCs w:val="23"/>
                <w:lang w:eastAsia="zh-CN"/>
              </w:rPr>
              <w:t>TYLCV</w:t>
            </w:r>
          </w:p>
        </w:tc>
      </w:tr>
      <w:tr>
        <w:tblPrEx/>
        <w:trPr>
          <w:trHeight w:val="340" w:hRule="atLeast"/>
        </w:trPr>
        <w:tc>
          <w:tcPr>
            <w:tcW w:w="2273" w:type="dxa"/>
            <w:vMerge w:val="continue"/>
            <w:tcBorders/>
          </w:tcPr>
          <w:p>
            <w:pPr>
              <w:pStyle w:val="style0"/>
              <w:spacing w:before="0"/>
              <w:rPr>
                <w:rFonts w:eastAsia="Calibri"/>
                <w:bCs/>
                <w:sz w:val="23"/>
                <w:szCs w:val="23"/>
              </w:rPr>
            </w:pPr>
          </w:p>
        </w:tc>
        <w:tc>
          <w:tcPr>
            <w:tcW w:w="2825" w:type="dxa"/>
            <w:tcBorders/>
          </w:tcPr>
          <w:p>
            <w:pPr>
              <w:pStyle w:val="style0"/>
              <w:spacing w:before="0"/>
              <w:rPr>
                <w:rFonts w:eastAsia="Calibri"/>
                <w:bCs/>
                <w:sz w:val="23"/>
                <w:szCs w:val="23"/>
              </w:rPr>
            </w:pPr>
            <w:r>
              <w:rPr>
                <w:rFonts w:eastAsia="Calibri"/>
                <w:bCs/>
                <w:sz w:val="23"/>
                <w:szCs w:val="23"/>
              </w:rPr>
              <w:t>Maladies bactériennes</w:t>
            </w:r>
          </w:p>
        </w:tc>
        <w:tc>
          <w:tcPr>
            <w:tcW w:w="7240" w:type="dxa"/>
            <w:tcBorders/>
          </w:tcPr>
          <w:p>
            <w:pPr>
              <w:pStyle w:val="style0"/>
              <w:spacing w:before="0"/>
              <w:rPr>
                <w:rFonts w:eastAsia="SimSun"/>
                <w:i/>
                <w:iCs/>
                <w:sz w:val="23"/>
                <w:szCs w:val="23"/>
                <w:lang w:eastAsia="zh-CN"/>
              </w:rPr>
            </w:pPr>
            <w:r>
              <w:rPr>
                <w:rFonts w:eastAsia="SimSun"/>
                <w:i/>
                <w:iCs/>
                <w:sz w:val="23"/>
                <w:szCs w:val="23"/>
                <w:lang w:eastAsia="zh-CN"/>
              </w:rPr>
              <w:t>Pseudomonas solanacearum</w:t>
            </w:r>
          </w:p>
        </w:tc>
      </w:tr>
      <w:tr>
        <w:tblPrEx/>
        <w:trPr>
          <w:trHeight w:val="340" w:hRule="atLeast"/>
        </w:trPr>
        <w:tc>
          <w:tcPr>
            <w:tcW w:w="2273" w:type="dxa"/>
            <w:tcBorders/>
          </w:tcPr>
          <w:p>
            <w:pPr>
              <w:pStyle w:val="style0"/>
              <w:spacing w:before="0"/>
              <w:rPr>
                <w:rFonts w:eastAsia="Calibri"/>
                <w:bCs/>
                <w:sz w:val="23"/>
                <w:szCs w:val="23"/>
              </w:rPr>
            </w:pPr>
          </w:p>
        </w:tc>
        <w:tc>
          <w:tcPr>
            <w:tcW w:w="2825" w:type="dxa"/>
            <w:tcBorders/>
          </w:tcPr>
          <w:p>
            <w:pPr>
              <w:pStyle w:val="style0"/>
              <w:spacing w:before="0"/>
              <w:rPr>
                <w:rFonts w:eastAsia="Calibri"/>
                <w:bCs/>
                <w:sz w:val="23"/>
                <w:szCs w:val="23"/>
              </w:rPr>
            </w:pPr>
            <w:r>
              <w:rPr>
                <w:rFonts w:eastAsia="Calibri"/>
                <w:bCs/>
                <w:sz w:val="23"/>
                <w:szCs w:val="23"/>
              </w:rPr>
              <w:t>Nématodes à galles</w:t>
            </w:r>
          </w:p>
        </w:tc>
        <w:tc>
          <w:tcPr>
            <w:tcW w:w="7240" w:type="dxa"/>
            <w:tcBorders/>
          </w:tcPr>
          <w:p>
            <w:pPr>
              <w:pStyle w:val="style0"/>
              <w:spacing w:before="0"/>
              <w:rPr>
                <w:rFonts w:eastAsia="SimSun"/>
                <w:i/>
                <w:iCs/>
                <w:sz w:val="23"/>
                <w:szCs w:val="23"/>
                <w:lang w:eastAsia="zh-CN"/>
              </w:rPr>
            </w:pPr>
            <w:r>
              <w:rPr>
                <w:i/>
                <w:sz w:val="23"/>
                <w:szCs w:val="23"/>
              </w:rPr>
              <w:t>Meloidogyne sp</w:t>
            </w:r>
          </w:p>
        </w:tc>
      </w:tr>
    </w:tbl>
    <w:p>
      <w:pPr>
        <w:pStyle w:val="style0"/>
        <w:spacing w:before="0"/>
        <w:rPr>
          <w:sz w:val="23"/>
          <w:szCs w:val="23"/>
        </w:rPr>
      </w:pPr>
    </w:p>
    <w:bookmarkStart w:id="170" w:name="_Toc260211"/>
    <w:p>
      <w:pPr>
        <w:pStyle w:val="style34"/>
        <w:rPr>
          <w:sz w:val="23"/>
          <w:szCs w:val="23"/>
        </w:rPr>
      </w:pPr>
      <w:r>
        <w:rPr>
          <w:sz w:val="20"/>
          <w:szCs w:val="20"/>
        </w:rPr>
        <w:t xml:space="preserve">Tableau </w:t>
      </w:r>
      <w:r>
        <w:rPr>
          <w:sz w:val="20"/>
          <w:szCs w:val="20"/>
        </w:rPr>
        <w:fldChar w:fldCharType="begin"/>
      </w:r>
      <w:r>
        <w:rPr>
          <w:sz w:val="20"/>
          <w:szCs w:val="20"/>
        </w:rPr>
        <w:instrText xml:space="preserve"> </w:instrText>
      </w:r>
      <w:r>
        <w:rPr>
          <w:sz w:val="20"/>
          <w:szCs w:val="20"/>
        </w:rPr>
        <w:instrText>SEQ</w:instrText>
      </w:r>
      <w:r>
        <w:rPr>
          <w:sz w:val="20"/>
          <w:szCs w:val="20"/>
        </w:rPr>
        <w:instrText xml:space="preserve"> Tableau \* ARABIC </w:instrText>
      </w:r>
      <w:r>
        <w:rPr>
          <w:sz w:val="20"/>
          <w:szCs w:val="20"/>
        </w:rPr>
        <w:fldChar w:fldCharType="separate"/>
      </w:r>
      <w:r>
        <w:rPr>
          <w:noProof/>
          <w:sz w:val="20"/>
          <w:szCs w:val="20"/>
        </w:rPr>
        <w:t>4</w:t>
      </w:r>
      <w:r>
        <w:rPr>
          <w:sz w:val="20"/>
          <w:szCs w:val="20"/>
        </w:rPr>
        <w:fldChar w:fldCharType="end"/>
      </w:r>
      <w:r>
        <w:rPr>
          <w:rFonts w:eastAsia="Calibri"/>
          <w:i/>
          <w:iCs/>
          <w:color w:val="1f497d"/>
          <w:sz w:val="20"/>
          <w:szCs w:val="20"/>
        </w:rPr>
        <w:t xml:space="preserve"> : </w:t>
      </w:r>
      <w:r>
        <w:rPr>
          <w:rFonts w:eastAsia="Calibri"/>
          <w:i/>
          <w:iCs/>
          <w:color w:val="1f497d"/>
          <w:sz w:val="20"/>
          <w:szCs w:val="20"/>
        </w:rPr>
        <w:t>Déprédateurs et agents pathogènes de l’oignon</w:t>
      </w:r>
      <w:bookmarkEnd w:id="170"/>
      <w:r>
        <w:rPr>
          <w:rFonts w:eastAsia="Calibri"/>
          <w:i/>
          <w:iCs/>
          <w:color w:val="1f497d"/>
          <w:sz w:val="20"/>
          <w:szCs w:val="20"/>
        </w:rPr>
        <w:t xml:space="preserve"> </w:t>
      </w:r>
    </w:p>
    <w:p>
      <w:pPr>
        <w:pStyle w:val="style0"/>
        <w:spacing w:lineRule="auto" w:line="276"/>
        <w:rPr>
          <w:b/>
          <w:sz w:val="23"/>
          <w:szCs w:val="23"/>
        </w:rPr>
      </w:pPr>
    </w:p>
    <w:tbl>
      <w:tblPr>
        <w:tblW w:w="12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3"/>
        <w:gridCol w:w="2127"/>
        <w:gridCol w:w="8182"/>
      </w:tblGrid>
      <w:tr>
        <w:trPr>
          <w:trHeight w:val="213" w:hRule="atLeast"/>
        </w:trPr>
        <w:tc>
          <w:tcPr>
            <w:tcW w:w="4400" w:type="dxa"/>
            <w:gridSpan w:val="2"/>
            <w:tcBorders/>
          </w:tcPr>
          <w:p>
            <w:pPr>
              <w:pStyle w:val="style0"/>
              <w:spacing w:before="0"/>
              <w:jc w:val="center"/>
              <w:rPr>
                <w:rFonts w:eastAsia="SimSun"/>
                <w:b/>
                <w:color w:val="000000"/>
                <w:sz w:val="23"/>
                <w:szCs w:val="23"/>
              </w:rPr>
            </w:pPr>
            <w:r>
              <w:rPr>
                <w:rFonts w:eastAsia="SimSun"/>
                <w:b/>
                <w:sz w:val="23"/>
                <w:szCs w:val="23"/>
              </w:rPr>
              <w:t>Déprédateurs et agents pathogènes</w:t>
            </w:r>
          </w:p>
        </w:tc>
        <w:tc>
          <w:tcPr>
            <w:tcW w:w="8182" w:type="dxa"/>
            <w:tcBorders/>
          </w:tcPr>
          <w:p>
            <w:pPr>
              <w:pStyle w:val="style0"/>
              <w:spacing w:before="0"/>
              <w:jc w:val="center"/>
              <w:rPr>
                <w:rFonts w:eastAsia="SimSun"/>
                <w:b/>
                <w:color w:val="000000"/>
                <w:sz w:val="23"/>
                <w:szCs w:val="23"/>
              </w:rPr>
            </w:pPr>
            <w:r>
              <w:rPr>
                <w:rFonts w:eastAsia="SimSun"/>
                <w:b/>
                <w:sz w:val="23"/>
                <w:szCs w:val="23"/>
              </w:rPr>
              <w:t>Genres / Espèces</w:t>
            </w:r>
          </w:p>
        </w:tc>
      </w:tr>
      <w:tr>
        <w:tblPrEx/>
        <w:trPr>
          <w:trHeight w:val="340" w:hRule="atLeast"/>
        </w:trPr>
        <w:tc>
          <w:tcPr>
            <w:tcW w:w="2273" w:type="dxa"/>
            <w:vMerge w:val="restart"/>
            <w:tcBorders/>
          </w:tcPr>
          <w:p>
            <w:pPr>
              <w:pStyle w:val="style0"/>
              <w:spacing w:before="0"/>
              <w:rPr>
                <w:rFonts w:eastAsia="SimSun"/>
                <w:b/>
                <w:color w:val="000000"/>
                <w:sz w:val="23"/>
                <w:szCs w:val="23"/>
                <w:lang w:eastAsia="zh-CN"/>
              </w:rPr>
            </w:pPr>
            <w:r>
              <w:rPr>
                <w:rFonts w:eastAsia="SimSun"/>
                <w:color w:val="000000"/>
                <w:sz w:val="23"/>
                <w:szCs w:val="23"/>
                <w:lang w:eastAsia="zh-CN"/>
              </w:rPr>
              <w:t>Les insectes ravageurs de l’oignon</w:t>
            </w:r>
          </w:p>
        </w:tc>
        <w:tc>
          <w:tcPr>
            <w:tcW w:w="2127" w:type="dxa"/>
            <w:tcBorders/>
          </w:tcPr>
          <w:p>
            <w:pPr>
              <w:pStyle w:val="style0"/>
              <w:spacing w:before="0"/>
              <w:rPr>
                <w:rFonts w:eastAsia="SimSun"/>
                <w:b/>
                <w:color w:val="000000"/>
                <w:sz w:val="23"/>
                <w:szCs w:val="23"/>
                <w:lang w:eastAsia="zh-CN"/>
              </w:rPr>
            </w:pPr>
            <w:r>
              <w:rPr>
                <w:rFonts w:eastAsia="SimSun"/>
                <w:color w:val="000000"/>
                <w:sz w:val="23"/>
                <w:szCs w:val="23"/>
                <w:lang w:eastAsia="zh-CN"/>
              </w:rPr>
              <w:t xml:space="preserve">Homoptères </w:t>
            </w:r>
          </w:p>
        </w:tc>
        <w:tc>
          <w:tcPr>
            <w:tcW w:w="8182" w:type="dxa"/>
            <w:tcBorders/>
          </w:tcPr>
          <w:p>
            <w:pPr>
              <w:pStyle w:val="style0"/>
              <w:spacing w:before="0"/>
              <w:rPr>
                <w:rFonts w:eastAsia="SimSun"/>
                <w:b/>
                <w:bCs/>
                <w:i/>
                <w:iCs/>
                <w:color w:val="000000"/>
                <w:sz w:val="23"/>
                <w:szCs w:val="23"/>
                <w:lang w:eastAsia="zh-CN"/>
              </w:rPr>
            </w:pPr>
            <w:r>
              <w:rPr>
                <w:rFonts w:eastAsia="SimSun"/>
                <w:bCs/>
                <w:i/>
                <w:iCs/>
                <w:color w:val="000000"/>
                <w:sz w:val="23"/>
                <w:szCs w:val="23"/>
                <w:lang w:eastAsia="zh-CN"/>
              </w:rPr>
              <w:t xml:space="preserve">Thrips tabaci, </w:t>
            </w:r>
          </w:p>
        </w:tc>
      </w:tr>
      <w:tr>
        <w:tblPrEx/>
        <w:trPr>
          <w:trHeight w:val="340" w:hRule="atLeast"/>
        </w:trPr>
        <w:tc>
          <w:tcPr>
            <w:tcW w:w="2273" w:type="dxa"/>
            <w:vMerge w:val="continue"/>
            <w:tcBorders/>
          </w:tcPr>
          <w:p>
            <w:pPr>
              <w:pStyle w:val="style0"/>
              <w:spacing w:before="0"/>
              <w:rPr>
                <w:rFonts w:eastAsia="SimSun"/>
                <w:b/>
                <w:color w:val="000000"/>
                <w:sz w:val="23"/>
                <w:szCs w:val="23"/>
                <w:lang w:eastAsia="zh-CN"/>
              </w:rPr>
            </w:pPr>
          </w:p>
        </w:tc>
        <w:tc>
          <w:tcPr>
            <w:tcW w:w="2127" w:type="dxa"/>
            <w:tcBorders/>
          </w:tcPr>
          <w:p>
            <w:pPr>
              <w:pStyle w:val="style0"/>
              <w:spacing w:before="0"/>
              <w:rPr>
                <w:rFonts w:eastAsia="SimSun"/>
                <w:color w:val="000000"/>
                <w:sz w:val="23"/>
                <w:szCs w:val="23"/>
                <w:lang w:eastAsia="zh-CN"/>
              </w:rPr>
            </w:pPr>
            <w:r>
              <w:rPr>
                <w:rFonts w:eastAsia="SimSun"/>
                <w:color w:val="000000"/>
                <w:sz w:val="23"/>
                <w:szCs w:val="23"/>
                <w:lang w:eastAsia="zh-CN"/>
              </w:rPr>
              <w:t xml:space="preserve">Lépidoptères </w:t>
            </w:r>
          </w:p>
        </w:tc>
        <w:tc>
          <w:tcPr>
            <w:tcW w:w="8182" w:type="dxa"/>
            <w:tcBorders/>
          </w:tcPr>
          <w:p>
            <w:pPr>
              <w:pStyle w:val="style0"/>
              <w:spacing w:before="0"/>
              <w:rPr>
                <w:rFonts w:eastAsia="SimSun"/>
                <w:bCs/>
                <w:i/>
                <w:iCs/>
                <w:color w:val="000000"/>
                <w:sz w:val="23"/>
                <w:szCs w:val="23"/>
                <w:lang w:eastAsia="zh-CN"/>
              </w:rPr>
            </w:pPr>
            <w:r>
              <w:rPr>
                <w:rFonts w:eastAsia="SimSun"/>
                <w:bCs/>
                <w:i/>
                <w:iCs/>
                <w:color w:val="000000"/>
                <w:sz w:val="23"/>
                <w:szCs w:val="23"/>
                <w:lang w:eastAsia="zh-CN"/>
              </w:rPr>
              <w:t xml:space="preserve">Agrostis ipsilon </w:t>
            </w:r>
            <w:r>
              <w:rPr>
                <w:sz w:val="23"/>
                <w:szCs w:val="23"/>
              </w:rPr>
              <w:t>(Hfn)</w:t>
            </w:r>
            <w:r>
              <w:rPr>
                <w:rFonts w:eastAsia="SimSun"/>
                <w:bCs/>
                <w:i/>
                <w:iCs/>
                <w:color w:val="000000"/>
                <w:sz w:val="23"/>
                <w:szCs w:val="23"/>
                <w:lang w:eastAsia="zh-CN"/>
              </w:rPr>
              <w:t xml:space="preserve">; Spodoptera littoralis </w:t>
            </w:r>
            <w:r>
              <w:rPr>
                <w:sz w:val="23"/>
                <w:szCs w:val="23"/>
              </w:rPr>
              <w:t>(Boisd)</w:t>
            </w:r>
            <w:r>
              <w:rPr>
                <w:rFonts w:eastAsia="SimSun"/>
                <w:bCs/>
                <w:i/>
                <w:iCs/>
                <w:color w:val="000000"/>
                <w:sz w:val="23"/>
                <w:szCs w:val="23"/>
                <w:lang w:eastAsia="zh-CN"/>
              </w:rPr>
              <w:t>,</w:t>
            </w:r>
            <w:r>
              <w:rPr>
                <w:i/>
                <w:sz w:val="23"/>
                <w:szCs w:val="23"/>
              </w:rPr>
              <w:t xml:space="preserve"> Spodoptera exigua </w:t>
            </w:r>
            <w:r>
              <w:rPr>
                <w:sz w:val="23"/>
                <w:szCs w:val="23"/>
              </w:rPr>
              <w:t>Walter, 1870</w:t>
            </w:r>
          </w:p>
        </w:tc>
      </w:tr>
      <w:tr>
        <w:tblPrEx/>
        <w:trPr>
          <w:trHeight w:val="340" w:hRule="atLeast"/>
        </w:trPr>
        <w:tc>
          <w:tcPr>
            <w:tcW w:w="2273" w:type="dxa"/>
            <w:vMerge w:val="continue"/>
            <w:tcBorders/>
          </w:tcPr>
          <w:p>
            <w:pPr>
              <w:pStyle w:val="style0"/>
              <w:spacing w:before="0"/>
              <w:rPr>
                <w:rFonts w:eastAsia="SimSun"/>
                <w:b/>
                <w:color w:val="000000"/>
                <w:sz w:val="23"/>
                <w:szCs w:val="23"/>
                <w:lang w:eastAsia="zh-CN"/>
              </w:rPr>
            </w:pPr>
          </w:p>
        </w:tc>
        <w:tc>
          <w:tcPr>
            <w:tcW w:w="2127" w:type="dxa"/>
            <w:tcBorders/>
          </w:tcPr>
          <w:p>
            <w:pPr>
              <w:pStyle w:val="style0"/>
              <w:spacing w:before="0"/>
              <w:rPr>
                <w:rFonts w:eastAsia="SimSun"/>
                <w:color w:val="000000"/>
                <w:sz w:val="23"/>
                <w:szCs w:val="23"/>
                <w:lang w:eastAsia="zh-CN"/>
              </w:rPr>
            </w:pPr>
            <w:r>
              <w:rPr>
                <w:rFonts w:eastAsia="SimSun"/>
                <w:color w:val="000000"/>
                <w:sz w:val="23"/>
                <w:szCs w:val="23"/>
                <w:lang w:eastAsia="zh-CN"/>
              </w:rPr>
              <w:t>Orthoptères</w:t>
            </w:r>
          </w:p>
        </w:tc>
        <w:tc>
          <w:tcPr>
            <w:tcW w:w="8182" w:type="dxa"/>
            <w:tcBorders/>
          </w:tcPr>
          <w:p>
            <w:pPr>
              <w:pStyle w:val="style4135"/>
              <w:rPr>
                <w:rFonts w:ascii="Times New Roman" w:cs="Times New Roman" w:hAnsi="Times New Roman"/>
                <w:sz w:val="23"/>
                <w:szCs w:val="23"/>
                <w:lang w:val="pt-BR"/>
              </w:rPr>
            </w:pPr>
            <w:r>
              <w:rPr>
                <w:rFonts w:ascii="Times New Roman" w:cs="Times New Roman" w:eastAsia="SimSun" w:hAnsi="Times New Roman"/>
                <w:bCs/>
                <w:i/>
                <w:iCs/>
                <w:sz w:val="23"/>
                <w:szCs w:val="23"/>
                <w:lang w:val="pt-BR" w:eastAsia="zh-CN"/>
              </w:rPr>
              <w:t xml:space="preserve">Oedaleus senegalensis </w:t>
            </w:r>
            <w:r>
              <w:rPr>
                <w:rFonts w:ascii="Times New Roman" w:cs="Times New Roman" w:hAnsi="Times New Roman"/>
                <w:bCs/>
                <w:color w:val="auto"/>
                <w:sz w:val="23"/>
                <w:szCs w:val="23"/>
                <w:lang w:val="pt-BR"/>
              </w:rPr>
              <w:t>(Krauss, 1877)</w:t>
            </w:r>
            <w:r>
              <w:rPr>
                <w:rFonts w:ascii="Times New Roman" w:cs="Times New Roman" w:eastAsia="SimSun" w:hAnsi="Times New Roman"/>
                <w:bCs/>
                <w:i/>
                <w:iCs/>
                <w:sz w:val="23"/>
                <w:szCs w:val="23"/>
                <w:lang w:val="pt-BR" w:eastAsia="zh-CN"/>
              </w:rPr>
              <w:t xml:space="preserve">, Pyrgomorpha  cognata,  Zonocerus variegatus </w:t>
            </w:r>
            <w:r>
              <w:rPr>
                <w:rFonts w:ascii="Times New Roman" w:cs="Times New Roman" w:hAnsi="Times New Roman"/>
                <w:sz w:val="23"/>
                <w:szCs w:val="23"/>
                <w:lang w:val="pt-BR"/>
              </w:rPr>
              <w:t>(Linaeus, 1758)</w:t>
            </w:r>
          </w:p>
        </w:tc>
      </w:tr>
      <w:tr>
        <w:tblPrEx/>
        <w:trPr>
          <w:trHeight w:val="276" w:hRule="atLeast"/>
        </w:trPr>
        <w:tc>
          <w:tcPr>
            <w:tcW w:w="2273" w:type="dxa"/>
            <w:vMerge w:val="continue"/>
            <w:tcBorders/>
          </w:tcPr>
          <w:p>
            <w:pPr>
              <w:pStyle w:val="style0"/>
              <w:spacing w:before="0"/>
              <w:rPr>
                <w:rFonts w:eastAsia="SimSun"/>
                <w:b/>
                <w:color w:val="000000"/>
                <w:sz w:val="23"/>
                <w:szCs w:val="23"/>
                <w:lang w:val="pt-BR" w:eastAsia="zh-CN"/>
              </w:rPr>
            </w:pPr>
          </w:p>
        </w:tc>
        <w:tc>
          <w:tcPr>
            <w:tcW w:w="2127" w:type="dxa"/>
            <w:tcBorders/>
          </w:tcPr>
          <w:p>
            <w:pPr>
              <w:pStyle w:val="style0"/>
              <w:spacing w:before="0"/>
              <w:rPr>
                <w:rFonts w:eastAsia="SimSun"/>
                <w:color w:val="000000"/>
                <w:sz w:val="23"/>
                <w:szCs w:val="23"/>
                <w:lang w:eastAsia="zh-CN"/>
              </w:rPr>
            </w:pPr>
            <w:r>
              <w:rPr>
                <w:rFonts w:eastAsia="SimSun"/>
                <w:color w:val="000000"/>
                <w:sz w:val="23"/>
                <w:szCs w:val="23"/>
                <w:lang w:eastAsia="zh-CN"/>
              </w:rPr>
              <w:t>Diptères</w:t>
            </w:r>
          </w:p>
        </w:tc>
        <w:tc>
          <w:tcPr>
            <w:tcW w:w="8182" w:type="dxa"/>
            <w:tcBorders/>
          </w:tcPr>
          <w:p>
            <w:pPr>
              <w:pStyle w:val="style0"/>
              <w:spacing w:before="0"/>
              <w:rPr>
                <w:rFonts w:eastAsia="SimSun"/>
                <w:bCs/>
                <w:i/>
                <w:iCs/>
                <w:color w:val="000000"/>
                <w:sz w:val="23"/>
                <w:szCs w:val="23"/>
                <w:lang w:eastAsia="zh-CN"/>
              </w:rPr>
            </w:pPr>
            <w:r>
              <w:rPr>
                <w:rFonts w:eastAsia="SimSun"/>
                <w:bCs/>
                <w:i/>
                <w:iCs/>
                <w:color w:val="000000"/>
                <w:sz w:val="23"/>
                <w:szCs w:val="23"/>
                <w:lang w:eastAsia="zh-CN"/>
              </w:rPr>
              <w:t>Delia antiqua</w:t>
            </w:r>
          </w:p>
        </w:tc>
      </w:tr>
      <w:tr>
        <w:tblPrEx/>
        <w:trPr>
          <w:trHeight w:val="340" w:hRule="atLeast"/>
        </w:trPr>
        <w:tc>
          <w:tcPr>
            <w:tcW w:w="2273" w:type="dxa"/>
            <w:tcBorders/>
          </w:tcPr>
          <w:p>
            <w:pPr>
              <w:pStyle w:val="style0"/>
              <w:spacing w:before="0"/>
              <w:rPr>
                <w:rFonts w:eastAsia="SimSun"/>
                <w:color w:val="000000"/>
                <w:sz w:val="23"/>
                <w:szCs w:val="23"/>
                <w:lang w:eastAsia="zh-CN"/>
              </w:rPr>
            </w:pPr>
            <w:r>
              <w:rPr>
                <w:rFonts w:eastAsia="SimSun"/>
                <w:color w:val="000000"/>
                <w:sz w:val="23"/>
                <w:szCs w:val="23"/>
                <w:lang w:eastAsia="zh-CN"/>
              </w:rPr>
              <w:t>Les maladies de l’oignon</w:t>
            </w:r>
          </w:p>
        </w:tc>
        <w:tc>
          <w:tcPr>
            <w:tcW w:w="2127" w:type="dxa"/>
            <w:tcBorders/>
          </w:tcPr>
          <w:p>
            <w:pPr>
              <w:pStyle w:val="style0"/>
              <w:spacing w:before="0"/>
              <w:rPr>
                <w:rFonts w:eastAsia="SimSun"/>
                <w:color w:val="000000"/>
                <w:sz w:val="23"/>
                <w:szCs w:val="23"/>
                <w:lang w:eastAsia="zh-CN"/>
              </w:rPr>
            </w:pPr>
            <w:r>
              <w:rPr>
                <w:rFonts w:eastAsia="SimSun"/>
                <w:color w:val="000000"/>
                <w:sz w:val="23"/>
                <w:szCs w:val="23"/>
                <w:lang w:eastAsia="zh-CN"/>
              </w:rPr>
              <w:t>Maladies fongiques</w:t>
            </w:r>
          </w:p>
        </w:tc>
        <w:tc>
          <w:tcPr>
            <w:tcW w:w="8182" w:type="dxa"/>
            <w:tcBorders/>
          </w:tcPr>
          <w:p>
            <w:pPr>
              <w:pStyle w:val="style0"/>
              <w:spacing w:before="0"/>
              <w:rPr>
                <w:rFonts w:eastAsia="SimSun"/>
                <w:bCs/>
                <w:i/>
                <w:iCs/>
                <w:color w:val="000000"/>
                <w:sz w:val="23"/>
                <w:szCs w:val="23"/>
                <w:lang w:val="en-US" w:eastAsia="zh-CN"/>
              </w:rPr>
            </w:pPr>
            <w:r>
              <w:rPr>
                <w:rFonts w:eastAsia="SimSun"/>
                <w:bCs/>
                <w:i/>
                <w:iCs/>
                <w:color w:val="000000"/>
                <w:sz w:val="23"/>
                <w:szCs w:val="23"/>
                <w:lang w:val="pt-BR" w:eastAsia="zh-CN"/>
              </w:rPr>
              <w:t>Peronospora destructor, Botrytis squamosa, Fusarium oxysporum ; Fusarium solani.</w:t>
            </w:r>
            <w:r>
              <w:rPr>
                <w:b/>
                <w:bCs/>
                <w:i/>
                <w:iCs/>
                <w:color w:val="0000ff"/>
                <w:kern w:val="24"/>
                <w:sz w:val="23"/>
                <w:szCs w:val="23"/>
                <w:lang w:val="pt-BR"/>
              </w:rPr>
              <w:t xml:space="preserve"> </w:t>
            </w:r>
            <w:r>
              <w:rPr>
                <w:rFonts w:eastAsia="SimSun"/>
                <w:bCs/>
                <w:i/>
                <w:iCs/>
                <w:color w:val="000000"/>
                <w:sz w:val="23"/>
                <w:szCs w:val="23"/>
                <w:lang w:eastAsia="zh-CN"/>
              </w:rPr>
              <w:t>Sclerotium ceviporum,  Aspergillus niger,</w:t>
            </w:r>
            <w:r>
              <w:rPr>
                <w:rFonts w:eastAsia="SimSun"/>
                <w:b/>
                <w:bCs/>
                <w:i/>
                <w:iCs/>
                <w:color w:val="000000"/>
                <w:sz w:val="23"/>
                <w:szCs w:val="23"/>
                <w:lang w:eastAsia="zh-CN"/>
              </w:rPr>
              <w:t xml:space="preserve"> </w:t>
            </w:r>
          </w:p>
        </w:tc>
      </w:tr>
      <w:bookmarkStart w:id="171" w:name="_Toc260212"/>
    </w:tbl>
    <w:p>
      <w:pPr>
        <w:pStyle w:val="style34"/>
        <w:rPr>
          <w:rFonts w:eastAsia="Calibri"/>
          <w:i/>
          <w:iCs/>
          <w:color w:val="1f497d"/>
          <w:sz w:val="20"/>
          <w:szCs w:val="20"/>
        </w:rPr>
      </w:pPr>
      <w:r>
        <w:rPr>
          <w:sz w:val="20"/>
          <w:szCs w:val="20"/>
        </w:rPr>
        <w:t xml:space="preserve">Tableau </w:t>
      </w:r>
      <w:r>
        <w:rPr>
          <w:sz w:val="20"/>
          <w:szCs w:val="20"/>
        </w:rPr>
        <w:fldChar w:fldCharType="begin"/>
      </w:r>
      <w:r>
        <w:rPr>
          <w:sz w:val="20"/>
          <w:szCs w:val="20"/>
        </w:rPr>
        <w:instrText xml:space="preserve"> </w:instrText>
      </w:r>
      <w:r>
        <w:rPr>
          <w:sz w:val="20"/>
          <w:szCs w:val="20"/>
        </w:rPr>
        <w:instrText>SEQ</w:instrText>
      </w:r>
      <w:r>
        <w:rPr>
          <w:sz w:val="20"/>
          <w:szCs w:val="20"/>
        </w:rPr>
        <w:instrText xml:space="preserve"> Tableau \* ARABIC </w:instrText>
      </w:r>
      <w:r>
        <w:rPr>
          <w:sz w:val="20"/>
          <w:szCs w:val="20"/>
        </w:rPr>
        <w:fldChar w:fldCharType="separate"/>
      </w:r>
      <w:r>
        <w:rPr>
          <w:noProof/>
          <w:sz w:val="20"/>
          <w:szCs w:val="20"/>
        </w:rPr>
        <w:t>5</w:t>
      </w:r>
      <w:r>
        <w:rPr>
          <w:sz w:val="20"/>
          <w:szCs w:val="20"/>
        </w:rPr>
        <w:fldChar w:fldCharType="end"/>
      </w:r>
      <w:r>
        <w:rPr>
          <w:rFonts w:eastAsia="Calibri"/>
          <w:i/>
          <w:iCs/>
          <w:color w:val="1f497d"/>
          <w:sz w:val="20"/>
          <w:szCs w:val="20"/>
        </w:rPr>
        <w:t xml:space="preserve"> : </w:t>
      </w:r>
      <w:r>
        <w:rPr>
          <w:rFonts w:eastAsia="Calibri"/>
          <w:i/>
          <w:iCs/>
          <w:color w:val="1f497d"/>
          <w:sz w:val="20"/>
          <w:szCs w:val="20"/>
        </w:rPr>
        <w:t>Déprédateurs et agents pathogènes du riz</w:t>
      </w:r>
      <w:bookmarkEnd w:id="171"/>
      <w:r>
        <w:rPr>
          <w:rFonts w:eastAsia="Calibri"/>
          <w:i/>
          <w:iCs/>
          <w:color w:val="1f497d"/>
          <w:sz w:val="20"/>
          <w:szCs w:val="20"/>
        </w:rPr>
        <w:t xml:space="preserve"> </w:t>
      </w:r>
    </w:p>
    <w:p>
      <w:pPr>
        <w:pStyle w:val="style0"/>
        <w:rPr/>
      </w:pPr>
    </w:p>
    <w:tbl>
      <w:tblPr>
        <w:tblW w:w="14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25"/>
        <w:gridCol w:w="2410"/>
        <w:gridCol w:w="9148"/>
      </w:tblGrid>
      <w:tr>
        <w:trPr/>
        <w:tc>
          <w:tcPr>
            <w:tcW w:w="5070" w:type="dxa"/>
            <w:gridSpan w:val="3"/>
            <w:tcBorders/>
          </w:tcPr>
          <w:p>
            <w:pPr>
              <w:pStyle w:val="style0"/>
              <w:spacing w:before="0"/>
              <w:rPr>
                <w:sz w:val="23"/>
                <w:szCs w:val="23"/>
              </w:rPr>
            </w:pPr>
            <w:r>
              <w:rPr>
                <w:sz w:val="23"/>
                <w:szCs w:val="23"/>
              </w:rPr>
              <w:t>Déprédateurs et agents pathogènes</w:t>
            </w:r>
          </w:p>
        </w:tc>
        <w:tc>
          <w:tcPr>
            <w:tcW w:w="9148" w:type="dxa"/>
            <w:tcBorders/>
          </w:tcPr>
          <w:p>
            <w:pPr>
              <w:pStyle w:val="style0"/>
              <w:spacing w:before="0"/>
              <w:rPr>
                <w:sz w:val="23"/>
                <w:szCs w:val="23"/>
              </w:rPr>
            </w:pPr>
            <w:r>
              <w:rPr>
                <w:rFonts w:eastAsia="SimSun"/>
                <w:b/>
                <w:sz w:val="23"/>
                <w:szCs w:val="23"/>
              </w:rPr>
              <w:t>Genres / Espèces</w:t>
            </w:r>
          </w:p>
        </w:tc>
      </w:tr>
      <w:bookmarkStart w:id="172" w:name="_Toc283269430"/>
      <w:bookmarkStart w:id="173" w:name="_Toc283352219"/>
      <w:bookmarkStart w:id="174" w:name="_Toc283547419"/>
      <w:bookmarkStart w:id="175" w:name="_Toc284184064"/>
      <w:bookmarkStart w:id="176" w:name="_Toc284397443"/>
      <w:bookmarkStart w:id="177" w:name="_Toc284400621"/>
      <w:bookmarkStart w:id="178" w:name="_Toc295903004"/>
      <w:bookmarkStart w:id="179" w:name="_Toc377745890"/>
      <w:bookmarkStart w:id="180" w:name="_Toc380136335"/>
      <w:bookmarkStart w:id="181" w:name="_Toc380136655"/>
      <w:bookmarkStart w:id="182" w:name="_Toc380230485"/>
      <w:bookmarkStart w:id="183" w:name="_Toc381371827"/>
      <w:bookmarkStart w:id="184" w:name="_Toc383563142"/>
      <w:bookmarkStart w:id="185" w:name="_Toc383570653"/>
      <w:bookmarkStart w:id="186" w:name="_Toc383608286"/>
      <w:bookmarkStart w:id="187" w:name="_Toc385280102"/>
      <w:bookmarkStart w:id="188" w:name="_Toc408576096"/>
      <w:bookmarkStart w:id="189" w:name="_Toc408738494"/>
      <w:bookmarkStart w:id="190" w:name="_Toc411356611"/>
      <w:bookmarkStart w:id="191" w:name="_Toc412712841"/>
      <w:bookmarkStart w:id="192" w:name="_Toc412731876"/>
      <w:bookmarkStart w:id="193" w:name="_Toc412732260"/>
      <w:bookmarkStart w:id="194" w:name="_Toc416626202"/>
      <w:bookmarkStart w:id="195" w:name="_Toc418648008"/>
      <w:bookmarkStart w:id="196" w:name="_Toc418662677"/>
      <w:bookmarkStart w:id="197" w:name="_Toc418672804"/>
      <w:bookmarkStart w:id="198" w:name="_Toc418673843"/>
      <w:bookmarkStart w:id="199" w:name="_Toc422066466"/>
      <w:tr>
        <w:tblPrEx/>
        <w:trPr>
          <w:trHeight w:val="227" w:hRule="atLeast"/>
        </w:trPr>
        <w:tc>
          <w:tcPr>
            <w:tcW w:w="2660" w:type="dxa"/>
            <w:gridSpan w:val="2"/>
            <w:vMerge w:val="restart"/>
            <w:tcBorders/>
            <w:vAlign w:val="center"/>
          </w:tcPr>
          <w:p>
            <w:pPr>
              <w:pStyle w:val="style0"/>
              <w:spacing w:before="0"/>
              <w:rPr>
                <w:sz w:val="23"/>
                <w:szCs w:val="23"/>
              </w:rPr>
            </w:pPr>
            <w:r>
              <w:rPr>
                <w:sz w:val="23"/>
                <w:szCs w:val="23"/>
              </w:rPr>
              <w:t>Les foreurs des tiges du riz</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tc>
        <w:tc>
          <w:tcPr>
            <w:tcW w:w="2410" w:type="dxa"/>
            <w:tcBorders/>
            <w:vAlign w:val="center"/>
          </w:tcPr>
          <w:p>
            <w:pPr>
              <w:pStyle w:val="style0"/>
              <w:spacing w:before="0"/>
              <w:rPr>
                <w:color w:val="000000"/>
                <w:sz w:val="23"/>
                <w:szCs w:val="23"/>
              </w:rPr>
            </w:pPr>
            <w:r>
              <w:rPr>
                <w:color w:val="000000"/>
                <w:sz w:val="23"/>
                <w:szCs w:val="23"/>
              </w:rPr>
              <w:t>Les lépidoptères</w:t>
            </w:r>
          </w:p>
        </w:tc>
        <w:tc>
          <w:tcPr>
            <w:tcW w:w="9148" w:type="dxa"/>
            <w:tcBorders/>
            <w:vAlign w:val="center"/>
          </w:tcPr>
          <w:p>
            <w:pPr>
              <w:pStyle w:val="style0"/>
              <w:spacing w:before="0"/>
              <w:rPr>
                <w:color w:val="000000"/>
                <w:sz w:val="23"/>
                <w:szCs w:val="23"/>
              </w:rPr>
            </w:pPr>
            <w:r>
              <w:rPr>
                <w:i/>
                <w:iCs/>
                <w:color w:val="000000"/>
                <w:sz w:val="23"/>
                <w:szCs w:val="23"/>
              </w:rPr>
              <w:t xml:space="preserve">Maliarpha separatella </w:t>
            </w:r>
            <w:r>
              <w:rPr>
                <w:color w:val="000000"/>
                <w:sz w:val="23"/>
                <w:szCs w:val="23"/>
              </w:rPr>
              <w:t>Ragonot (</w:t>
            </w:r>
            <w:r>
              <w:rPr>
                <w:i/>
                <w:iCs/>
                <w:color w:val="000000"/>
                <w:sz w:val="23"/>
                <w:szCs w:val="23"/>
              </w:rPr>
              <w:t>Pyralidae</w:t>
            </w:r>
            <w:r>
              <w:rPr>
                <w:color w:val="000000"/>
                <w:sz w:val="23"/>
                <w:szCs w:val="23"/>
              </w:rPr>
              <w:t xml:space="preserve">), </w:t>
            </w:r>
            <w:r>
              <w:rPr>
                <w:i/>
                <w:iCs/>
                <w:color w:val="000000"/>
                <w:sz w:val="23"/>
                <w:szCs w:val="23"/>
              </w:rPr>
              <w:t xml:space="preserve">Chilo zacconius </w:t>
            </w:r>
            <w:r>
              <w:rPr>
                <w:color w:val="000000"/>
                <w:sz w:val="23"/>
                <w:szCs w:val="23"/>
              </w:rPr>
              <w:t>Bleszynski (</w:t>
            </w:r>
            <w:r>
              <w:rPr>
                <w:i/>
                <w:iCs/>
                <w:color w:val="000000"/>
                <w:sz w:val="23"/>
                <w:szCs w:val="23"/>
              </w:rPr>
              <w:t>Pyralidae</w:t>
            </w:r>
            <w:r>
              <w:rPr>
                <w:color w:val="000000"/>
                <w:sz w:val="23"/>
                <w:szCs w:val="23"/>
              </w:rPr>
              <w:t xml:space="preserve">), </w:t>
            </w:r>
            <w:r>
              <w:rPr>
                <w:i/>
                <w:iCs/>
                <w:color w:val="000000"/>
                <w:sz w:val="23"/>
                <w:szCs w:val="23"/>
              </w:rPr>
              <w:t xml:space="preserve">Chilo diffusilineus </w:t>
            </w:r>
            <w:r>
              <w:rPr>
                <w:color w:val="000000"/>
                <w:sz w:val="23"/>
                <w:szCs w:val="23"/>
              </w:rPr>
              <w:t>J. de Joannis (</w:t>
            </w:r>
            <w:r>
              <w:rPr>
                <w:i/>
                <w:iCs/>
                <w:color w:val="000000"/>
                <w:sz w:val="23"/>
                <w:szCs w:val="23"/>
              </w:rPr>
              <w:t>Pyralidae</w:t>
            </w:r>
            <w:r>
              <w:rPr>
                <w:color w:val="000000"/>
                <w:sz w:val="23"/>
                <w:szCs w:val="23"/>
              </w:rPr>
              <w:t xml:space="preserve">), </w:t>
            </w:r>
            <w:r>
              <w:rPr>
                <w:i/>
                <w:iCs/>
                <w:color w:val="000000"/>
                <w:sz w:val="23"/>
                <w:szCs w:val="23"/>
              </w:rPr>
              <w:t xml:space="preserve">Chilo aleniellus </w:t>
            </w:r>
            <w:r>
              <w:rPr>
                <w:color w:val="000000"/>
                <w:sz w:val="23"/>
                <w:szCs w:val="23"/>
              </w:rPr>
              <w:t xml:space="preserve">(Strand, </w:t>
            </w:r>
            <w:r>
              <w:rPr>
                <w:i/>
                <w:iCs/>
                <w:color w:val="000000"/>
                <w:sz w:val="23"/>
                <w:szCs w:val="23"/>
              </w:rPr>
              <w:t>Pyralidae</w:t>
            </w:r>
            <w:r>
              <w:rPr>
                <w:color w:val="000000"/>
                <w:sz w:val="23"/>
                <w:szCs w:val="23"/>
              </w:rPr>
              <w:t xml:space="preserve">), </w:t>
            </w:r>
            <w:r>
              <w:rPr>
                <w:i/>
                <w:iCs/>
                <w:color w:val="000000"/>
                <w:sz w:val="23"/>
                <w:szCs w:val="23"/>
              </w:rPr>
              <w:t xml:space="preserve">Scirphaga subumbrosa </w:t>
            </w:r>
            <w:r>
              <w:rPr>
                <w:color w:val="000000"/>
                <w:sz w:val="23"/>
                <w:szCs w:val="23"/>
              </w:rPr>
              <w:t>Meyrick (</w:t>
            </w:r>
            <w:r>
              <w:rPr>
                <w:i/>
                <w:iCs/>
                <w:color w:val="000000"/>
                <w:sz w:val="23"/>
                <w:szCs w:val="23"/>
              </w:rPr>
              <w:t>Pyralidae</w:t>
            </w:r>
            <w:r>
              <w:rPr>
                <w:color w:val="000000"/>
                <w:sz w:val="23"/>
                <w:szCs w:val="23"/>
              </w:rPr>
              <w:t xml:space="preserve">), </w:t>
            </w:r>
            <w:r>
              <w:rPr>
                <w:i/>
                <w:iCs/>
                <w:color w:val="000000"/>
                <w:sz w:val="23"/>
                <w:szCs w:val="23"/>
              </w:rPr>
              <w:t xml:space="preserve">Scirphaga melanoclista </w:t>
            </w:r>
            <w:r>
              <w:rPr>
                <w:color w:val="000000"/>
                <w:sz w:val="23"/>
                <w:szCs w:val="23"/>
              </w:rPr>
              <w:t>Meyrick (</w:t>
            </w:r>
            <w:r>
              <w:rPr>
                <w:i/>
                <w:iCs/>
                <w:color w:val="000000"/>
                <w:sz w:val="23"/>
                <w:szCs w:val="23"/>
              </w:rPr>
              <w:t>Pyralidae</w:t>
            </w:r>
            <w:r>
              <w:rPr>
                <w:color w:val="000000"/>
                <w:sz w:val="23"/>
                <w:szCs w:val="23"/>
              </w:rPr>
              <w:t xml:space="preserve">), </w:t>
            </w:r>
            <w:r>
              <w:rPr>
                <w:i/>
                <w:iCs/>
                <w:color w:val="000000"/>
                <w:sz w:val="23"/>
                <w:szCs w:val="23"/>
              </w:rPr>
              <w:t xml:space="preserve">Sesamia calamistis </w:t>
            </w:r>
            <w:r>
              <w:rPr>
                <w:color w:val="000000"/>
                <w:sz w:val="23"/>
                <w:szCs w:val="23"/>
              </w:rPr>
              <w:t>Hampson (</w:t>
            </w:r>
            <w:r>
              <w:rPr>
                <w:i/>
                <w:iCs/>
                <w:color w:val="000000"/>
                <w:sz w:val="23"/>
                <w:szCs w:val="23"/>
              </w:rPr>
              <w:t>Noctuidae</w:t>
            </w:r>
            <w:r>
              <w:rPr>
                <w:color w:val="000000"/>
                <w:sz w:val="23"/>
                <w:szCs w:val="23"/>
              </w:rPr>
              <w:t xml:space="preserve">), </w:t>
            </w:r>
            <w:r>
              <w:rPr>
                <w:i/>
                <w:iCs/>
                <w:color w:val="000000"/>
                <w:sz w:val="23"/>
                <w:szCs w:val="23"/>
              </w:rPr>
              <w:t xml:space="preserve">Sesamia </w:t>
            </w:r>
            <w:r>
              <w:rPr>
                <w:color w:val="000000"/>
                <w:sz w:val="23"/>
                <w:szCs w:val="23"/>
              </w:rPr>
              <w:t>spp (</w:t>
            </w:r>
            <w:r>
              <w:rPr>
                <w:i/>
                <w:iCs/>
                <w:color w:val="000000"/>
                <w:sz w:val="23"/>
                <w:szCs w:val="23"/>
              </w:rPr>
              <w:t>Noctuidae</w:t>
            </w:r>
            <w:r>
              <w:rPr>
                <w:color w:val="000000"/>
                <w:sz w:val="23"/>
                <w:szCs w:val="23"/>
              </w:rPr>
              <w:t>)</w:t>
            </w:r>
          </w:p>
        </w:tc>
      </w:tr>
      <w:tr>
        <w:tblPrEx/>
        <w:trPr>
          <w:trHeight w:val="227" w:hRule="atLeast"/>
        </w:trPr>
        <w:tc>
          <w:tcPr>
            <w:tcW w:w="2660" w:type="dxa"/>
            <w:gridSpan w:val="2"/>
            <w:vMerge w:val="continue"/>
            <w:tcBorders/>
          </w:tcPr>
          <w:p>
            <w:pPr>
              <w:pStyle w:val="style0"/>
              <w:spacing w:before="0"/>
              <w:rPr>
                <w:sz w:val="23"/>
                <w:szCs w:val="23"/>
              </w:rPr>
            </w:pPr>
          </w:p>
        </w:tc>
        <w:tc>
          <w:tcPr>
            <w:tcW w:w="2410" w:type="dxa"/>
            <w:vMerge w:val="restart"/>
            <w:tcBorders/>
            <w:vAlign w:val="center"/>
          </w:tcPr>
          <w:p>
            <w:pPr>
              <w:pStyle w:val="style0"/>
              <w:spacing w:before="0"/>
              <w:rPr>
                <w:color w:val="000000"/>
                <w:sz w:val="23"/>
                <w:szCs w:val="23"/>
              </w:rPr>
            </w:pPr>
            <w:r>
              <w:rPr>
                <w:color w:val="000000"/>
                <w:sz w:val="23"/>
                <w:szCs w:val="23"/>
              </w:rPr>
              <w:t>Les diptères</w:t>
            </w:r>
          </w:p>
        </w:tc>
        <w:tc>
          <w:tcPr>
            <w:tcW w:w="9148" w:type="dxa"/>
            <w:tcBorders/>
            <w:vAlign w:val="center"/>
          </w:tcPr>
          <w:p>
            <w:pPr>
              <w:pStyle w:val="style0"/>
              <w:spacing w:before="0"/>
              <w:rPr>
                <w:i/>
                <w:iCs/>
                <w:color w:val="000000"/>
                <w:sz w:val="23"/>
                <w:szCs w:val="23"/>
                <w:lang w:val="en-US"/>
              </w:rPr>
            </w:pPr>
            <w:r>
              <w:rPr>
                <w:i/>
                <w:iCs/>
                <w:color w:val="000000"/>
                <w:sz w:val="23"/>
                <w:szCs w:val="23"/>
                <w:lang w:val="en-US"/>
              </w:rPr>
              <w:t xml:space="preserve">Diopisis apicalis </w:t>
            </w:r>
            <w:r>
              <w:rPr>
                <w:color w:val="000000"/>
                <w:sz w:val="23"/>
                <w:szCs w:val="23"/>
                <w:lang w:val="en-US"/>
              </w:rPr>
              <w:t>Dalman (</w:t>
            </w:r>
            <w:r>
              <w:rPr>
                <w:i/>
                <w:iCs/>
                <w:color w:val="000000"/>
                <w:sz w:val="23"/>
                <w:szCs w:val="23"/>
                <w:lang w:val="en-US"/>
              </w:rPr>
              <w:t>Diopsidae</w:t>
            </w:r>
            <w:r>
              <w:rPr>
                <w:color w:val="000000"/>
                <w:sz w:val="23"/>
                <w:szCs w:val="23"/>
                <w:lang w:val="en-US"/>
              </w:rPr>
              <w:t xml:space="preserve">), </w:t>
            </w:r>
            <w:r>
              <w:rPr>
                <w:i/>
                <w:iCs/>
                <w:color w:val="000000"/>
                <w:sz w:val="23"/>
                <w:szCs w:val="23"/>
                <w:lang w:val="en-US"/>
              </w:rPr>
              <w:t xml:space="preserve">Diopsis thoracica </w:t>
            </w:r>
            <w:r>
              <w:rPr>
                <w:color w:val="000000"/>
                <w:sz w:val="23"/>
                <w:szCs w:val="23"/>
                <w:lang w:val="en-US"/>
              </w:rPr>
              <w:t>Westwood (</w:t>
            </w:r>
            <w:r>
              <w:rPr>
                <w:i/>
                <w:iCs/>
                <w:color w:val="000000"/>
                <w:sz w:val="23"/>
                <w:szCs w:val="23"/>
                <w:lang w:val="en-US"/>
              </w:rPr>
              <w:t>Diopsidae)</w:t>
            </w:r>
          </w:p>
        </w:tc>
      </w:tr>
      <w:tr>
        <w:tblPrEx/>
        <w:trPr>
          <w:trHeight w:val="227" w:hRule="atLeast"/>
        </w:trPr>
        <w:tc>
          <w:tcPr>
            <w:tcW w:w="2660" w:type="dxa"/>
            <w:gridSpan w:val="2"/>
            <w:tcBorders/>
            <w:vAlign w:val="center"/>
          </w:tcPr>
          <w:p>
            <w:pPr>
              <w:pStyle w:val="style0"/>
              <w:spacing w:before="0"/>
              <w:rPr>
                <w:bCs/>
                <w:sz w:val="23"/>
                <w:szCs w:val="23"/>
              </w:rPr>
            </w:pPr>
            <w:r>
              <w:rPr>
                <w:bCs/>
                <w:sz w:val="20"/>
                <w:szCs w:val="23"/>
              </w:rPr>
              <w:t xml:space="preserve">La cécidomyie africaine du riz </w:t>
            </w:r>
          </w:p>
        </w:tc>
        <w:tc>
          <w:tcPr>
            <w:tcW w:w="2410" w:type="dxa"/>
            <w:vMerge w:val="continue"/>
            <w:tcBorders/>
            <w:vAlign w:val="center"/>
          </w:tcPr>
          <w:p>
            <w:pPr>
              <w:pStyle w:val="style0"/>
              <w:spacing w:before="0"/>
              <w:rPr>
                <w:sz w:val="23"/>
                <w:szCs w:val="23"/>
              </w:rPr>
            </w:pPr>
          </w:p>
        </w:tc>
        <w:tc>
          <w:tcPr>
            <w:tcW w:w="9148" w:type="dxa"/>
            <w:tcBorders/>
            <w:vAlign w:val="center"/>
          </w:tcPr>
          <w:p>
            <w:pPr>
              <w:pStyle w:val="style0"/>
              <w:spacing w:before="0"/>
              <w:rPr>
                <w:i/>
                <w:iCs/>
                <w:sz w:val="23"/>
                <w:szCs w:val="23"/>
              </w:rPr>
            </w:pPr>
            <w:r>
              <w:rPr>
                <w:i/>
                <w:iCs/>
                <w:sz w:val="23"/>
                <w:szCs w:val="23"/>
              </w:rPr>
              <w:t xml:space="preserve">Orseolia oryzivora </w:t>
            </w:r>
            <w:r>
              <w:rPr>
                <w:sz w:val="23"/>
                <w:szCs w:val="23"/>
              </w:rPr>
              <w:t>Harris et Gagné (</w:t>
            </w:r>
            <w:r>
              <w:rPr>
                <w:i/>
                <w:iCs/>
                <w:sz w:val="23"/>
                <w:szCs w:val="23"/>
              </w:rPr>
              <w:t>Cecidomyiidae</w:t>
            </w:r>
            <w:r>
              <w:rPr>
                <w:sz w:val="23"/>
                <w:szCs w:val="23"/>
              </w:rPr>
              <w:t>)</w:t>
            </w:r>
          </w:p>
        </w:tc>
      </w:tr>
      <w:tr>
        <w:tblPrEx/>
        <w:trPr>
          <w:trHeight w:val="227" w:hRule="atLeast"/>
        </w:trPr>
        <w:tc>
          <w:tcPr>
            <w:tcW w:w="2660" w:type="dxa"/>
            <w:gridSpan w:val="2"/>
            <w:vMerge w:val="restart"/>
            <w:tcBorders/>
            <w:vAlign w:val="center"/>
          </w:tcPr>
          <w:p>
            <w:pPr>
              <w:pStyle w:val="style0"/>
              <w:spacing w:before="0"/>
              <w:rPr>
                <w:bCs/>
                <w:sz w:val="23"/>
                <w:szCs w:val="23"/>
              </w:rPr>
            </w:pPr>
            <w:r>
              <w:rPr>
                <w:bCs/>
                <w:sz w:val="23"/>
                <w:szCs w:val="23"/>
              </w:rPr>
              <w:t>Les maladies foliaires du riz autres que la pyriculariose</w:t>
            </w:r>
          </w:p>
        </w:tc>
        <w:tc>
          <w:tcPr>
            <w:tcW w:w="2410" w:type="dxa"/>
            <w:tcBorders/>
            <w:vAlign w:val="center"/>
          </w:tcPr>
          <w:p>
            <w:pPr>
              <w:pStyle w:val="style0"/>
              <w:spacing w:before="0"/>
              <w:rPr>
                <w:i/>
                <w:iCs/>
                <w:sz w:val="23"/>
                <w:szCs w:val="23"/>
              </w:rPr>
            </w:pPr>
            <w:r>
              <w:rPr>
                <w:sz w:val="21"/>
                <w:szCs w:val="23"/>
              </w:rPr>
              <w:t>Flétrissements de la gaine</w:t>
            </w:r>
          </w:p>
        </w:tc>
        <w:tc>
          <w:tcPr>
            <w:tcW w:w="9148" w:type="dxa"/>
            <w:tcBorders/>
            <w:vAlign w:val="center"/>
          </w:tcPr>
          <w:p>
            <w:pPr>
              <w:pStyle w:val="style0"/>
              <w:spacing w:before="0"/>
              <w:rPr>
                <w:sz w:val="23"/>
                <w:szCs w:val="23"/>
              </w:rPr>
            </w:pPr>
            <w:r>
              <w:rPr>
                <w:i/>
                <w:iCs/>
                <w:sz w:val="23"/>
                <w:szCs w:val="23"/>
              </w:rPr>
              <w:t>Rhizoctonia solani</w:t>
            </w:r>
            <w:r>
              <w:rPr>
                <w:sz w:val="23"/>
                <w:szCs w:val="23"/>
              </w:rPr>
              <w:t xml:space="preserve">, stade parfait </w:t>
            </w:r>
            <w:r>
              <w:rPr>
                <w:i/>
                <w:iCs/>
                <w:sz w:val="23"/>
                <w:szCs w:val="23"/>
              </w:rPr>
              <w:t>Thanatephorus cucmeris</w:t>
            </w:r>
          </w:p>
        </w:tc>
      </w:tr>
      <w:tr>
        <w:tblPrEx/>
        <w:trPr>
          <w:trHeight w:val="227" w:hRule="atLeast"/>
        </w:trPr>
        <w:tc>
          <w:tcPr>
            <w:tcW w:w="2660" w:type="dxa"/>
            <w:gridSpan w:val="2"/>
            <w:vMerge w:val="continue"/>
            <w:tcBorders/>
          </w:tcPr>
          <w:p>
            <w:pPr>
              <w:pStyle w:val="style0"/>
              <w:spacing w:before="0"/>
              <w:rPr>
                <w:bCs/>
                <w:sz w:val="23"/>
                <w:szCs w:val="23"/>
              </w:rPr>
            </w:pPr>
          </w:p>
        </w:tc>
        <w:tc>
          <w:tcPr>
            <w:tcW w:w="2410" w:type="dxa"/>
            <w:tcBorders/>
            <w:vAlign w:val="center"/>
          </w:tcPr>
          <w:p>
            <w:pPr>
              <w:pStyle w:val="style0"/>
              <w:spacing w:before="0"/>
              <w:rPr>
                <w:i/>
                <w:iCs/>
                <w:sz w:val="23"/>
                <w:szCs w:val="23"/>
              </w:rPr>
            </w:pPr>
            <w:r>
              <w:rPr>
                <w:sz w:val="23"/>
                <w:szCs w:val="23"/>
              </w:rPr>
              <w:t>Helminthosporiose</w:t>
            </w:r>
          </w:p>
        </w:tc>
        <w:tc>
          <w:tcPr>
            <w:tcW w:w="9148" w:type="dxa"/>
            <w:tcBorders/>
            <w:vAlign w:val="center"/>
          </w:tcPr>
          <w:p>
            <w:pPr>
              <w:pStyle w:val="style0"/>
              <w:spacing w:before="0"/>
              <w:rPr>
                <w:i/>
                <w:iCs/>
                <w:sz w:val="23"/>
                <w:szCs w:val="23"/>
                <w:lang w:val="pt-BR"/>
              </w:rPr>
            </w:pPr>
            <w:r>
              <w:rPr>
                <w:i/>
                <w:iCs/>
                <w:sz w:val="23"/>
                <w:szCs w:val="23"/>
                <w:lang w:val="pt-BR"/>
              </w:rPr>
              <w:t>Bipolaris oryzae (Breda de Haan) Schoem (syn. H. oryzae Breda de Haan)</w:t>
            </w:r>
          </w:p>
        </w:tc>
      </w:tr>
      <w:tr>
        <w:tblPrEx/>
        <w:trPr>
          <w:trHeight w:val="227" w:hRule="atLeast"/>
        </w:trPr>
        <w:tc>
          <w:tcPr>
            <w:tcW w:w="2660" w:type="dxa"/>
            <w:gridSpan w:val="2"/>
            <w:vMerge w:val="continue"/>
            <w:tcBorders/>
          </w:tcPr>
          <w:p>
            <w:pPr>
              <w:pStyle w:val="style0"/>
              <w:spacing w:before="0"/>
              <w:rPr>
                <w:bCs/>
                <w:sz w:val="23"/>
                <w:szCs w:val="23"/>
                <w:lang w:val="pt-BR"/>
              </w:rPr>
            </w:pPr>
          </w:p>
        </w:tc>
        <w:tc>
          <w:tcPr>
            <w:tcW w:w="2410" w:type="dxa"/>
            <w:tcBorders/>
            <w:vAlign w:val="center"/>
          </w:tcPr>
          <w:p>
            <w:pPr>
              <w:pStyle w:val="style0"/>
              <w:spacing w:before="0"/>
              <w:rPr>
                <w:i/>
                <w:iCs/>
                <w:sz w:val="23"/>
                <w:szCs w:val="23"/>
              </w:rPr>
            </w:pPr>
            <w:r>
              <w:rPr>
                <w:bCs/>
                <w:sz w:val="23"/>
                <w:szCs w:val="23"/>
              </w:rPr>
              <w:t>Rhynchosporiose</w:t>
            </w:r>
          </w:p>
        </w:tc>
        <w:tc>
          <w:tcPr>
            <w:tcW w:w="9148" w:type="dxa"/>
            <w:tcBorders/>
            <w:vAlign w:val="center"/>
          </w:tcPr>
          <w:p>
            <w:pPr>
              <w:pStyle w:val="style0"/>
              <w:spacing w:before="0"/>
              <w:rPr>
                <w:i/>
                <w:iCs/>
                <w:sz w:val="23"/>
                <w:szCs w:val="23"/>
              </w:rPr>
            </w:pPr>
            <w:r>
              <w:rPr>
                <w:i/>
                <w:iCs/>
                <w:sz w:val="23"/>
                <w:szCs w:val="23"/>
              </w:rPr>
              <w:t>Gerlachia oryzea (</w:t>
            </w:r>
            <w:r>
              <w:rPr>
                <w:sz w:val="23"/>
                <w:szCs w:val="23"/>
              </w:rPr>
              <w:t>Yoko</w:t>
            </w:r>
            <w:r>
              <w:rPr>
                <w:i/>
                <w:iCs/>
                <w:sz w:val="23"/>
                <w:szCs w:val="23"/>
              </w:rPr>
              <w:t xml:space="preserve">) </w:t>
            </w:r>
            <w:r>
              <w:rPr>
                <w:sz w:val="23"/>
                <w:szCs w:val="23"/>
              </w:rPr>
              <w:t xml:space="preserve">W.Gams et Muller, stade parfait </w:t>
            </w:r>
            <w:r>
              <w:rPr>
                <w:i/>
                <w:iCs/>
                <w:sz w:val="23"/>
                <w:szCs w:val="23"/>
              </w:rPr>
              <w:t xml:space="preserve">Monographella albescens </w:t>
            </w:r>
            <w:r>
              <w:rPr>
                <w:sz w:val="23"/>
                <w:szCs w:val="23"/>
              </w:rPr>
              <w:t>(Thum). Parkinson Svanesan et Booth</w:t>
            </w:r>
          </w:p>
        </w:tc>
      </w:tr>
      <w:tr>
        <w:tblPrEx/>
        <w:trPr>
          <w:trHeight w:val="227" w:hRule="atLeast"/>
        </w:trPr>
        <w:tc>
          <w:tcPr>
            <w:tcW w:w="2660" w:type="dxa"/>
            <w:gridSpan w:val="2"/>
            <w:tcBorders/>
          </w:tcPr>
          <w:p>
            <w:pPr>
              <w:pStyle w:val="style0"/>
              <w:spacing w:before="0"/>
              <w:rPr>
                <w:bCs/>
                <w:sz w:val="23"/>
                <w:szCs w:val="23"/>
              </w:rPr>
            </w:pPr>
          </w:p>
        </w:tc>
        <w:tc>
          <w:tcPr>
            <w:tcW w:w="2410" w:type="dxa"/>
            <w:tcBorders/>
            <w:vAlign w:val="center"/>
          </w:tcPr>
          <w:p>
            <w:pPr>
              <w:pStyle w:val="style0"/>
              <w:spacing w:before="0"/>
              <w:rPr>
                <w:bCs/>
                <w:sz w:val="23"/>
                <w:szCs w:val="23"/>
              </w:rPr>
            </w:pPr>
            <w:r>
              <w:rPr>
                <w:bCs/>
                <w:sz w:val="23"/>
                <w:szCs w:val="23"/>
              </w:rPr>
              <w:t>Pyriculariose</w:t>
            </w:r>
          </w:p>
        </w:tc>
        <w:tc>
          <w:tcPr>
            <w:tcW w:w="9148" w:type="dxa"/>
            <w:tcBorders/>
            <w:vAlign w:val="center"/>
          </w:tcPr>
          <w:p>
            <w:pPr>
              <w:pStyle w:val="style0"/>
              <w:spacing w:before="0"/>
              <w:rPr>
                <w:i/>
                <w:iCs/>
                <w:sz w:val="23"/>
                <w:szCs w:val="23"/>
              </w:rPr>
            </w:pPr>
            <w:r>
              <w:rPr>
                <w:i/>
                <w:iCs/>
                <w:sz w:val="23"/>
                <w:szCs w:val="23"/>
              </w:rPr>
              <w:t xml:space="preserve">Pyricularia grisea </w:t>
            </w:r>
            <w:r>
              <w:rPr>
                <w:sz w:val="23"/>
                <w:szCs w:val="23"/>
              </w:rPr>
              <w:t xml:space="preserve">Syn. </w:t>
            </w:r>
            <w:r>
              <w:rPr>
                <w:i/>
                <w:iCs/>
                <w:sz w:val="23"/>
                <w:szCs w:val="23"/>
              </w:rPr>
              <w:t>magnaporte oryzea</w:t>
            </w:r>
          </w:p>
        </w:tc>
      </w:tr>
      <w:tr>
        <w:tblPrEx/>
        <w:trPr>
          <w:trHeight w:val="227" w:hRule="atLeast"/>
        </w:trPr>
        <w:tc>
          <w:tcPr>
            <w:tcW w:w="5070" w:type="dxa"/>
            <w:gridSpan w:val="3"/>
            <w:tcBorders/>
            <w:vAlign w:val="center"/>
          </w:tcPr>
          <w:p>
            <w:pPr>
              <w:pStyle w:val="style0"/>
              <w:spacing w:before="0"/>
              <w:rPr>
                <w:bCs/>
                <w:sz w:val="23"/>
                <w:szCs w:val="23"/>
              </w:rPr>
            </w:pPr>
            <w:r>
              <w:rPr>
                <w:bCs/>
                <w:iCs/>
                <w:sz w:val="23"/>
                <w:szCs w:val="23"/>
              </w:rPr>
              <w:t>Les nématodes</w:t>
            </w:r>
            <w:r>
              <w:rPr>
                <w:bCs/>
                <w:i/>
                <w:iCs/>
                <w:sz w:val="23"/>
                <w:szCs w:val="23"/>
              </w:rPr>
              <w:t xml:space="preserve"> (Tylenchida) </w:t>
            </w:r>
            <w:r>
              <w:rPr>
                <w:bCs/>
                <w:sz w:val="23"/>
                <w:szCs w:val="23"/>
              </w:rPr>
              <w:t>du Riz</w:t>
            </w:r>
          </w:p>
        </w:tc>
        <w:tc>
          <w:tcPr>
            <w:tcW w:w="9148" w:type="dxa"/>
            <w:tcBorders/>
            <w:vAlign w:val="center"/>
          </w:tcPr>
          <w:p>
            <w:pPr>
              <w:pStyle w:val="style0"/>
              <w:spacing w:before="0"/>
              <w:rPr>
                <w:sz w:val="23"/>
                <w:szCs w:val="23"/>
              </w:rPr>
            </w:pPr>
            <w:r>
              <w:rPr>
                <w:i/>
                <w:iCs/>
                <w:sz w:val="23"/>
                <w:szCs w:val="23"/>
              </w:rPr>
              <w:t xml:space="preserve">Hirschmanniella spinicaudata </w:t>
            </w:r>
            <w:r>
              <w:rPr>
                <w:sz w:val="23"/>
                <w:szCs w:val="23"/>
              </w:rPr>
              <w:t xml:space="preserve">(Schuurmans Stekhoven, 1944) Luc and Goodey, 1963 et </w:t>
            </w:r>
            <w:r>
              <w:rPr>
                <w:i/>
                <w:iCs/>
                <w:sz w:val="23"/>
                <w:szCs w:val="23"/>
              </w:rPr>
              <w:t xml:space="preserve">Hirschmanniella oryzae </w:t>
            </w:r>
            <w:r>
              <w:rPr>
                <w:sz w:val="23"/>
                <w:szCs w:val="23"/>
              </w:rPr>
              <w:t>(Van Breda de Haan, 1902) Luc and Goodey, 1963.</w:t>
            </w:r>
          </w:p>
        </w:tc>
      </w:tr>
      <w:bookmarkStart w:id="200" w:name="_Toc283352221"/>
      <w:bookmarkStart w:id="201" w:name="_Toc283547421"/>
      <w:bookmarkStart w:id="202" w:name="_Toc284184066"/>
      <w:bookmarkStart w:id="203" w:name="_Toc284397445"/>
      <w:bookmarkStart w:id="204" w:name="_Toc284400623"/>
      <w:bookmarkStart w:id="205" w:name="_Toc295903006"/>
      <w:bookmarkStart w:id="206" w:name="_Toc377745892"/>
      <w:bookmarkStart w:id="207" w:name="_Toc380136337"/>
      <w:bookmarkStart w:id="208" w:name="_Toc380136657"/>
      <w:bookmarkStart w:id="209" w:name="_Toc380230487"/>
      <w:bookmarkStart w:id="210" w:name="_Toc381371829"/>
      <w:bookmarkStart w:id="211" w:name="_Toc383563144"/>
      <w:bookmarkStart w:id="212" w:name="_Toc383570655"/>
      <w:bookmarkStart w:id="213" w:name="_Toc383608288"/>
      <w:bookmarkStart w:id="214" w:name="_Toc385280104"/>
      <w:bookmarkStart w:id="215" w:name="_Toc408576098"/>
      <w:bookmarkStart w:id="216" w:name="_Toc408738496"/>
      <w:bookmarkStart w:id="217" w:name="_Toc411356613"/>
      <w:bookmarkStart w:id="218" w:name="_Toc412712843"/>
      <w:bookmarkStart w:id="219" w:name="_Toc412731878"/>
      <w:bookmarkStart w:id="220" w:name="_Toc412732262"/>
      <w:bookmarkStart w:id="221" w:name="_Toc416626204"/>
      <w:bookmarkStart w:id="222" w:name="_Toc418648010"/>
      <w:bookmarkStart w:id="223" w:name="_Toc418662679"/>
      <w:bookmarkStart w:id="224" w:name="_Toc418672806"/>
      <w:bookmarkStart w:id="225" w:name="_Toc418673845"/>
      <w:bookmarkStart w:id="226" w:name="_Toc422066468"/>
      <w:tr>
        <w:tblPrEx/>
        <w:trPr>
          <w:trHeight w:val="227" w:hRule="atLeast"/>
        </w:trPr>
        <w:tc>
          <w:tcPr>
            <w:tcW w:w="5070" w:type="dxa"/>
            <w:gridSpan w:val="3"/>
            <w:tcBorders/>
            <w:vAlign w:val="center"/>
          </w:tcPr>
          <w:p>
            <w:pPr>
              <w:pStyle w:val="style0"/>
              <w:spacing w:before="0"/>
              <w:rPr>
                <w:rFonts w:eastAsia="Calibri"/>
                <w:sz w:val="23"/>
                <w:szCs w:val="23"/>
              </w:rPr>
            </w:pPr>
            <w:r>
              <w:rPr>
                <w:sz w:val="23"/>
                <w:szCs w:val="23"/>
              </w:rPr>
              <w:t xml:space="preserve">La panachure jaune du riz </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Pr>
                <w:sz w:val="23"/>
                <w:szCs w:val="23"/>
              </w:rPr>
              <w:t>(maladie virale)</w:t>
            </w:r>
          </w:p>
        </w:tc>
        <w:tc>
          <w:tcPr>
            <w:tcW w:w="9148" w:type="dxa"/>
            <w:tcBorders/>
            <w:vAlign w:val="center"/>
          </w:tcPr>
          <w:p>
            <w:pPr>
              <w:pStyle w:val="style0"/>
              <w:spacing w:before="0"/>
              <w:rPr>
                <w:i/>
                <w:iCs/>
                <w:sz w:val="23"/>
                <w:szCs w:val="23"/>
                <w:lang w:val="en-US"/>
              </w:rPr>
            </w:pPr>
            <w:r>
              <w:rPr>
                <w:i/>
                <w:sz w:val="23"/>
                <w:szCs w:val="23"/>
                <w:lang w:val="en-US"/>
              </w:rPr>
              <w:t>Rice yellow mottle virus</w:t>
            </w:r>
            <w:r>
              <w:rPr>
                <w:sz w:val="23"/>
                <w:szCs w:val="23"/>
                <w:lang w:val="en-US"/>
              </w:rPr>
              <w:t xml:space="preserve"> (RYMV)</w:t>
            </w:r>
          </w:p>
        </w:tc>
      </w:tr>
      <w:tr>
        <w:tblPrEx/>
        <w:trPr>
          <w:trHeight w:val="227" w:hRule="atLeast"/>
        </w:trPr>
        <w:tc>
          <w:tcPr>
            <w:tcW w:w="2535" w:type="dxa"/>
            <w:tcBorders/>
            <w:vAlign w:val="center"/>
          </w:tcPr>
          <w:p>
            <w:pPr>
              <w:pStyle w:val="style0"/>
              <w:spacing w:before="0"/>
              <w:rPr>
                <w:sz w:val="23"/>
                <w:szCs w:val="23"/>
              </w:rPr>
            </w:pPr>
            <w:r>
              <w:rPr>
                <w:bCs/>
                <w:sz w:val="23"/>
                <w:szCs w:val="23"/>
              </w:rPr>
              <w:t>Les oiseaux nuisibles</w:t>
            </w:r>
          </w:p>
        </w:tc>
        <w:tc>
          <w:tcPr>
            <w:tcW w:w="2535" w:type="dxa"/>
            <w:gridSpan w:val="2"/>
            <w:tcBorders/>
            <w:vAlign w:val="center"/>
          </w:tcPr>
          <w:p>
            <w:pPr>
              <w:pStyle w:val="style0"/>
              <w:spacing w:before="0"/>
              <w:rPr>
                <w:sz w:val="23"/>
                <w:szCs w:val="23"/>
              </w:rPr>
            </w:pPr>
            <w:r>
              <w:rPr>
                <w:bCs/>
                <w:sz w:val="23"/>
                <w:szCs w:val="23"/>
              </w:rPr>
              <w:t>Les oiseaux granivores</w:t>
            </w:r>
          </w:p>
        </w:tc>
        <w:tc>
          <w:tcPr>
            <w:tcW w:w="9148" w:type="dxa"/>
            <w:tcBorders/>
            <w:vAlign w:val="center"/>
          </w:tcPr>
          <w:p>
            <w:pPr>
              <w:pStyle w:val="style0"/>
              <w:spacing w:before="0"/>
              <w:rPr>
                <w:i/>
                <w:sz w:val="23"/>
                <w:szCs w:val="23"/>
              </w:rPr>
            </w:pPr>
            <w:r>
              <w:rPr>
                <w:bCs/>
                <w:i/>
                <w:sz w:val="23"/>
                <w:szCs w:val="23"/>
              </w:rPr>
              <w:t>Ploceus cucullatus</w:t>
            </w:r>
            <w:r>
              <w:rPr>
                <w:bCs/>
                <w:sz w:val="23"/>
                <w:szCs w:val="23"/>
              </w:rPr>
              <w:t xml:space="preserve">, </w:t>
            </w:r>
            <w:r>
              <w:rPr>
                <w:bCs/>
                <w:i/>
                <w:sz w:val="23"/>
                <w:szCs w:val="23"/>
              </w:rPr>
              <w:t>Perruche krameri</w:t>
            </w:r>
            <w:r>
              <w:rPr>
                <w:bCs/>
                <w:i/>
                <w:sz w:val="23"/>
                <w:szCs w:val="23"/>
              </w:rPr>
              <w:t>, Quelea quelea, Passer luteus</w:t>
            </w:r>
          </w:p>
        </w:tc>
      </w:tr>
    </w:tbl>
    <w:p>
      <w:pPr>
        <w:pStyle w:val="style0"/>
        <w:spacing w:before="0"/>
        <w:rPr>
          <w:rFonts w:cs="Arial"/>
          <w:b/>
          <w:bCs/>
        </w:rPr>
      </w:pPr>
    </w:p>
    <w:p>
      <w:pPr>
        <w:pStyle w:val="style0"/>
        <w:rPr>
          <w:rFonts w:cs="Arial"/>
          <w:bCs/>
          <w:sz w:val="20"/>
        </w:rPr>
      </w:pPr>
      <w:r>
        <w:rPr>
          <w:rFonts w:cs="Arial"/>
          <w:bCs/>
          <w:sz w:val="20"/>
        </w:rPr>
        <w:t xml:space="preserve">Photo </w:t>
      </w:r>
      <w:r>
        <w:rPr>
          <w:rFonts w:cs="Arial"/>
          <w:bCs/>
          <w:sz w:val="20"/>
        </w:rPr>
        <w:t>1</w:t>
      </w:r>
      <w:r>
        <w:rPr>
          <w:rFonts w:cs="Arial"/>
          <w:bCs/>
          <w:sz w:val="20"/>
        </w:rPr>
        <w:t xml:space="preserve">: Mouche de tiges de riz           Photo </w:t>
      </w:r>
      <w:r>
        <w:rPr>
          <w:rFonts w:cs="Arial"/>
          <w:bCs/>
          <w:sz w:val="20"/>
        </w:rPr>
        <w:t>2</w:t>
      </w:r>
      <w:r>
        <w:rPr>
          <w:rFonts w:cs="Arial"/>
          <w:bCs/>
          <w:sz w:val="20"/>
        </w:rPr>
        <w:t> : Pyriculariose foliaire (variante)</w:t>
      </w:r>
      <w:r>
        <w:rPr>
          <w:rFonts w:cs="Arial"/>
          <w:bCs/>
          <w:sz w:val="20"/>
        </w:rPr>
        <w:t xml:space="preserve"> du riz</w:t>
      </w:r>
      <w:r>
        <w:rPr>
          <w:rFonts w:cs="Arial"/>
          <w:bCs/>
          <w:sz w:val="20"/>
        </w:rPr>
        <w:t xml:space="preserve">                Photo </w:t>
      </w:r>
      <w:r>
        <w:rPr>
          <w:rFonts w:cs="Arial"/>
          <w:bCs/>
          <w:sz w:val="20"/>
        </w:rPr>
        <w:t>3</w:t>
      </w:r>
      <w:r>
        <w:rPr>
          <w:rFonts w:cs="Arial"/>
          <w:bCs/>
          <w:sz w:val="20"/>
        </w:rPr>
        <w:t> : Mosaïque jaune du riz</w:t>
      </w:r>
    </w:p>
    <w:p>
      <w:pPr>
        <w:pStyle w:val="style0"/>
        <w:spacing w:before="0"/>
        <w:rPr>
          <w:rFonts w:cs="Arial"/>
          <w:b/>
          <w:bCs/>
        </w:rPr>
      </w:pPr>
      <w:r>
        <w:rPr>
          <w:rFonts w:cs="Arial"/>
          <w:b/>
          <w:noProof/>
          <w:lang w:eastAsia="fr-FR"/>
        </w:rPr>
        <w:drawing>
          <wp:inline distT="0" distR="0" distL="0" distB="0">
            <wp:extent cx="1549400" cy="1739900"/>
            <wp:effectExtent l="0" t="0" r="0" b="12700"/>
            <wp:docPr id="1033" name="Imag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8"/>
                    <pic:cNvPicPr/>
                  </pic:nvPicPr>
                  <pic:blipFill>
                    <a:blip r:embed="rId10" cstate="print"/>
                    <a:srcRect l="0" t="0" r="0" b="0"/>
                    <a:stretch/>
                  </pic:blipFill>
                  <pic:spPr>
                    <a:xfrm rot="0">
                      <a:off x="0" y="0"/>
                      <a:ext cx="1549400" cy="1739900"/>
                    </a:xfrm>
                    <a:prstGeom prst="rect"/>
                    <a:ln>
                      <a:noFill/>
                    </a:ln>
                  </pic:spPr>
                </pic:pic>
              </a:graphicData>
            </a:graphic>
          </wp:inline>
        </w:drawing>
      </w:r>
      <w:r>
        <w:rPr>
          <w:rFonts w:cs="Arial"/>
          <w:b/>
          <w:bCs/>
        </w:rPr>
        <w:t xml:space="preserve">                   </w:t>
      </w:r>
      <w:r>
        <w:rPr>
          <w:rFonts w:cs="Arial"/>
          <w:b/>
          <w:noProof/>
          <w:lang w:eastAsia="fr-FR"/>
        </w:rPr>
        <w:drawing>
          <wp:inline distT="0" distR="0" distL="0" distB="0">
            <wp:extent cx="2108200" cy="1651000"/>
            <wp:effectExtent l="0" t="0" r="0" b="0"/>
            <wp:docPr id="1034" name="Imag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7"/>
                    <pic:cNvPicPr/>
                  </pic:nvPicPr>
                  <pic:blipFill>
                    <a:blip r:embed="rId11" cstate="print"/>
                    <a:srcRect l="0" t="0" r="0" b="0"/>
                    <a:stretch/>
                  </pic:blipFill>
                  <pic:spPr>
                    <a:xfrm rot="0">
                      <a:off x="0" y="0"/>
                      <a:ext cx="2108200" cy="1651000"/>
                    </a:xfrm>
                    <a:prstGeom prst="rect"/>
                    <a:ln>
                      <a:noFill/>
                    </a:ln>
                  </pic:spPr>
                </pic:pic>
              </a:graphicData>
            </a:graphic>
          </wp:inline>
        </w:drawing>
      </w:r>
      <w:r>
        <w:rPr>
          <w:rFonts w:cs="Arial"/>
          <w:b/>
          <w:bCs/>
        </w:rPr>
        <w:t xml:space="preserve">              </w:t>
      </w:r>
      <w:r>
        <w:rPr>
          <w:noProof/>
          <w:lang w:eastAsia="fr-FR"/>
        </w:rPr>
        <w:drawing>
          <wp:inline distT="0" distR="0" distL="0" distB="0">
            <wp:extent cx="2108200" cy="1549400"/>
            <wp:effectExtent l="0" t="0" r="0" b="0"/>
            <wp:docPr id="1035" name="Imag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3"/>
                    <pic:cNvPicPr/>
                  </pic:nvPicPr>
                  <pic:blipFill>
                    <a:blip r:embed="rId12" cstate="print"/>
                    <a:srcRect l="0" t="0" r="0" b="0"/>
                    <a:stretch/>
                  </pic:blipFill>
                  <pic:spPr>
                    <a:xfrm rot="0">
                      <a:off x="0" y="0"/>
                      <a:ext cx="2108200" cy="1549400"/>
                    </a:xfrm>
                    <a:prstGeom prst="rect"/>
                    <a:ln>
                      <a:noFill/>
                    </a:ln>
                  </pic:spPr>
                </pic:pic>
              </a:graphicData>
            </a:graphic>
          </wp:inline>
        </w:drawing>
      </w:r>
    </w:p>
    <w:p>
      <w:pPr>
        <w:pStyle w:val="style0"/>
        <w:spacing w:lineRule="auto" w:line="276"/>
        <w:rPr>
          <w:sz w:val="23"/>
          <w:szCs w:val="23"/>
        </w:rPr>
      </w:pPr>
    </w:p>
    <w:bookmarkStart w:id="227" w:name="_Toc260213"/>
    <w:p>
      <w:pPr>
        <w:pStyle w:val="style34"/>
        <w:rPr>
          <w:sz w:val="23"/>
          <w:szCs w:val="23"/>
        </w:rPr>
      </w:pPr>
      <w:r>
        <w:rPr>
          <w:sz w:val="20"/>
          <w:szCs w:val="20"/>
        </w:rPr>
        <w:t xml:space="preserve">Tableau </w:t>
      </w:r>
      <w:r>
        <w:rPr>
          <w:sz w:val="20"/>
          <w:szCs w:val="20"/>
        </w:rPr>
        <w:fldChar w:fldCharType="begin"/>
      </w:r>
      <w:r>
        <w:rPr>
          <w:sz w:val="20"/>
          <w:szCs w:val="20"/>
        </w:rPr>
        <w:instrText xml:space="preserve"> </w:instrText>
      </w:r>
      <w:r>
        <w:rPr>
          <w:sz w:val="20"/>
          <w:szCs w:val="20"/>
        </w:rPr>
        <w:instrText>SEQ</w:instrText>
      </w:r>
      <w:r>
        <w:rPr>
          <w:sz w:val="20"/>
          <w:szCs w:val="20"/>
        </w:rPr>
        <w:instrText xml:space="preserve"> Tableau \* ARABIC </w:instrText>
      </w:r>
      <w:r>
        <w:rPr>
          <w:sz w:val="20"/>
          <w:szCs w:val="20"/>
        </w:rPr>
        <w:fldChar w:fldCharType="separate"/>
      </w:r>
      <w:r>
        <w:rPr>
          <w:noProof/>
          <w:sz w:val="20"/>
          <w:szCs w:val="20"/>
        </w:rPr>
        <w:t>6</w:t>
      </w:r>
      <w:r>
        <w:rPr>
          <w:sz w:val="20"/>
          <w:szCs w:val="20"/>
        </w:rPr>
        <w:fldChar w:fldCharType="end"/>
      </w:r>
      <w:r>
        <w:rPr>
          <w:rFonts w:eastAsia="Calibri"/>
          <w:i/>
          <w:iCs/>
          <w:color w:val="1f497d"/>
          <w:sz w:val="20"/>
          <w:szCs w:val="20"/>
        </w:rPr>
        <w:t xml:space="preserve"> : </w:t>
      </w:r>
      <w:r>
        <w:rPr>
          <w:rFonts w:eastAsia="Calibri"/>
          <w:i/>
          <w:iCs/>
          <w:color w:val="1f497d"/>
          <w:sz w:val="20"/>
          <w:szCs w:val="20"/>
        </w:rPr>
        <w:t>Déprédateurs et agents pathogènes du maïs</w:t>
      </w:r>
      <w:bookmarkEnd w:id="227"/>
      <w:r>
        <w:rPr>
          <w:rFonts w:eastAsia="Calibri"/>
          <w:i/>
          <w:iCs/>
          <w:color w:val="1f497d"/>
          <w:sz w:val="20"/>
          <w:szCs w:val="20"/>
        </w:rPr>
        <w:t xml:space="preserve"> </w:t>
      </w:r>
    </w:p>
    <w:p>
      <w:pPr>
        <w:pStyle w:val="style0"/>
        <w:spacing w:lineRule="auto" w:line="276"/>
        <w:rPr>
          <w:b/>
          <w:sz w:val="23"/>
          <w:szCs w:val="23"/>
        </w:rPr>
      </w:pPr>
      <w:r>
        <w:rPr>
          <w:noProof/>
          <w:lang w:eastAsia="fr-FR"/>
        </w:rPr>
        <mc:AlternateContent>
          <mc:Choice Requires="wps">
            <w:drawing>
              <wp:anchor distT="0" distB="0" distL="114300" distR="114300" simplePos="false" relativeHeight="8" behindDoc="false" locked="false" layoutInCell="true" allowOverlap="true">
                <wp:simplePos x="0" y="0"/>
                <wp:positionH relativeFrom="column">
                  <wp:posOffset>7753985</wp:posOffset>
                </wp:positionH>
                <wp:positionV relativeFrom="paragraph">
                  <wp:posOffset>299720</wp:posOffset>
                </wp:positionV>
                <wp:extent cx="1679575" cy="1597025"/>
                <wp:effectExtent l="0" t="0" r="22225" b="3175"/>
                <wp:wrapSquare wrapText="bothSides"/>
                <wp:docPr id="1036" name="Zone de texte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79575" cy="1597025"/>
                        </a:xfrm>
                        <a:prstGeom prst="rect"/>
                        <a:ln>
                          <a:noFill/>
                        </a:ln>
                      </wps:spPr>
                      <wps:txbx id="1036">
                        <w:txbxContent>
                          <w:p>
                            <w:pPr>
                              <w:pStyle w:val="style0"/>
                              <w:jc w:val="center"/>
                              <w:rPr/>
                            </w:pPr>
                            <w:r>
                              <w:rPr>
                                <w:noProof/>
                                <w:lang w:eastAsia="fr-FR"/>
                              </w:rPr>
                              <w:drawing>
                                <wp:inline distT="0" distR="0" distL="0" distB="0">
                                  <wp:extent cx="1117600" cy="749300"/>
                                  <wp:effectExtent l="25400" t="25400" r="25400" b="38100"/>
                                  <wp:docPr id="2050" name="Imag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15"/>
                                          <pic:cNvPicPr/>
                                        </pic:nvPicPr>
                                        <pic:blipFill>
                                          <a:blip r:embed="rId13" cstate="print"/>
                                          <a:srcRect l="0" t="0" r="0" b="0"/>
                                          <a:stretch/>
                                        </pic:blipFill>
                                        <pic:spPr>
                                          <a:xfrm rot="0">
                                            <a:off x="0" y="0"/>
                                            <a:ext cx="1117600" cy="749300"/>
                                          </a:xfrm>
                                          <a:prstGeom prst="rect"/>
                                          <a:ln cmpd="sng" cap="flat" w="12700">
                                            <a:solidFill>
                                              <a:srgbClr val="000000"/>
                                            </a:solidFill>
                                            <a:prstDash val="solid"/>
                                            <a:miter/>
                                            <a:headEnd len="med" type="none" w="med"/>
                                            <a:tailEnd len="med" type="none" w="med"/>
                                          </a:ln>
                                        </pic:spPr>
                                      </pic:pic>
                                    </a:graphicData>
                                  </a:graphic>
                                </wp:inline>
                              </w:drawing>
                            </w:r>
                          </w:p>
                          <w:p>
                            <w:pPr>
                              <w:pStyle w:val="style0"/>
                              <w:rPr/>
                            </w:pPr>
                            <w:r>
                              <w:t>Pourriture charbonneuse</w:t>
                            </w:r>
                          </w:p>
                        </w:txbxContent>
                      </wps:txbx>
                      <wps:bodyPr lIns="0" rIns="0" tIns="0" bIns="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6" filled="f" stroked="f" style="position:absolute;margin-left:610.55pt;margin-top:23.6pt;width:132.25pt;height:125.75pt;z-index:8;mso-position-horizontal-relative:text;mso-position-vertical-relative:text;mso-width-percent:0;mso-height-percent:0;mso-width-relative:margin;mso-height-relative:margin;visibility:visible;">
                <v:stroke on="f"/>
                <w10:wrap type="square"/>
                <v:fill/>
                <v:textbox inset="0.0pt,0.0pt,0.0pt,0.0pt">
                  <w:txbxContent>
                    <w:p>
                      <w:pPr>
                        <w:pStyle w:val="style0"/>
                        <w:jc w:val="center"/>
                        <w:rPr/>
                      </w:pPr>
                      <w:r>
                        <w:rPr>
                          <w:noProof/>
                          <w:lang w:eastAsia="fr-FR"/>
                        </w:rPr>
                        <w:drawing>
                          <wp:inline distT="0" distR="0" distL="0" distB="0">
                            <wp:extent cx="1117600" cy="749300"/>
                            <wp:effectExtent l="25400" t="25400" r="25400" b="38100"/>
                            <wp:docPr id="2050" name="Imag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15"/>
                                    <pic:cNvPicPr/>
                                  </pic:nvPicPr>
                                  <pic:blipFill>
                                    <a:blip r:embed="rId13" cstate="print"/>
                                    <a:srcRect l="0" t="0" r="0" b="0"/>
                                    <a:stretch/>
                                  </pic:blipFill>
                                  <pic:spPr>
                                    <a:xfrm rot="0">
                                      <a:off x="0" y="0"/>
                                      <a:ext cx="1117600" cy="749300"/>
                                    </a:xfrm>
                                    <a:prstGeom prst="rect"/>
                                    <a:ln cmpd="sng" cap="flat" w="12700">
                                      <a:solidFill>
                                        <a:srgbClr val="000000"/>
                                      </a:solidFill>
                                      <a:prstDash val="solid"/>
                                      <a:miter/>
                                      <a:headEnd len="med" type="none" w="med"/>
                                      <a:tailEnd len="med" type="none" w="med"/>
                                    </a:ln>
                                  </pic:spPr>
                                </pic:pic>
                              </a:graphicData>
                            </a:graphic>
                          </wp:inline>
                        </w:drawing>
                      </w:r>
                    </w:p>
                    <w:p>
                      <w:pPr>
                        <w:pStyle w:val="style0"/>
                        <w:rPr/>
                      </w:pPr>
                      <w:r>
                        <w:t>Pourriture charbonneuse</w:t>
                      </w:r>
                    </w:p>
                  </w:txbxContent>
                </v:textbox>
              </v:rect>
            </w:pict>
          </mc:Fallback>
        </mc:AlternateContent>
      </w:r>
      <w:r>
        <w:rPr>
          <w:rFonts w:eastAsia="Calibri"/>
          <w:i/>
          <w:iCs/>
          <w:color w:val="1f497d"/>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62"/>
        <w:gridCol w:w="2465"/>
        <w:gridCol w:w="6749"/>
      </w:tblGrid>
      <w:tr>
        <w:trPr/>
        <w:tc>
          <w:tcPr>
            <w:tcW w:w="5027" w:type="dxa"/>
            <w:gridSpan w:val="2"/>
            <w:tcBorders/>
          </w:tcPr>
          <w:p>
            <w:pPr>
              <w:pStyle w:val="style0"/>
              <w:spacing w:before="0"/>
              <w:rPr>
                <w:sz w:val="23"/>
                <w:szCs w:val="23"/>
              </w:rPr>
            </w:pPr>
            <w:r>
              <w:rPr>
                <w:sz w:val="23"/>
                <w:szCs w:val="23"/>
              </w:rPr>
              <w:t>Déprédateurs et agents pathogènes</w:t>
            </w:r>
          </w:p>
        </w:tc>
        <w:tc>
          <w:tcPr>
            <w:tcW w:w="6749" w:type="dxa"/>
            <w:tcBorders/>
          </w:tcPr>
          <w:p>
            <w:pPr>
              <w:pStyle w:val="style0"/>
              <w:spacing w:before="0"/>
              <w:rPr>
                <w:sz w:val="23"/>
                <w:szCs w:val="23"/>
              </w:rPr>
            </w:pPr>
            <w:r>
              <w:rPr>
                <w:rFonts w:eastAsia="SimSun"/>
                <w:b/>
                <w:sz w:val="23"/>
                <w:szCs w:val="23"/>
              </w:rPr>
              <w:t>Genres / Espèces</w:t>
            </w:r>
          </w:p>
        </w:tc>
      </w:tr>
      <w:tr>
        <w:tblPrEx/>
        <w:trPr>
          <w:trHeight w:val="227" w:hRule="atLeast"/>
        </w:trPr>
        <w:tc>
          <w:tcPr>
            <w:tcW w:w="2562" w:type="dxa"/>
            <w:vMerge w:val="restart"/>
            <w:tcBorders/>
            <w:vAlign w:val="center"/>
          </w:tcPr>
          <w:p>
            <w:pPr>
              <w:pStyle w:val="style0"/>
              <w:spacing w:before="0"/>
              <w:rPr>
                <w:sz w:val="23"/>
                <w:szCs w:val="23"/>
              </w:rPr>
            </w:pPr>
            <w:r>
              <w:rPr>
                <w:sz w:val="23"/>
                <w:szCs w:val="23"/>
              </w:rPr>
              <w:t>Les défoliateurs, les foreurs de tiges et les piqueurs-suceurs</w:t>
            </w:r>
          </w:p>
        </w:tc>
        <w:tc>
          <w:tcPr>
            <w:tcW w:w="2465" w:type="dxa"/>
            <w:tcBorders/>
            <w:vAlign w:val="center"/>
          </w:tcPr>
          <w:p>
            <w:pPr>
              <w:pStyle w:val="style0"/>
              <w:spacing w:before="0"/>
              <w:rPr>
                <w:sz w:val="23"/>
                <w:szCs w:val="23"/>
              </w:rPr>
            </w:pPr>
            <w:r>
              <w:rPr>
                <w:sz w:val="23"/>
                <w:szCs w:val="23"/>
              </w:rPr>
              <w:t>Les lépidoptères</w:t>
            </w:r>
          </w:p>
        </w:tc>
        <w:tc>
          <w:tcPr>
            <w:tcW w:w="6749" w:type="dxa"/>
            <w:tcBorders/>
            <w:vAlign w:val="center"/>
          </w:tcPr>
          <w:p>
            <w:pPr>
              <w:pStyle w:val="style0"/>
              <w:spacing w:before="0"/>
              <w:rPr>
                <w:sz w:val="23"/>
                <w:szCs w:val="23"/>
              </w:rPr>
            </w:pPr>
            <w:r>
              <w:rPr>
                <w:i/>
                <w:iCs/>
                <w:sz w:val="23"/>
                <w:szCs w:val="23"/>
              </w:rPr>
              <w:t xml:space="preserve">Eldana saccharina </w:t>
            </w:r>
            <w:r>
              <w:rPr>
                <w:sz w:val="23"/>
                <w:szCs w:val="23"/>
              </w:rPr>
              <w:t>(</w:t>
            </w:r>
            <w:r>
              <w:rPr>
                <w:i/>
                <w:iCs/>
                <w:sz w:val="23"/>
                <w:szCs w:val="23"/>
              </w:rPr>
              <w:t>Pyralidae</w:t>
            </w:r>
            <w:r>
              <w:rPr>
                <w:sz w:val="23"/>
                <w:szCs w:val="23"/>
              </w:rPr>
              <w:t xml:space="preserve">), </w:t>
            </w:r>
            <w:r>
              <w:rPr>
                <w:i/>
                <w:sz w:val="23"/>
                <w:szCs w:val="23"/>
              </w:rPr>
              <w:t>Mythymna loreyi Dup</w:t>
            </w:r>
            <w:r>
              <w:rPr>
                <w:sz w:val="23"/>
                <w:szCs w:val="23"/>
              </w:rPr>
              <w:t xml:space="preserve">, </w:t>
            </w:r>
            <w:r>
              <w:rPr>
                <w:i/>
                <w:sz w:val="23"/>
                <w:szCs w:val="23"/>
              </w:rPr>
              <w:t>Spodoptera littoralis</w:t>
            </w:r>
            <w:r>
              <w:rPr>
                <w:sz w:val="23"/>
                <w:szCs w:val="23"/>
              </w:rPr>
              <w:t xml:space="preserve">, </w:t>
            </w:r>
            <w:r>
              <w:rPr>
                <w:i/>
                <w:sz w:val="23"/>
                <w:szCs w:val="23"/>
              </w:rPr>
              <w:t>Spodoptera exigua</w:t>
            </w:r>
            <w:r>
              <w:rPr>
                <w:i/>
                <w:sz w:val="23"/>
                <w:szCs w:val="23"/>
              </w:rPr>
              <w:t>, Spodoptera frugiperda</w:t>
            </w:r>
          </w:p>
        </w:tc>
      </w:tr>
      <w:tr>
        <w:tblPrEx/>
        <w:trPr>
          <w:trHeight w:val="227" w:hRule="atLeast"/>
        </w:trPr>
        <w:tc>
          <w:tcPr>
            <w:tcW w:w="2562" w:type="dxa"/>
            <w:vMerge w:val="continue"/>
            <w:tcBorders/>
            <w:vAlign w:val="center"/>
          </w:tcPr>
          <w:p>
            <w:pPr>
              <w:pStyle w:val="style0"/>
              <w:spacing w:before="0"/>
              <w:rPr>
                <w:bCs/>
                <w:sz w:val="23"/>
                <w:szCs w:val="23"/>
              </w:rPr>
            </w:pPr>
          </w:p>
        </w:tc>
        <w:tc>
          <w:tcPr>
            <w:tcW w:w="2465" w:type="dxa"/>
            <w:tcBorders/>
            <w:vAlign w:val="center"/>
          </w:tcPr>
          <w:p>
            <w:pPr>
              <w:pStyle w:val="style0"/>
              <w:spacing w:before="0"/>
              <w:rPr>
                <w:sz w:val="23"/>
                <w:szCs w:val="23"/>
              </w:rPr>
            </w:pPr>
            <w:r>
              <w:rPr>
                <w:sz w:val="23"/>
                <w:szCs w:val="23"/>
              </w:rPr>
              <w:t xml:space="preserve">Les Hétéroptères </w:t>
            </w:r>
          </w:p>
        </w:tc>
        <w:tc>
          <w:tcPr>
            <w:tcW w:w="6749" w:type="dxa"/>
            <w:tcBorders/>
            <w:vAlign w:val="center"/>
          </w:tcPr>
          <w:p>
            <w:pPr>
              <w:pStyle w:val="style0"/>
              <w:spacing w:before="0"/>
              <w:rPr>
                <w:i/>
                <w:iCs/>
                <w:sz w:val="23"/>
                <w:szCs w:val="23"/>
                <w:lang w:val="pt-BR"/>
              </w:rPr>
            </w:pPr>
            <w:r>
              <w:rPr>
                <w:i/>
                <w:iCs/>
                <w:sz w:val="23"/>
                <w:szCs w:val="23"/>
                <w:lang w:val="pt-BR"/>
              </w:rPr>
              <w:t xml:space="preserve">Ropalosiphum maydis, Poophylus costalis, Cicadulina sp, </w:t>
            </w:r>
          </w:p>
        </w:tc>
      </w:tr>
      <w:tr>
        <w:tblPrEx/>
        <w:trPr>
          <w:trHeight w:val="227" w:hRule="atLeast"/>
        </w:trPr>
        <w:tc>
          <w:tcPr>
            <w:tcW w:w="2562" w:type="dxa"/>
            <w:vMerge w:val="restart"/>
            <w:tcBorders/>
            <w:vAlign w:val="center"/>
          </w:tcPr>
          <w:p>
            <w:pPr>
              <w:pStyle w:val="style0"/>
              <w:spacing w:before="0"/>
              <w:rPr>
                <w:bCs/>
                <w:sz w:val="23"/>
                <w:szCs w:val="23"/>
              </w:rPr>
            </w:pPr>
            <w:r>
              <w:rPr>
                <w:bCs/>
                <w:sz w:val="23"/>
                <w:szCs w:val="23"/>
              </w:rPr>
              <w:t>Les maladies foliaires du maïs</w:t>
            </w:r>
          </w:p>
        </w:tc>
        <w:tc>
          <w:tcPr>
            <w:tcW w:w="2465" w:type="dxa"/>
            <w:tcBorders/>
            <w:vAlign w:val="center"/>
          </w:tcPr>
          <w:p>
            <w:pPr>
              <w:pStyle w:val="style0"/>
              <w:spacing w:before="0"/>
              <w:rPr>
                <w:sz w:val="23"/>
                <w:szCs w:val="23"/>
              </w:rPr>
            </w:pPr>
            <w:r>
              <w:rPr>
                <w:sz w:val="23"/>
                <w:szCs w:val="23"/>
              </w:rPr>
              <w:t>La Striure fine des feuilles</w:t>
            </w:r>
          </w:p>
        </w:tc>
        <w:tc>
          <w:tcPr>
            <w:tcW w:w="6749" w:type="dxa"/>
            <w:tcBorders/>
            <w:vAlign w:val="center"/>
          </w:tcPr>
          <w:p>
            <w:pPr>
              <w:pStyle w:val="style0"/>
              <w:spacing w:before="0"/>
              <w:rPr>
                <w:sz w:val="23"/>
                <w:szCs w:val="23"/>
              </w:rPr>
            </w:pPr>
            <w:r>
              <w:rPr>
                <w:i/>
                <w:iCs/>
                <w:sz w:val="23"/>
                <w:szCs w:val="23"/>
              </w:rPr>
              <w:t>Maize Steak Virus (MSV)</w:t>
            </w:r>
          </w:p>
        </w:tc>
      </w:tr>
      <w:tr>
        <w:tblPrEx/>
        <w:trPr>
          <w:trHeight w:val="227" w:hRule="atLeast"/>
        </w:trPr>
        <w:tc>
          <w:tcPr>
            <w:tcW w:w="2562" w:type="dxa"/>
            <w:vMerge w:val="continue"/>
            <w:tcBorders/>
          </w:tcPr>
          <w:p>
            <w:pPr>
              <w:pStyle w:val="style0"/>
              <w:spacing w:before="0"/>
              <w:rPr>
                <w:bCs/>
                <w:sz w:val="23"/>
                <w:szCs w:val="23"/>
              </w:rPr>
            </w:pPr>
          </w:p>
        </w:tc>
        <w:tc>
          <w:tcPr>
            <w:tcW w:w="2465" w:type="dxa"/>
            <w:tcBorders/>
            <w:vAlign w:val="center"/>
          </w:tcPr>
          <w:p>
            <w:pPr>
              <w:pStyle w:val="style0"/>
              <w:spacing w:before="0"/>
              <w:rPr>
                <w:i/>
                <w:iCs/>
                <w:sz w:val="23"/>
                <w:szCs w:val="23"/>
              </w:rPr>
            </w:pPr>
            <w:r>
              <w:rPr>
                <w:sz w:val="23"/>
                <w:szCs w:val="23"/>
              </w:rPr>
              <w:t>L’Helminthosporiose</w:t>
            </w:r>
          </w:p>
        </w:tc>
        <w:tc>
          <w:tcPr>
            <w:tcW w:w="6749" w:type="dxa"/>
            <w:tcBorders/>
            <w:vAlign w:val="center"/>
          </w:tcPr>
          <w:p>
            <w:pPr>
              <w:pStyle w:val="style0"/>
              <w:spacing w:before="0"/>
              <w:rPr>
                <w:i/>
                <w:iCs/>
                <w:sz w:val="23"/>
                <w:szCs w:val="23"/>
                <w:lang w:val="pt-BR"/>
              </w:rPr>
            </w:pPr>
            <w:r>
              <w:rPr>
                <w:i/>
                <w:iCs/>
                <w:sz w:val="23"/>
                <w:szCs w:val="23"/>
                <w:lang w:val="pt-BR"/>
              </w:rPr>
              <w:t xml:space="preserve">Bipolaris maydis  </w:t>
            </w:r>
            <w:r>
              <w:rPr>
                <w:iCs/>
                <w:sz w:val="23"/>
                <w:szCs w:val="23"/>
                <w:lang w:val="pt-BR"/>
              </w:rPr>
              <w:t>Nisikado</w:t>
            </w:r>
            <w:r>
              <w:rPr>
                <w:i/>
                <w:iCs/>
                <w:sz w:val="23"/>
                <w:szCs w:val="23"/>
                <w:lang w:val="pt-BR"/>
              </w:rPr>
              <w:t xml:space="preserve">, Setosphaeria turcica </w:t>
            </w:r>
          </w:p>
        </w:tc>
      </w:tr>
      <w:tr>
        <w:tblPrEx/>
        <w:trPr>
          <w:trHeight w:val="227" w:hRule="atLeast"/>
        </w:trPr>
        <w:tc>
          <w:tcPr>
            <w:tcW w:w="2562" w:type="dxa"/>
            <w:vMerge w:val="continue"/>
            <w:tcBorders/>
          </w:tcPr>
          <w:p>
            <w:pPr>
              <w:pStyle w:val="style0"/>
              <w:spacing w:before="0"/>
              <w:rPr>
                <w:bCs/>
                <w:sz w:val="23"/>
                <w:szCs w:val="23"/>
                <w:lang w:val="pt-BR"/>
              </w:rPr>
            </w:pPr>
          </w:p>
        </w:tc>
        <w:tc>
          <w:tcPr>
            <w:tcW w:w="2465" w:type="dxa"/>
            <w:tcBorders/>
            <w:vAlign w:val="center"/>
          </w:tcPr>
          <w:p>
            <w:pPr>
              <w:pStyle w:val="style0"/>
              <w:spacing w:before="0"/>
              <w:rPr>
                <w:bCs/>
                <w:sz w:val="23"/>
                <w:szCs w:val="23"/>
              </w:rPr>
            </w:pPr>
            <w:r>
              <w:rPr>
                <w:bCs/>
                <w:sz w:val="23"/>
                <w:szCs w:val="23"/>
              </w:rPr>
              <w:t>La Curvulariose</w:t>
            </w:r>
          </w:p>
        </w:tc>
        <w:tc>
          <w:tcPr>
            <w:tcW w:w="6749" w:type="dxa"/>
            <w:tcBorders/>
            <w:vAlign w:val="center"/>
          </w:tcPr>
          <w:p>
            <w:pPr>
              <w:pStyle w:val="style0"/>
              <w:spacing w:before="0"/>
              <w:rPr>
                <w:i/>
                <w:iCs/>
                <w:sz w:val="23"/>
                <w:szCs w:val="23"/>
              </w:rPr>
            </w:pPr>
            <w:r>
              <w:rPr>
                <w:i/>
                <w:iCs/>
                <w:sz w:val="23"/>
                <w:szCs w:val="23"/>
              </w:rPr>
              <w:t>Curvularia lunata</w:t>
            </w:r>
          </w:p>
        </w:tc>
      </w:tr>
      <w:tr>
        <w:tblPrEx/>
        <w:trPr>
          <w:trHeight w:val="227" w:hRule="atLeast"/>
        </w:trPr>
        <w:tc>
          <w:tcPr>
            <w:tcW w:w="2562" w:type="dxa"/>
            <w:vMerge w:val="continue"/>
            <w:tcBorders/>
          </w:tcPr>
          <w:p>
            <w:pPr>
              <w:pStyle w:val="style0"/>
              <w:spacing w:before="0"/>
              <w:rPr>
                <w:bCs/>
                <w:sz w:val="23"/>
                <w:szCs w:val="23"/>
              </w:rPr>
            </w:pPr>
          </w:p>
        </w:tc>
        <w:tc>
          <w:tcPr>
            <w:tcW w:w="2465" w:type="dxa"/>
            <w:tcBorders/>
            <w:vAlign w:val="center"/>
          </w:tcPr>
          <w:p>
            <w:pPr>
              <w:pStyle w:val="style0"/>
              <w:spacing w:before="0"/>
              <w:rPr>
                <w:bCs/>
                <w:sz w:val="23"/>
                <w:szCs w:val="23"/>
              </w:rPr>
            </w:pPr>
            <w:r>
              <w:rPr>
                <w:bCs/>
                <w:sz w:val="23"/>
                <w:szCs w:val="23"/>
              </w:rPr>
              <w:t>La Rouille américaine du maïs</w:t>
            </w:r>
          </w:p>
        </w:tc>
        <w:tc>
          <w:tcPr>
            <w:tcW w:w="6749" w:type="dxa"/>
            <w:tcBorders/>
            <w:vAlign w:val="center"/>
          </w:tcPr>
          <w:p>
            <w:pPr>
              <w:pStyle w:val="style0"/>
              <w:spacing w:before="0"/>
              <w:rPr>
                <w:i/>
                <w:iCs/>
                <w:sz w:val="23"/>
                <w:szCs w:val="23"/>
              </w:rPr>
            </w:pPr>
            <w:r>
              <w:rPr>
                <w:i/>
                <w:iCs/>
                <w:sz w:val="23"/>
                <w:szCs w:val="23"/>
              </w:rPr>
              <w:t>Puccinia polysora</w:t>
            </w:r>
          </w:p>
        </w:tc>
      </w:tr>
      <w:tr>
        <w:tblPrEx/>
        <w:trPr>
          <w:trHeight w:val="227" w:hRule="atLeast"/>
        </w:trPr>
        <w:tc>
          <w:tcPr>
            <w:tcW w:w="2562" w:type="dxa"/>
            <w:tcBorders/>
          </w:tcPr>
          <w:p>
            <w:pPr>
              <w:pStyle w:val="style0"/>
              <w:spacing w:before="0"/>
              <w:rPr>
                <w:bCs/>
                <w:sz w:val="23"/>
                <w:szCs w:val="23"/>
              </w:rPr>
            </w:pPr>
            <w:r>
              <w:rPr>
                <w:bCs/>
                <w:sz w:val="23"/>
                <w:szCs w:val="23"/>
              </w:rPr>
              <w:t>La maladie des racines et tiges</w:t>
            </w:r>
          </w:p>
        </w:tc>
        <w:tc>
          <w:tcPr>
            <w:tcW w:w="2465" w:type="dxa"/>
            <w:tcBorders/>
            <w:vAlign w:val="center"/>
          </w:tcPr>
          <w:p>
            <w:pPr>
              <w:pStyle w:val="style0"/>
              <w:spacing w:before="0"/>
              <w:rPr>
                <w:bCs/>
                <w:sz w:val="23"/>
                <w:szCs w:val="23"/>
              </w:rPr>
            </w:pPr>
            <w:r>
              <w:rPr>
                <w:bCs/>
                <w:sz w:val="23"/>
                <w:szCs w:val="23"/>
              </w:rPr>
              <w:t>La pourriture charbonneuse</w:t>
            </w:r>
          </w:p>
        </w:tc>
        <w:tc>
          <w:tcPr>
            <w:tcW w:w="6749" w:type="dxa"/>
            <w:tcBorders/>
            <w:vAlign w:val="center"/>
          </w:tcPr>
          <w:p>
            <w:pPr>
              <w:pStyle w:val="style0"/>
              <w:spacing w:before="0"/>
              <w:rPr>
                <w:iCs/>
                <w:sz w:val="23"/>
                <w:szCs w:val="23"/>
              </w:rPr>
            </w:pPr>
            <w:r>
              <w:rPr>
                <w:i/>
                <w:iCs/>
                <w:sz w:val="23"/>
                <w:szCs w:val="23"/>
                <w:lang w:val="en-US"/>
              </w:rPr>
              <w:t xml:space="preserve">Macrophomina phaseolina </w:t>
            </w:r>
            <w:r>
              <w:rPr>
                <w:iCs/>
                <w:sz w:val="23"/>
                <w:szCs w:val="23"/>
                <w:lang w:val="en-US"/>
              </w:rPr>
              <w:t xml:space="preserve">(Tassi) Goid), </w:t>
            </w:r>
            <w:r>
              <w:rPr>
                <w:i/>
                <w:iCs/>
                <w:sz w:val="23"/>
                <w:szCs w:val="23"/>
                <w:lang w:val="en-US"/>
              </w:rPr>
              <w:t>Fusarium verticillioides</w:t>
            </w:r>
            <w:r>
              <w:rPr>
                <w:iCs/>
                <w:sz w:val="23"/>
                <w:szCs w:val="23"/>
                <w:lang w:val="en-US"/>
              </w:rPr>
              <w:t xml:space="preserve"> (Sacc.) syn.</w:t>
            </w:r>
            <w:r>
              <w:rPr>
                <w:i/>
                <w:iCs/>
                <w:sz w:val="23"/>
                <w:szCs w:val="23"/>
                <w:lang w:val="en-US"/>
              </w:rPr>
              <w:t xml:space="preserve"> </w:t>
            </w:r>
            <w:r>
              <w:rPr>
                <w:i/>
                <w:iCs/>
                <w:sz w:val="23"/>
                <w:szCs w:val="23"/>
              </w:rPr>
              <w:t xml:space="preserve">Fusarium moniliforme </w:t>
            </w:r>
            <w:r>
              <w:rPr>
                <w:iCs/>
                <w:sz w:val="23"/>
                <w:szCs w:val="23"/>
              </w:rPr>
              <w:t>Sheld</w:t>
            </w:r>
            <w:r>
              <w:rPr>
                <w:i/>
                <w:iCs/>
                <w:sz w:val="23"/>
                <w:szCs w:val="23"/>
              </w:rPr>
              <w:t>.</w:t>
            </w:r>
            <w:r>
              <w:rPr>
                <w:iCs/>
                <w:sz w:val="23"/>
                <w:szCs w:val="23"/>
              </w:rPr>
              <w:t xml:space="preserve"> </w:t>
            </w:r>
          </w:p>
        </w:tc>
      </w:tr>
      <w:tr>
        <w:tblPrEx/>
        <w:trPr>
          <w:trHeight w:val="227" w:hRule="atLeast"/>
        </w:trPr>
        <w:tc>
          <w:tcPr>
            <w:tcW w:w="2562" w:type="dxa"/>
            <w:tcBorders/>
            <w:vAlign w:val="center"/>
          </w:tcPr>
          <w:p>
            <w:pPr>
              <w:pStyle w:val="style0"/>
              <w:spacing w:before="0"/>
              <w:rPr>
                <w:bCs/>
                <w:sz w:val="23"/>
                <w:szCs w:val="23"/>
              </w:rPr>
            </w:pPr>
            <w:r>
              <w:rPr>
                <w:bCs/>
                <w:sz w:val="23"/>
                <w:szCs w:val="23"/>
              </w:rPr>
              <w:t>Les oiseaux nuisibles</w:t>
            </w:r>
          </w:p>
        </w:tc>
        <w:tc>
          <w:tcPr>
            <w:tcW w:w="2465" w:type="dxa"/>
            <w:tcBorders/>
            <w:vAlign w:val="center"/>
          </w:tcPr>
          <w:p>
            <w:pPr>
              <w:pStyle w:val="style0"/>
              <w:spacing w:before="0"/>
              <w:rPr>
                <w:bCs/>
                <w:sz w:val="23"/>
                <w:szCs w:val="23"/>
              </w:rPr>
            </w:pPr>
            <w:r>
              <w:rPr>
                <w:bCs/>
                <w:sz w:val="23"/>
                <w:szCs w:val="23"/>
              </w:rPr>
              <w:t>Les oiseaux granivores</w:t>
            </w:r>
          </w:p>
        </w:tc>
        <w:tc>
          <w:tcPr>
            <w:tcW w:w="6749" w:type="dxa"/>
            <w:tcBorders/>
            <w:vAlign w:val="center"/>
          </w:tcPr>
          <w:p>
            <w:pPr>
              <w:pStyle w:val="style0"/>
              <w:spacing w:before="0"/>
              <w:rPr>
                <w:bCs/>
                <w:sz w:val="23"/>
                <w:szCs w:val="23"/>
              </w:rPr>
            </w:pPr>
            <w:r>
              <w:rPr>
                <w:bCs/>
                <w:i/>
                <w:sz w:val="23"/>
                <w:szCs w:val="23"/>
              </w:rPr>
              <w:t>Perruche krameri</w:t>
            </w:r>
            <w:r>
              <w:rPr>
                <w:bCs/>
                <w:i/>
                <w:sz w:val="23"/>
                <w:szCs w:val="23"/>
              </w:rPr>
              <w:t>, Ploceus cucullatus</w:t>
            </w:r>
          </w:p>
        </w:tc>
      </w:tr>
    </w:tbl>
    <w:p>
      <w:pPr>
        <w:pStyle w:val="style0"/>
        <w:spacing w:before="0"/>
        <w:rPr>
          <w:sz w:val="23"/>
          <w:szCs w:val="23"/>
        </w:rPr>
      </w:pPr>
    </w:p>
    <w:bookmarkStart w:id="228" w:name="_Toc260214"/>
    <w:p>
      <w:pPr>
        <w:pStyle w:val="style34"/>
        <w:rPr>
          <w:sz w:val="23"/>
          <w:szCs w:val="23"/>
        </w:rPr>
      </w:pPr>
      <w:r>
        <w:rPr>
          <w:sz w:val="20"/>
          <w:szCs w:val="20"/>
        </w:rPr>
        <w:t xml:space="preserve">Tableau </w:t>
      </w:r>
      <w:r>
        <w:rPr>
          <w:sz w:val="20"/>
          <w:szCs w:val="20"/>
        </w:rPr>
        <w:fldChar w:fldCharType="begin"/>
      </w:r>
      <w:r>
        <w:rPr>
          <w:sz w:val="20"/>
          <w:szCs w:val="20"/>
        </w:rPr>
        <w:instrText xml:space="preserve"> </w:instrText>
      </w:r>
      <w:r>
        <w:rPr>
          <w:sz w:val="20"/>
          <w:szCs w:val="20"/>
        </w:rPr>
        <w:instrText>SEQ</w:instrText>
      </w:r>
      <w:r>
        <w:rPr>
          <w:sz w:val="20"/>
          <w:szCs w:val="20"/>
        </w:rPr>
        <w:instrText xml:space="preserve"> Tableau \* ARABIC </w:instrText>
      </w:r>
      <w:r>
        <w:rPr>
          <w:sz w:val="20"/>
          <w:szCs w:val="20"/>
        </w:rPr>
        <w:fldChar w:fldCharType="separate"/>
      </w:r>
      <w:r>
        <w:rPr>
          <w:noProof/>
          <w:sz w:val="20"/>
          <w:szCs w:val="20"/>
        </w:rPr>
        <w:t>7</w:t>
      </w:r>
      <w:r>
        <w:rPr>
          <w:sz w:val="20"/>
          <w:szCs w:val="20"/>
        </w:rPr>
        <w:fldChar w:fldCharType="end"/>
      </w:r>
      <w:r>
        <w:rPr>
          <w:rFonts w:eastAsia="Calibri"/>
          <w:i/>
          <w:iCs/>
          <w:color w:val="1f497d"/>
          <w:sz w:val="20"/>
          <w:szCs w:val="20"/>
        </w:rPr>
        <w:t xml:space="preserve"> : </w:t>
      </w:r>
      <w:r>
        <w:rPr>
          <w:rFonts w:eastAsia="Calibri"/>
          <w:i/>
          <w:iCs/>
          <w:color w:val="1f497d"/>
          <w:sz w:val="20"/>
          <w:szCs w:val="20"/>
        </w:rPr>
        <w:t>Déprédateurs et agents pathogènes du niébé</w:t>
      </w:r>
      <w:bookmarkEnd w:id="228"/>
      <w:r>
        <w:rPr>
          <w:rFonts w:eastAsia="Calibri"/>
          <w:i/>
          <w:iCs/>
          <w:color w:val="1f497d"/>
          <w:sz w:val="20"/>
          <w:szCs w:val="20"/>
        </w:rPr>
        <w:t xml:space="preserve"> </w:t>
      </w:r>
    </w:p>
    <w:p>
      <w:pPr>
        <w:pStyle w:val="style0"/>
        <w:spacing w:lineRule="auto" w:line="276"/>
        <w:rPr>
          <w:b/>
          <w:sz w:val="23"/>
          <w:szCs w:val="23"/>
        </w:rPr>
      </w:pPr>
      <w:r>
        <w:rPr>
          <w:noProof/>
          <w:lang w:eastAsia="fr-FR"/>
        </w:rPr>
        <mc:AlternateContent>
          <mc:Choice Requires="wps">
            <w:drawing>
              <wp:anchor distT="0" distB="0" distL="114300" distR="114300" simplePos="false" relativeHeight="9" behindDoc="false" locked="false" layoutInCell="true" allowOverlap="true">
                <wp:simplePos x="0" y="0"/>
                <wp:positionH relativeFrom="column">
                  <wp:posOffset>7754620</wp:posOffset>
                </wp:positionH>
                <wp:positionV relativeFrom="paragraph">
                  <wp:posOffset>299085</wp:posOffset>
                </wp:positionV>
                <wp:extent cx="1673859" cy="1601469"/>
                <wp:effectExtent l="0" t="0" r="2540" b="24130"/>
                <wp:wrapSquare wrapText="bothSides"/>
                <wp:docPr id="1037" name="Zone de texte 1638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73859" cy="1601469"/>
                        </a:xfrm>
                        <a:prstGeom prst="rect"/>
                        <a:ln>
                          <a:noFill/>
                        </a:ln>
                      </wps:spPr>
                      <wps:txbx id="1037">
                        <w:txbxContent>
                          <w:p>
                            <w:pPr>
                              <w:pStyle w:val="style0"/>
                              <w:jc w:val="center"/>
                              <w:rPr/>
                            </w:pPr>
                            <w:r>
                              <w:rPr>
                                <w:noProof/>
                                <w:lang w:eastAsia="fr-FR"/>
                              </w:rPr>
                              <w:drawing>
                                <wp:inline distT="0" distR="0" distL="0" distB="0">
                                  <wp:extent cx="1587500" cy="1422400"/>
                                  <wp:effectExtent l="25400" t="25400" r="38100" b="25400"/>
                                  <wp:docPr id="2051"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14" cstate="print"/>
                                          <a:srcRect l="0" t="0" r="0" b="0"/>
                                          <a:stretch/>
                                        </pic:blipFill>
                                        <pic:spPr>
                                          <a:xfrm rot="0">
                                            <a:off x="0" y="0"/>
                                            <a:ext cx="1587500" cy="1422400"/>
                                          </a:xfrm>
                                          <a:prstGeom prst="rect"/>
                                          <a:ln cmpd="sng" cap="flat" w="25400">
                                            <a:solidFill>
                                              <a:srgbClr val="000000"/>
                                            </a:solidFill>
                                            <a:prstDash val="solid"/>
                                            <a:miter/>
                                            <a:headEnd len="med" type="none" w="med"/>
                                            <a:tailEnd len="med" type="none" w="med"/>
                                          </a:ln>
                                        </pic:spPr>
                                      </pic:pic>
                                    </a:graphicData>
                                  </a:graphic>
                                </wp:inline>
                              </w:drawing>
                            </w:r>
                          </w:p>
                          <w:p>
                            <w:pPr>
                              <w:pStyle w:val="style0"/>
                              <w:jc w:val="center"/>
                              <w:rPr/>
                            </w:pPr>
                            <w:r>
                              <w:t>Fonte de semis</w:t>
                            </w:r>
                          </w:p>
                        </w:txbxContent>
                      </wps:txbx>
                      <wps:bodyPr lIns="0" rIns="0" tIns="0" bIns="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7" filled="f" stroked="f" style="position:absolute;margin-left:610.6pt;margin-top:23.55pt;width:131.8pt;height:126.1pt;z-index:9;mso-position-horizontal-relative:text;mso-position-vertical-relative:text;mso-width-percent:0;mso-height-percent:0;mso-width-relative:margin;mso-height-relative:margin;visibility:visible;">
                <v:stroke on="f"/>
                <w10:wrap type="square"/>
                <v:fill/>
                <v:textbox inset="0.0pt,0.0pt,0.0pt,0.0pt">
                  <w:txbxContent>
                    <w:p>
                      <w:pPr>
                        <w:pStyle w:val="style0"/>
                        <w:jc w:val="center"/>
                        <w:rPr/>
                      </w:pPr>
                      <w:r>
                        <w:rPr>
                          <w:noProof/>
                          <w:lang w:eastAsia="fr-FR"/>
                        </w:rPr>
                        <w:drawing>
                          <wp:inline distT="0" distR="0" distL="0" distB="0">
                            <wp:extent cx="1587500" cy="1422400"/>
                            <wp:effectExtent l="25400" t="25400" r="38100" b="25400"/>
                            <wp:docPr id="2051"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14" cstate="print"/>
                                    <a:srcRect l="0" t="0" r="0" b="0"/>
                                    <a:stretch/>
                                  </pic:blipFill>
                                  <pic:spPr>
                                    <a:xfrm rot="0">
                                      <a:off x="0" y="0"/>
                                      <a:ext cx="1587500" cy="1422400"/>
                                    </a:xfrm>
                                    <a:prstGeom prst="rect"/>
                                    <a:ln cmpd="sng" cap="flat" w="25400">
                                      <a:solidFill>
                                        <a:srgbClr val="000000"/>
                                      </a:solidFill>
                                      <a:prstDash val="solid"/>
                                      <a:miter/>
                                      <a:headEnd len="med" type="none" w="med"/>
                                      <a:tailEnd len="med" type="none" w="med"/>
                                    </a:ln>
                                  </pic:spPr>
                                </pic:pic>
                              </a:graphicData>
                            </a:graphic>
                          </wp:inline>
                        </w:drawing>
                      </w:r>
                    </w:p>
                    <w:p>
                      <w:pPr>
                        <w:pStyle w:val="style0"/>
                        <w:jc w:val="center"/>
                        <w:rPr/>
                      </w:pPr>
                      <w:r>
                        <w:t>Fonte de semis</w:t>
                      </w:r>
                    </w:p>
                  </w:txbxContent>
                </v:textbox>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62"/>
        <w:gridCol w:w="2465"/>
        <w:gridCol w:w="6890"/>
      </w:tblGrid>
      <w:tr>
        <w:trPr/>
        <w:tc>
          <w:tcPr>
            <w:tcW w:w="5027" w:type="dxa"/>
            <w:gridSpan w:val="2"/>
            <w:tcBorders/>
          </w:tcPr>
          <w:p>
            <w:pPr>
              <w:pStyle w:val="style0"/>
              <w:spacing w:before="0"/>
              <w:rPr>
                <w:sz w:val="23"/>
                <w:szCs w:val="23"/>
              </w:rPr>
            </w:pPr>
            <w:r>
              <w:rPr>
                <w:sz w:val="23"/>
                <w:szCs w:val="23"/>
              </w:rPr>
              <w:t>Déprédateurs et agents pathogènes</w:t>
            </w:r>
          </w:p>
        </w:tc>
        <w:tc>
          <w:tcPr>
            <w:tcW w:w="6890" w:type="dxa"/>
            <w:tcBorders/>
          </w:tcPr>
          <w:p>
            <w:pPr>
              <w:pStyle w:val="style0"/>
              <w:spacing w:before="0"/>
              <w:rPr>
                <w:sz w:val="23"/>
                <w:szCs w:val="23"/>
              </w:rPr>
            </w:pPr>
            <w:r>
              <w:rPr>
                <w:rFonts w:eastAsia="SimSun"/>
                <w:b/>
                <w:sz w:val="23"/>
                <w:szCs w:val="23"/>
              </w:rPr>
              <w:t>Genres / Espèces</w:t>
            </w:r>
          </w:p>
        </w:tc>
      </w:tr>
      <w:tr>
        <w:tblPrEx/>
        <w:trPr>
          <w:trHeight w:val="227" w:hRule="atLeast"/>
        </w:trPr>
        <w:tc>
          <w:tcPr>
            <w:tcW w:w="2562" w:type="dxa"/>
            <w:vMerge w:val="restart"/>
            <w:tcBorders/>
            <w:vAlign w:val="center"/>
          </w:tcPr>
          <w:p>
            <w:pPr>
              <w:pStyle w:val="style0"/>
              <w:spacing w:before="0"/>
              <w:rPr>
                <w:sz w:val="23"/>
                <w:szCs w:val="23"/>
              </w:rPr>
            </w:pPr>
            <w:r>
              <w:rPr>
                <w:sz w:val="23"/>
                <w:szCs w:val="23"/>
              </w:rPr>
              <w:t>Les insectes défoliateurs et piqueurs-suceurs des fleurs et gousses</w:t>
            </w:r>
          </w:p>
        </w:tc>
        <w:tc>
          <w:tcPr>
            <w:tcW w:w="2465" w:type="dxa"/>
            <w:tcBorders/>
            <w:vAlign w:val="center"/>
          </w:tcPr>
          <w:p>
            <w:pPr>
              <w:pStyle w:val="style0"/>
              <w:spacing w:before="0"/>
              <w:rPr>
                <w:sz w:val="23"/>
                <w:szCs w:val="23"/>
              </w:rPr>
            </w:pPr>
            <w:r>
              <w:rPr>
                <w:sz w:val="23"/>
                <w:szCs w:val="23"/>
              </w:rPr>
              <w:t>Les lépidoptères</w:t>
            </w:r>
          </w:p>
        </w:tc>
        <w:tc>
          <w:tcPr>
            <w:tcW w:w="6890" w:type="dxa"/>
            <w:tcBorders/>
            <w:vAlign w:val="center"/>
          </w:tcPr>
          <w:p>
            <w:pPr>
              <w:pStyle w:val="style0"/>
              <w:spacing w:before="0"/>
              <w:rPr>
                <w:sz w:val="23"/>
                <w:szCs w:val="23"/>
              </w:rPr>
            </w:pPr>
            <w:r>
              <w:rPr>
                <w:sz w:val="23"/>
                <w:szCs w:val="23"/>
              </w:rPr>
              <w:t xml:space="preserve">Maruca </w:t>
            </w:r>
            <w:r>
              <w:rPr>
                <w:bCs/>
                <w:i/>
                <w:iCs/>
                <w:sz w:val="23"/>
                <w:szCs w:val="23"/>
              </w:rPr>
              <w:t xml:space="preserve">vitrata </w:t>
            </w:r>
            <w:r>
              <w:rPr>
                <w:bCs/>
                <w:sz w:val="23"/>
                <w:szCs w:val="23"/>
              </w:rPr>
              <w:t xml:space="preserve">Fabricius, </w:t>
            </w:r>
            <w:r>
              <w:rPr>
                <w:bCs/>
                <w:i/>
                <w:sz w:val="23"/>
                <w:szCs w:val="23"/>
              </w:rPr>
              <w:t>Spodoptera littoralis, Spodoptera exigua</w:t>
            </w:r>
          </w:p>
        </w:tc>
      </w:tr>
      <w:tr>
        <w:tblPrEx/>
        <w:trPr>
          <w:trHeight w:val="227" w:hRule="atLeast"/>
        </w:trPr>
        <w:tc>
          <w:tcPr>
            <w:tcW w:w="2562" w:type="dxa"/>
            <w:vMerge w:val="continue"/>
            <w:tcBorders/>
            <w:vAlign w:val="center"/>
          </w:tcPr>
          <w:p>
            <w:pPr>
              <w:pStyle w:val="style0"/>
              <w:spacing w:before="0"/>
              <w:rPr>
                <w:sz w:val="23"/>
                <w:szCs w:val="23"/>
              </w:rPr>
            </w:pPr>
          </w:p>
        </w:tc>
        <w:tc>
          <w:tcPr>
            <w:tcW w:w="2465" w:type="dxa"/>
            <w:tcBorders/>
            <w:vAlign w:val="center"/>
          </w:tcPr>
          <w:p>
            <w:pPr>
              <w:pStyle w:val="style0"/>
              <w:spacing w:before="0"/>
              <w:rPr>
                <w:sz w:val="23"/>
                <w:szCs w:val="23"/>
              </w:rPr>
            </w:pPr>
            <w:r>
              <w:rPr>
                <w:sz w:val="23"/>
                <w:szCs w:val="23"/>
              </w:rPr>
              <w:t>Les Coléoptères</w:t>
            </w:r>
          </w:p>
        </w:tc>
        <w:tc>
          <w:tcPr>
            <w:tcW w:w="6890" w:type="dxa"/>
            <w:tcBorders/>
            <w:vAlign w:val="center"/>
          </w:tcPr>
          <w:p>
            <w:pPr>
              <w:pStyle w:val="style0"/>
              <w:spacing w:before="0"/>
              <w:rPr>
                <w:sz w:val="23"/>
                <w:szCs w:val="23"/>
              </w:rPr>
            </w:pPr>
            <w:r>
              <w:rPr>
                <w:bCs/>
                <w:i/>
                <w:iCs/>
                <w:sz w:val="23"/>
                <w:szCs w:val="23"/>
              </w:rPr>
              <w:t>Decapotoma affinis, Nisotra sp</w:t>
            </w:r>
          </w:p>
        </w:tc>
      </w:tr>
      <w:tr>
        <w:tblPrEx/>
        <w:trPr>
          <w:trHeight w:val="227" w:hRule="atLeast"/>
        </w:trPr>
        <w:tc>
          <w:tcPr>
            <w:tcW w:w="2562" w:type="dxa"/>
            <w:vMerge w:val="continue"/>
            <w:tcBorders/>
            <w:vAlign w:val="center"/>
          </w:tcPr>
          <w:p>
            <w:pPr>
              <w:pStyle w:val="style0"/>
              <w:spacing w:before="0"/>
              <w:rPr>
                <w:bCs/>
                <w:sz w:val="23"/>
                <w:szCs w:val="23"/>
              </w:rPr>
            </w:pPr>
          </w:p>
        </w:tc>
        <w:tc>
          <w:tcPr>
            <w:tcW w:w="2465" w:type="dxa"/>
            <w:tcBorders/>
            <w:vAlign w:val="center"/>
          </w:tcPr>
          <w:p>
            <w:pPr>
              <w:pStyle w:val="style0"/>
              <w:spacing w:before="0"/>
              <w:rPr>
                <w:sz w:val="23"/>
                <w:szCs w:val="23"/>
              </w:rPr>
            </w:pPr>
            <w:r>
              <w:rPr>
                <w:sz w:val="23"/>
                <w:szCs w:val="23"/>
              </w:rPr>
              <w:t xml:space="preserve">Les Hétéroptères </w:t>
            </w:r>
          </w:p>
        </w:tc>
        <w:tc>
          <w:tcPr>
            <w:tcW w:w="6890" w:type="dxa"/>
            <w:tcBorders/>
            <w:vAlign w:val="center"/>
          </w:tcPr>
          <w:p>
            <w:pPr>
              <w:pStyle w:val="style0"/>
              <w:spacing w:before="0"/>
              <w:rPr>
                <w:i/>
                <w:iCs/>
                <w:sz w:val="23"/>
                <w:szCs w:val="23"/>
              </w:rPr>
            </w:pPr>
            <w:r>
              <w:rPr>
                <w:i/>
                <w:iCs/>
                <w:sz w:val="23"/>
                <w:szCs w:val="23"/>
              </w:rPr>
              <w:t xml:space="preserve">Aphis craccivora </w:t>
            </w:r>
            <w:r>
              <w:rPr>
                <w:iCs/>
                <w:sz w:val="23"/>
                <w:szCs w:val="23"/>
              </w:rPr>
              <w:t xml:space="preserve">Koch, </w:t>
            </w:r>
            <w:r>
              <w:rPr>
                <w:bCs/>
                <w:i/>
                <w:iCs/>
                <w:sz w:val="23"/>
                <w:szCs w:val="23"/>
              </w:rPr>
              <w:t xml:space="preserve">Clavigralla tomentosicollis </w:t>
            </w:r>
            <w:r>
              <w:rPr>
                <w:bCs/>
                <w:sz w:val="23"/>
                <w:szCs w:val="23"/>
              </w:rPr>
              <w:t xml:space="preserve">Stal, </w:t>
            </w:r>
            <w:r>
              <w:rPr>
                <w:bCs/>
                <w:i/>
                <w:sz w:val="23"/>
                <w:szCs w:val="23"/>
              </w:rPr>
              <w:t>Anoplocnemis curvipes</w:t>
            </w:r>
          </w:p>
        </w:tc>
      </w:tr>
      <w:tr>
        <w:tblPrEx/>
        <w:trPr>
          <w:trHeight w:val="227" w:hRule="atLeast"/>
        </w:trPr>
        <w:tc>
          <w:tcPr>
            <w:tcW w:w="2562" w:type="dxa"/>
            <w:vMerge w:val="continue"/>
            <w:tcBorders/>
            <w:vAlign w:val="center"/>
          </w:tcPr>
          <w:p>
            <w:pPr>
              <w:pStyle w:val="style0"/>
              <w:spacing w:before="0"/>
              <w:rPr>
                <w:bCs/>
                <w:sz w:val="23"/>
                <w:szCs w:val="23"/>
              </w:rPr>
            </w:pPr>
          </w:p>
        </w:tc>
        <w:tc>
          <w:tcPr>
            <w:tcW w:w="2465" w:type="dxa"/>
            <w:tcBorders/>
            <w:vAlign w:val="center"/>
          </w:tcPr>
          <w:p>
            <w:pPr>
              <w:pStyle w:val="style0"/>
              <w:spacing w:before="0"/>
              <w:rPr>
                <w:sz w:val="23"/>
                <w:szCs w:val="23"/>
              </w:rPr>
            </w:pPr>
            <w:r>
              <w:rPr>
                <w:sz w:val="23"/>
                <w:szCs w:val="23"/>
              </w:rPr>
              <w:t>Les Thysanoptères</w:t>
            </w:r>
          </w:p>
        </w:tc>
        <w:tc>
          <w:tcPr>
            <w:tcW w:w="6890" w:type="dxa"/>
            <w:tcBorders/>
          </w:tcPr>
          <w:p>
            <w:pPr>
              <w:pStyle w:val="style0"/>
              <w:spacing w:before="0"/>
              <w:rPr>
                <w:bCs/>
                <w:i/>
                <w:iCs/>
                <w:sz w:val="23"/>
                <w:szCs w:val="23"/>
              </w:rPr>
            </w:pPr>
            <w:r>
              <w:rPr>
                <w:bCs/>
                <w:i/>
                <w:iCs/>
                <w:sz w:val="23"/>
                <w:szCs w:val="23"/>
              </w:rPr>
              <w:t>Megalurothrips sjostedti</w:t>
            </w:r>
          </w:p>
        </w:tc>
      </w:tr>
      <w:tr>
        <w:tblPrEx/>
        <w:trPr>
          <w:trHeight w:val="227" w:hRule="atLeast"/>
        </w:trPr>
        <w:tc>
          <w:tcPr>
            <w:tcW w:w="2562" w:type="dxa"/>
            <w:vMerge w:val="restart"/>
            <w:tcBorders/>
            <w:vAlign w:val="center"/>
          </w:tcPr>
          <w:p>
            <w:pPr>
              <w:pStyle w:val="style0"/>
              <w:spacing w:before="0"/>
              <w:rPr>
                <w:bCs/>
                <w:sz w:val="23"/>
                <w:szCs w:val="23"/>
              </w:rPr>
            </w:pPr>
            <w:r>
              <w:rPr>
                <w:bCs/>
                <w:sz w:val="23"/>
                <w:szCs w:val="23"/>
              </w:rPr>
              <w:t>Les maladies des plantules, des feuilles et des gousses du niébé</w:t>
            </w:r>
          </w:p>
        </w:tc>
        <w:tc>
          <w:tcPr>
            <w:tcW w:w="2465" w:type="dxa"/>
            <w:tcBorders/>
            <w:vAlign w:val="center"/>
          </w:tcPr>
          <w:p>
            <w:pPr>
              <w:pStyle w:val="style0"/>
              <w:spacing w:before="0"/>
              <w:rPr>
                <w:sz w:val="23"/>
                <w:szCs w:val="23"/>
              </w:rPr>
            </w:pPr>
            <w:r>
              <w:rPr>
                <w:sz w:val="23"/>
                <w:szCs w:val="23"/>
              </w:rPr>
              <w:t>Les fontes de semis</w:t>
            </w:r>
          </w:p>
        </w:tc>
        <w:tc>
          <w:tcPr>
            <w:tcW w:w="6890" w:type="dxa"/>
            <w:tcBorders/>
            <w:vAlign w:val="center"/>
          </w:tcPr>
          <w:p>
            <w:pPr>
              <w:pStyle w:val="style0"/>
              <w:spacing w:before="0"/>
              <w:rPr>
                <w:bCs/>
                <w:sz w:val="23"/>
                <w:szCs w:val="23"/>
                <w:lang w:val="en-US"/>
              </w:rPr>
            </w:pPr>
            <w:r>
              <w:rPr>
                <w:bCs/>
                <w:i/>
                <w:iCs/>
                <w:sz w:val="23"/>
                <w:szCs w:val="23"/>
                <w:lang w:val="en-US"/>
              </w:rPr>
              <w:t>Pythium sp, Rhizoctonia solani, Fusarium sp;</w:t>
            </w:r>
          </w:p>
        </w:tc>
      </w:tr>
      <w:tr>
        <w:tblPrEx/>
        <w:trPr>
          <w:trHeight w:val="227" w:hRule="atLeast"/>
        </w:trPr>
        <w:tc>
          <w:tcPr>
            <w:tcW w:w="2562" w:type="dxa"/>
            <w:vMerge w:val="continue"/>
            <w:tcBorders/>
          </w:tcPr>
          <w:p>
            <w:pPr>
              <w:pStyle w:val="style0"/>
              <w:spacing w:before="0"/>
              <w:rPr>
                <w:bCs/>
                <w:sz w:val="23"/>
                <w:szCs w:val="23"/>
                <w:lang w:val="en-US"/>
              </w:rPr>
            </w:pPr>
          </w:p>
        </w:tc>
        <w:tc>
          <w:tcPr>
            <w:tcW w:w="2465" w:type="dxa"/>
            <w:tcBorders/>
            <w:vAlign w:val="center"/>
          </w:tcPr>
          <w:p>
            <w:pPr>
              <w:pStyle w:val="style0"/>
              <w:spacing w:before="0"/>
              <w:rPr>
                <w:i/>
                <w:iCs/>
                <w:sz w:val="23"/>
                <w:szCs w:val="23"/>
              </w:rPr>
            </w:pPr>
            <w:r>
              <w:rPr>
                <w:sz w:val="23"/>
                <w:szCs w:val="23"/>
              </w:rPr>
              <w:t>L’Anthracnose du niébé</w:t>
            </w:r>
          </w:p>
        </w:tc>
        <w:tc>
          <w:tcPr>
            <w:tcW w:w="6890" w:type="dxa"/>
            <w:tcBorders/>
            <w:vAlign w:val="center"/>
          </w:tcPr>
          <w:p>
            <w:pPr>
              <w:pStyle w:val="style0"/>
              <w:spacing w:before="0"/>
              <w:rPr>
                <w:i/>
                <w:iCs/>
                <w:sz w:val="23"/>
                <w:szCs w:val="23"/>
                <w:lang w:val="en-US"/>
              </w:rPr>
            </w:pPr>
            <w:r>
              <w:rPr>
                <w:i/>
                <w:iCs/>
                <w:sz w:val="23"/>
                <w:szCs w:val="23"/>
                <w:lang w:val="en-US"/>
              </w:rPr>
              <w:t>Colletotrichum capsici (Syd.) Butler &amp; Bisby</w:t>
            </w:r>
          </w:p>
        </w:tc>
      </w:tr>
      <w:tr>
        <w:tblPrEx/>
        <w:trPr>
          <w:trHeight w:val="363" w:hRule="atLeast"/>
        </w:trPr>
        <w:tc>
          <w:tcPr>
            <w:tcW w:w="2562" w:type="dxa"/>
            <w:vMerge w:val="continue"/>
            <w:tcBorders/>
          </w:tcPr>
          <w:p>
            <w:pPr>
              <w:pStyle w:val="style0"/>
              <w:spacing w:before="0"/>
              <w:rPr>
                <w:bCs/>
                <w:sz w:val="23"/>
                <w:szCs w:val="23"/>
                <w:lang w:val="en-US"/>
              </w:rPr>
            </w:pPr>
          </w:p>
        </w:tc>
        <w:tc>
          <w:tcPr>
            <w:tcW w:w="2465" w:type="dxa"/>
            <w:tcBorders/>
            <w:vAlign w:val="center"/>
          </w:tcPr>
          <w:p>
            <w:pPr>
              <w:pStyle w:val="style0"/>
              <w:spacing w:before="0"/>
              <w:rPr>
                <w:bCs/>
                <w:sz w:val="23"/>
                <w:szCs w:val="23"/>
              </w:rPr>
            </w:pPr>
            <w:r>
              <w:rPr>
                <w:bCs/>
                <w:sz w:val="23"/>
                <w:szCs w:val="23"/>
              </w:rPr>
              <w:t>La Pourriture cendrée ou sèche</w:t>
            </w:r>
          </w:p>
        </w:tc>
        <w:tc>
          <w:tcPr>
            <w:tcW w:w="6890" w:type="dxa"/>
            <w:tcBorders/>
            <w:vAlign w:val="center"/>
          </w:tcPr>
          <w:p>
            <w:pPr>
              <w:pStyle w:val="style0"/>
              <w:spacing w:before="0"/>
              <w:rPr>
                <w:i/>
                <w:iCs/>
                <w:sz w:val="23"/>
                <w:szCs w:val="23"/>
              </w:rPr>
            </w:pPr>
            <w:r>
              <w:rPr>
                <w:i/>
                <w:iCs/>
                <w:sz w:val="23"/>
                <w:szCs w:val="23"/>
              </w:rPr>
              <w:t>Macrophomina phaseolina (Tassi) Goid</w:t>
            </w:r>
          </w:p>
        </w:tc>
      </w:tr>
      <w:tr>
        <w:tblPrEx/>
        <w:trPr>
          <w:trHeight w:val="256" w:hRule="atLeast"/>
        </w:trPr>
        <w:tc>
          <w:tcPr>
            <w:tcW w:w="2562" w:type="dxa"/>
            <w:vMerge w:val="continue"/>
            <w:tcBorders/>
          </w:tcPr>
          <w:p>
            <w:pPr>
              <w:pStyle w:val="style0"/>
              <w:spacing w:before="0"/>
              <w:rPr>
                <w:bCs/>
                <w:sz w:val="23"/>
                <w:szCs w:val="23"/>
              </w:rPr>
            </w:pPr>
          </w:p>
        </w:tc>
        <w:tc>
          <w:tcPr>
            <w:tcW w:w="2465" w:type="dxa"/>
            <w:tcBorders/>
            <w:vAlign w:val="center"/>
          </w:tcPr>
          <w:p>
            <w:pPr>
              <w:pStyle w:val="style0"/>
              <w:spacing w:before="0"/>
              <w:rPr>
                <w:bCs/>
                <w:sz w:val="23"/>
                <w:szCs w:val="23"/>
              </w:rPr>
            </w:pPr>
            <w:r>
              <w:rPr>
                <w:bCs/>
                <w:sz w:val="23"/>
                <w:szCs w:val="23"/>
              </w:rPr>
              <w:t>La Sclérotiniose</w:t>
            </w:r>
          </w:p>
        </w:tc>
        <w:tc>
          <w:tcPr>
            <w:tcW w:w="6890" w:type="dxa"/>
            <w:tcBorders/>
            <w:vAlign w:val="center"/>
          </w:tcPr>
          <w:p>
            <w:pPr>
              <w:pStyle w:val="style0"/>
              <w:spacing w:before="0"/>
              <w:rPr>
                <w:i/>
                <w:iCs/>
                <w:sz w:val="23"/>
                <w:szCs w:val="23"/>
              </w:rPr>
            </w:pPr>
            <w:r>
              <w:rPr>
                <w:i/>
                <w:iCs/>
                <w:sz w:val="23"/>
                <w:szCs w:val="23"/>
              </w:rPr>
              <w:t>Sclerotinia sclerotiorum</w:t>
            </w:r>
          </w:p>
        </w:tc>
      </w:tr>
    </w:tbl>
    <w:p>
      <w:pPr>
        <w:pStyle w:val="style0"/>
        <w:spacing w:before="0"/>
        <w:rPr>
          <w:b/>
        </w:rPr>
      </w:pPr>
    </w:p>
    <w:p>
      <w:pPr>
        <w:pStyle w:val="style0"/>
        <w:rPr>
          <w:b/>
        </w:rPr>
      </w:pPr>
    </w:p>
    <w:bookmarkStart w:id="229" w:name="_Toc260215"/>
    <w:p>
      <w:pPr>
        <w:pStyle w:val="style34"/>
        <w:rPr>
          <w:sz w:val="23"/>
          <w:szCs w:val="23"/>
        </w:rPr>
      </w:pPr>
      <w:r>
        <w:rPr>
          <w:sz w:val="20"/>
          <w:szCs w:val="20"/>
        </w:rPr>
        <w:t xml:space="preserve">Tableau </w:t>
      </w:r>
      <w:r>
        <w:rPr>
          <w:sz w:val="20"/>
          <w:szCs w:val="20"/>
        </w:rPr>
        <w:fldChar w:fldCharType="begin"/>
      </w:r>
      <w:r>
        <w:rPr>
          <w:sz w:val="20"/>
          <w:szCs w:val="20"/>
        </w:rPr>
        <w:instrText xml:space="preserve"> </w:instrText>
      </w:r>
      <w:r>
        <w:rPr>
          <w:sz w:val="20"/>
          <w:szCs w:val="20"/>
        </w:rPr>
        <w:instrText>SEQ</w:instrText>
      </w:r>
      <w:r>
        <w:rPr>
          <w:sz w:val="20"/>
          <w:szCs w:val="20"/>
        </w:rPr>
        <w:instrText xml:space="preserve"> Tableau \* ARABIC </w:instrText>
      </w:r>
      <w:r>
        <w:rPr>
          <w:sz w:val="20"/>
          <w:szCs w:val="20"/>
        </w:rPr>
        <w:fldChar w:fldCharType="separate"/>
      </w:r>
      <w:r>
        <w:rPr>
          <w:noProof/>
          <w:sz w:val="20"/>
          <w:szCs w:val="20"/>
        </w:rPr>
        <w:t>8</w:t>
      </w:r>
      <w:r>
        <w:rPr>
          <w:sz w:val="20"/>
          <w:szCs w:val="20"/>
        </w:rPr>
        <w:fldChar w:fldCharType="end"/>
      </w:r>
      <w:r>
        <w:rPr>
          <w:rFonts w:eastAsia="Calibri"/>
          <w:i/>
          <w:iCs/>
          <w:color w:val="1f497d"/>
          <w:sz w:val="20"/>
          <w:szCs w:val="20"/>
        </w:rPr>
        <w:t xml:space="preserve"> : </w:t>
      </w:r>
      <w:r>
        <w:rPr>
          <w:rFonts w:eastAsia="Calibri"/>
          <w:i/>
          <w:iCs/>
          <w:color w:val="1f497d"/>
          <w:sz w:val="20"/>
          <w:szCs w:val="20"/>
        </w:rPr>
        <w:t>Déprédateurs et agents pathogènes du sésame</w:t>
      </w:r>
      <w:bookmarkEnd w:id="229"/>
      <w:r>
        <w:rPr>
          <w:rFonts w:eastAsia="Calibri"/>
          <w:i/>
          <w:iCs/>
          <w:color w:val="1f497d"/>
          <w:sz w:val="20"/>
          <w:szCs w:val="20"/>
        </w:rPr>
        <w:t xml:space="preserve"> </w:t>
      </w:r>
    </w:p>
    <w:tbl>
      <w:tblPr>
        <w:tblW w:w="142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37"/>
        <w:gridCol w:w="3392"/>
        <w:gridCol w:w="2126"/>
        <w:gridCol w:w="6626"/>
      </w:tblGrid>
      <w:tr>
        <w:trPr>
          <w:trHeight w:val="340" w:hRule="atLeast"/>
        </w:trPr>
        <w:tc>
          <w:tcPr>
            <w:tcW w:w="2137" w:type="dxa"/>
            <w:tcBorders/>
          </w:tcPr>
          <w:p>
            <w:pPr>
              <w:pStyle w:val="style0"/>
              <w:spacing w:before="0"/>
              <w:rPr>
                <w:rFonts w:eastAsia="SimSun"/>
                <w:b/>
                <w:lang w:eastAsia="zh-CN"/>
              </w:rPr>
            </w:pPr>
            <w:r>
              <w:rPr>
                <w:rFonts w:eastAsia="SimSun"/>
                <w:b/>
                <w:lang w:eastAsia="zh-CN"/>
              </w:rPr>
              <w:t>D</w:t>
            </w:r>
            <w:r>
              <w:rPr>
                <w:rFonts w:eastAsia="SimSun"/>
                <w:b/>
                <w:lang w:eastAsia="zh-CN"/>
              </w:rPr>
              <w:t xml:space="preserve">éprédateurs </w:t>
            </w:r>
          </w:p>
        </w:tc>
        <w:tc>
          <w:tcPr>
            <w:tcW w:w="3392" w:type="dxa"/>
            <w:tcBorders/>
          </w:tcPr>
          <w:p>
            <w:pPr>
              <w:pStyle w:val="style0"/>
              <w:spacing w:before="0"/>
              <w:rPr>
                <w:rFonts w:eastAsia="SimSun"/>
                <w:b/>
                <w:color w:val="000000"/>
                <w:lang w:eastAsia="zh-CN"/>
              </w:rPr>
            </w:pPr>
            <w:r>
              <w:rPr>
                <w:rFonts w:eastAsia="SimSun"/>
                <w:b/>
                <w:color w:val="000000"/>
                <w:lang w:eastAsia="zh-CN"/>
              </w:rPr>
              <w:t>Organes attaqués de la plante</w:t>
            </w:r>
          </w:p>
        </w:tc>
        <w:tc>
          <w:tcPr>
            <w:tcW w:w="2126" w:type="dxa"/>
            <w:tcBorders/>
          </w:tcPr>
          <w:p>
            <w:pPr>
              <w:pStyle w:val="style0"/>
              <w:spacing w:before="0"/>
              <w:rPr>
                <w:rFonts w:eastAsia="SimSun"/>
                <w:b/>
                <w:color w:val="000000"/>
                <w:lang w:eastAsia="zh-CN"/>
              </w:rPr>
            </w:pPr>
            <w:r>
              <w:rPr>
                <w:rFonts w:eastAsia="SimSun"/>
                <w:b/>
                <w:color w:val="000000"/>
                <w:lang w:eastAsia="zh-CN"/>
              </w:rPr>
              <w:t>Ordres</w:t>
            </w:r>
            <w:r>
              <w:rPr>
                <w:rFonts w:eastAsia="SimSun"/>
                <w:b/>
                <w:color w:val="000000"/>
                <w:lang w:eastAsia="zh-CN"/>
              </w:rPr>
              <w:t>/familles</w:t>
            </w:r>
          </w:p>
        </w:tc>
        <w:tc>
          <w:tcPr>
            <w:tcW w:w="6626" w:type="dxa"/>
            <w:tcBorders/>
          </w:tcPr>
          <w:p>
            <w:pPr>
              <w:pStyle w:val="style0"/>
              <w:spacing w:before="0"/>
              <w:rPr>
                <w:rFonts w:eastAsia="SimSun"/>
                <w:b/>
                <w:color w:val="000000"/>
                <w:lang w:eastAsia="zh-CN"/>
              </w:rPr>
            </w:pPr>
            <w:r>
              <w:rPr>
                <w:rFonts w:eastAsia="SimSun"/>
                <w:b/>
                <w:color w:val="000000"/>
                <w:lang w:eastAsia="zh-CN"/>
              </w:rPr>
              <w:t>Genres et espèces</w:t>
            </w:r>
          </w:p>
        </w:tc>
      </w:tr>
      <w:tr>
        <w:tblPrEx/>
        <w:trPr>
          <w:trHeight w:val="340" w:hRule="atLeast"/>
        </w:trPr>
        <w:tc>
          <w:tcPr>
            <w:tcW w:w="2137" w:type="dxa"/>
            <w:vMerge w:val="restart"/>
            <w:tcBorders/>
          </w:tcPr>
          <w:p>
            <w:pPr>
              <w:pStyle w:val="style0"/>
              <w:spacing w:before="0"/>
              <w:rPr>
                <w:rFonts w:eastAsia="SimSun"/>
                <w:lang w:eastAsia="zh-CN"/>
              </w:rPr>
            </w:pPr>
            <w:r>
              <w:rPr>
                <w:rFonts w:eastAsia="SimSun"/>
                <w:lang w:eastAsia="zh-CN"/>
              </w:rPr>
              <w:t>Les insectes ravageurs</w:t>
            </w:r>
          </w:p>
        </w:tc>
        <w:tc>
          <w:tcPr>
            <w:tcW w:w="3392" w:type="dxa"/>
            <w:vMerge w:val="restart"/>
            <w:tcBorders/>
          </w:tcPr>
          <w:p>
            <w:pPr>
              <w:pStyle w:val="style0"/>
              <w:spacing w:before="0"/>
              <w:rPr>
                <w:rFonts w:eastAsia="SimSun"/>
                <w:color w:val="000000"/>
                <w:lang w:eastAsia="zh-CN"/>
              </w:rPr>
            </w:pPr>
            <w:r>
              <w:rPr>
                <w:rFonts w:eastAsia="SimSun"/>
                <w:color w:val="000000"/>
                <w:lang w:eastAsia="zh-CN"/>
              </w:rPr>
              <w:t>Feuilles, fleurs et capsules</w:t>
            </w:r>
          </w:p>
        </w:tc>
        <w:tc>
          <w:tcPr>
            <w:tcW w:w="2126" w:type="dxa"/>
            <w:tcBorders/>
          </w:tcPr>
          <w:p>
            <w:pPr>
              <w:pStyle w:val="style0"/>
              <w:spacing w:before="0"/>
              <w:rPr>
                <w:rFonts w:eastAsia="SimSun"/>
                <w:i/>
                <w:color w:val="000000"/>
                <w:lang w:eastAsia="zh-CN"/>
              </w:rPr>
            </w:pPr>
            <w:r>
              <w:rPr>
                <w:rFonts w:eastAsia="SimSun"/>
                <w:color w:val="000000"/>
                <w:lang w:eastAsia="zh-CN"/>
              </w:rPr>
              <w:t>Lépidoptères</w:t>
            </w:r>
          </w:p>
        </w:tc>
        <w:tc>
          <w:tcPr>
            <w:tcW w:w="6626" w:type="dxa"/>
            <w:tcBorders/>
          </w:tcPr>
          <w:p>
            <w:pPr>
              <w:pStyle w:val="style0"/>
              <w:spacing w:before="0"/>
              <w:rPr>
                <w:rFonts w:eastAsia="SimSun"/>
                <w:color w:val="000000"/>
                <w:lang w:val="pt-BR" w:eastAsia="zh-CN"/>
              </w:rPr>
            </w:pPr>
            <w:r>
              <w:rPr>
                <w:rFonts w:eastAsia="SimSun"/>
                <w:i/>
                <w:color w:val="000000"/>
                <w:lang w:val="pt-BR" w:eastAsia="zh-CN"/>
              </w:rPr>
              <w:t xml:space="preserve">Antigastra catalaunalis, Amsacta sp Syllepta derogata </w:t>
            </w:r>
          </w:p>
        </w:tc>
      </w:tr>
      <w:tr>
        <w:tblPrEx/>
        <w:trPr>
          <w:trHeight w:val="340" w:hRule="atLeast"/>
        </w:trPr>
        <w:tc>
          <w:tcPr>
            <w:tcW w:w="2137" w:type="dxa"/>
            <w:vMerge w:val="continue"/>
            <w:tcBorders/>
          </w:tcPr>
          <w:p>
            <w:pPr>
              <w:pStyle w:val="style0"/>
              <w:spacing w:before="0"/>
              <w:rPr>
                <w:rFonts w:eastAsia="SimSun"/>
                <w:lang w:val="pt-BR" w:eastAsia="zh-CN"/>
              </w:rPr>
            </w:pPr>
          </w:p>
        </w:tc>
        <w:tc>
          <w:tcPr>
            <w:tcW w:w="3392" w:type="dxa"/>
            <w:vMerge w:val="continue"/>
            <w:tcBorders/>
          </w:tcPr>
          <w:p>
            <w:pPr>
              <w:pStyle w:val="style0"/>
              <w:spacing w:before="0"/>
              <w:rPr>
                <w:rFonts w:eastAsia="SimSun"/>
                <w:color w:val="000000"/>
                <w:lang w:val="pt-BR" w:eastAsia="zh-CN"/>
              </w:rPr>
            </w:pPr>
          </w:p>
        </w:tc>
        <w:tc>
          <w:tcPr>
            <w:tcW w:w="2126" w:type="dxa"/>
            <w:tcBorders/>
          </w:tcPr>
          <w:p>
            <w:pPr>
              <w:pStyle w:val="style0"/>
              <w:spacing w:before="0"/>
              <w:rPr>
                <w:rFonts w:eastAsia="SimSun"/>
                <w:i/>
                <w:iCs/>
                <w:lang w:eastAsia="zh-CN"/>
              </w:rPr>
            </w:pPr>
            <w:r>
              <w:rPr>
                <w:rFonts w:eastAsia="SimSun"/>
                <w:color w:val="000000"/>
                <w:lang w:eastAsia="zh-CN"/>
              </w:rPr>
              <w:t>Homoptères</w:t>
            </w:r>
          </w:p>
        </w:tc>
        <w:tc>
          <w:tcPr>
            <w:tcW w:w="6626" w:type="dxa"/>
            <w:tcBorders/>
          </w:tcPr>
          <w:p>
            <w:pPr>
              <w:pStyle w:val="style0"/>
              <w:spacing w:before="0"/>
              <w:rPr>
                <w:rFonts w:eastAsia="SimSun"/>
                <w:iCs/>
                <w:lang w:eastAsia="zh-CN"/>
              </w:rPr>
            </w:pPr>
            <w:r>
              <w:rPr>
                <w:rFonts w:eastAsia="SimSun"/>
                <w:i/>
                <w:iCs/>
                <w:lang w:eastAsia="zh-CN"/>
              </w:rPr>
              <w:t>Bemisia</w:t>
            </w:r>
            <w:r>
              <w:rPr>
                <w:rFonts w:eastAsia="SimSun"/>
                <w:i/>
                <w:iCs/>
                <w:lang w:eastAsia="zh-CN"/>
              </w:rPr>
              <w:t xml:space="preserve"> tabaci </w:t>
            </w:r>
            <w:r>
              <w:rPr>
                <w:rFonts w:eastAsia="SimSun"/>
                <w:iCs/>
                <w:lang w:eastAsia="zh-CN"/>
              </w:rPr>
              <w:t xml:space="preserve">(mouche blanche) ; </w:t>
            </w:r>
            <w:r>
              <w:rPr>
                <w:rFonts w:eastAsia="SimSun"/>
                <w:i/>
                <w:iCs/>
                <w:lang w:eastAsia="zh-CN"/>
              </w:rPr>
              <w:t>Aphis gossypii</w:t>
            </w:r>
            <w:r>
              <w:rPr>
                <w:rFonts w:eastAsia="SimSun"/>
                <w:lang w:eastAsia="zh-CN"/>
              </w:rPr>
              <w:t> </w:t>
            </w:r>
            <w:r>
              <w:rPr>
                <w:rFonts w:eastAsia="SimSun"/>
                <w:lang w:eastAsia="zh-CN"/>
              </w:rPr>
              <w:t>(pucerons)</w:t>
            </w:r>
            <w:r>
              <w:rPr>
                <w:rFonts w:eastAsia="SimSun"/>
                <w:lang w:eastAsia="zh-CN"/>
              </w:rPr>
              <w:t xml:space="preserve"> </w:t>
            </w:r>
            <w:r>
              <w:rPr>
                <w:rFonts w:eastAsia="SimSun"/>
                <w:i/>
                <w:color w:val="000000"/>
                <w:lang w:eastAsia="zh-CN"/>
              </w:rPr>
              <w:t>Oxycarenus hyalinipennis</w:t>
            </w:r>
          </w:p>
        </w:tc>
      </w:tr>
      <w:tr>
        <w:tblPrEx/>
        <w:trPr>
          <w:trHeight w:val="276" w:hRule="atLeast"/>
        </w:trPr>
        <w:tc>
          <w:tcPr>
            <w:tcW w:w="2137" w:type="dxa"/>
            <w:vMerge w:val="continue"/>
            <w:tcBorders/>
          </w:tcPr>
          <w:p>
            <w:pPr>
              <w:pStyle w:val="style0"/>
              <w:spacing w:before="0"/>
              <w:rPr>
                <w:rFonts w:eastAsia="SimSun"/>
                <w:i/>
                <w:iCs/>
                <w:lang w:eastAsia="zh-CN"/>
              </w:rPr>
            </w:pPr>
          </w:p>
        </w:tc>
        <w:tc>
          <w:tcPr>
            <w:tcW w:w="3392" w:type="dxa"/>
            <w:vMerge w:val="continue"/>
            <w:tcBorders/>
          </w:tcPr>
          <w:p>
            <w:pPr>
              <w:pStyle w:val="style0"/>
              <w:spacing w:before="0"/>
              <w:rPr>
                <w:rFonts w:eastAsia="SimSun"/>
                <w:i/>
                <w:iCs/>
                <w:lang w:eastAsia="zh-CN"/>
              </w:rPr>
            </w:pPr>
          </w:p>
        </w:tc>
        <w:tc>
          <w:tcPr>
            <w:tcW w:w="2126" w:type="dxa"/>
            <w:tcBorders/>
          </w:tcPr>
          <w:p>
            <w:pPr>
              <w:pStyle w:val="style0"/>
              <w:spacing w:before="0"/>
              <w:rPr>
                <w:rFonts w:eastAsia="SimSun"/>
                <w:lang w:eastAsia="zh-CN"/>
              </w:rPr>
            </w:pPr>
            <w:r>
              <w:rPr>
                <w:rFonts w:eastAsia="SimSun"/>
                <w:iCs/>
                <w:lang w:eastAsia="zh-CN"/>
              </w:rPr>
              <w:t>Coléoptères</w:t>
            </w:r>
          </w:p>
        </w:tc>
        <w:tc>
          <w:tcPr>
            <w:tcW w:w="6626" w:type="dxa"/>
            <w:tcBorders/>
          </w:tcPr>
          <w:p>
            <w:pPr>
              <w:pStyle w:val="style0"/>
              <w:spacing w:before="0"/>
              <w:rPr>
                <w:rFonts w:eastAsia="SimSun"/>
                <w:i/>
                <w:lang w:eastAsia="zh-CN"/>
              </w:rPr>
            </w:pPr>
            <w:r>
              <w:rPr>
                <w:rFonts w:eastAsia="SimSun"/>
                <w:i/>
                <w:lang w:eastAsia="zh-CN"/>
              </w:rPr>
              <w:t>Asphondylla sesami</w:t>
            </w:r>
            <w:r>
              <w:rPr>
                <w:rFonts w:eastAsia="SimSun"/>
                <w:i/>
                <w:lang w:eastAsia="zh-CN"/>
              </w:rPr>
              <w:t xml:space="preserve">, </w:t>
            </w:r>
            <w:r>
              <w:rPr>
                <w:rFonts w:eastAsia="SimSun"/>
                <w:i/>
                <w:color w:val="000000"/>
                <w:lang w:eastAsia="zh-CN"/>
              </w:rPr>
              <w:t>Epilachna chrysomelina</w:t>
            </w:r>
          </w:p>
        </w:tc>
      </w:tr>
      <w:tr>
        <w:tblPrEx/>
        <w:trPr>
          <w:trHeight w:val="276" w:hRule="atLeast"/>
        </w:trPr>
        <w:tc>
          <w:tcPr>
            <w:tcW w:w="2137" w:type="dxa"/>
            <w:vMerge w:val="continue"/>
            <w:tcBorders/>
          </w:tcPr>
          <w:p>
            <w:pPr>
              <w:pStyle w:val="style0"/>
              <w:spacing w:before="0"/>
              <w:rPr>
                <w:rFonts w:eastAsia="SimSun"/>
                <w:i/>
                <w:iCs/>
                <w:lang w:eastAsia="zh-CN"/>
              </w:rPr>
            </w:pPr>
          </w:p>
        </w:tc>
        <w:tc>
          <w:tcPr>
            <w:tcW w:w="3392" w:type="dxa"/>
            <w:vMerge w:val="restart"/>
            <w:tcBorders/>
          </w:tcPr>
          <w:p>
            <w:pPr>
              <w:pStyle w:val="style0"/>
              <w:spacing w:before="0"/>
              <w:rPr>
                <w:rFonts w:eastAsia="SimSun"/>
                <w:iCs/>
                <w:lang w:eastAsia="zh-CN"/>
              </w:rPr>
            </w:pPr>
            <w:r>
              <w:rPr>
                <w:rFonts w:eastAsia="SimSun"/>
                <w:iCs/>
                <w:lang w:eastAsia="zh-CN"/>
              </w:rPr>
              <w:t>Grains stockés</w:t>
            </w:r>
          </w:p>
        </w:tc>
        <w:tc>
          <w:tcPr>
            <w:tcW w:w="2126" w:type="dxa"/>
            <w:tcBorders/>
          </w:tcPr>
          <w:p>
            <w:pPr>
              <w:pStyle w:val="style0"/>
              <w:spacing w:before="0"/>
              <w:rPr>
                <w:rFonts w:eastAsia="SimSun"/>
                <w:iCs/>
                <w:lang w:eastAsia="zh-CN"/>
              </w:rPr>
            </w:pPr>
            <w:r>
              <w:rPr>
                <w:rFonts w:eastAsia="SimSun"/>
                <w:iCs/>
                <w:lang w:eastAsia="zh-CN"/>
              </w:rPr>
              <w:t>Lépidoptères</w:t>
            </w:r>
          </w:p>
        </w:tc>
        <w:tc>
          <w:tcPr>
            <w:tcW w:w="6626" w:type="dxa"/>
            <w:tcBorders/>
          </w:tcPr>
          <w:p>
            <w:pPr>
              <w:pStyle w:val="style0"/>
              <w:spacing w:before="0"/>
              <w:rPr>
                <w:rFonts w:eastAsia="SimSun"/>
                <w:i/>
                <w:lang w:eastAsia="zh-CN"/>
              </w:rPr>
            </w:pPr>
            <w:r>
              <w:rPr>
                <w:rFonts w:eastAsia="SimSun"/>
                <w:i/>
                <w:iCs/>
                <w:lang w:eastAsia="zh-CN"/>
              </w:rPr>
              <w:t xml:space="preserve">Corcyra </w:t>
            </w:r>
            <w:r>
              <w:rPr>
                <w:rFonts w:eastAsia="SimSun"/>
                <w:iCs/>
                <w:lang w:eastAsia="zh-CN"/>
              </w:rPr>
              <w:t>sp</w:t>
            </w:r>
          </w:p>
        </w:tc>
      </w:tr>
      <w:tr>
        <w:tblPrEx/>
        <w:trPr>
          <w:trHeight w:val="235" w:hRule="atLeast"/>
        </w:trPr>
        <w:tc>
          <w:tcPr>
            <w:tcW w:w="2137" w:type="dxa"/>
            <w:vMerge w:val="continue"/>
            <w:tcBorders/>
          </w:tcPr>
          <w:p>
            <w:pPr>
              <w:pStyle w:val="style0"/>
              <w:spacing w:before="0"/>
              <w:rPr>
                <w:rFonts w:eastAsia="SimSun"/>
                <w:i/>
                <w:iCs/>
                <w:lang w:eastAsia="zh-CN"/>
              </w:rPr>
            </w:pPr>
          </w:p>
        </w:tc>
        <w:tc>
          <w:tcPr>
            <w:tcW w:w="3392" w:type="dxa"/>
            <w:vMerge w:val="continue"/>
            <w:tcBorders/>
          </w:tcPr>
          <w:p>
            <w:pPr>
              <w:pStyle w:val="style0"/>
              <w:spacing w:before="0"/>
              <w:rPr>
                <w:rFonts w:eastAsia="SimSun"/>
                <w:iCs/>
                <w:lang w:eastAsia="zh-CN"/>
              </w:rPr>
            </w:pPr>
          </w:p>
        </w:tc>
        <w:tc>
          <w:tcPr>
            <w:tcW w:w="2126" w:type="dxa"/>
            <w:tcBorders/>
          </w:tcPr>
          <w:p>
            <w:pPr>
              <w:pStyle w:val="style0"/>
              <w:spacing w:before="0"/>
              <w:rPr>
                <w:rFonts w:eastAsia="SimSun"/>
                <w:iCs/>
                <w:lang w:eastAsia="zh-CN"/>
              </w:rPr>
            </w:pPr>
            <w:r>
              <w:rPr>
                <w:rFonts w:eastAsia="SimSun"/>
                <w:iCs/>
                <w:lang w:eastAsia="zh-CN"/>
              </w:rPr>
              <w:t>Coléoptères</w:t>
            </w:r>
          </w:p>
        </w:tc>
        <w:tc>
          <w:tcPr>
            <w:tcW w:w="6626" w:type="dxa"/>
            <w:tcBorders/>
          </w:tcPr>
          <w:p>
            <w:pPr>
              <w:pStyle w:val="style0"/>
              <w:spacing w:before="0"/>
              <w:rPr>
                <w:rFonts w:eastAsia="SimSun"/>
                <w:i/>
                <w:iCs/>
                <w:lang w:eastAsia="zh-CN"/>
              </w:rPr>
            </w:pPr>
            <w:r>
              <w:rPr>
                <w:rFonts w:eastAsia="SimSun"/>
                <w:i/>
                <w:iCs/>
                <w:lang w:eastAsia="zh-CN"/>
              </w:rPr>
              <w:t xml:space="preserve">Tribolium casteneum </w:t>
            </w:r>
          </w:p>
        </w:tc>
      </w:tr>
    </w:tbl>
    <w:p>
      <w:pPr>
        <w:pStyle w:val="style0"/>
        <w:spacing w:before="0"/>
        <w:rPr/>
      </w:pPr>
    </w:p>
    <w:tbl>
      <w:tblPr>
        <w:tblW w:w="142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3510"/>
        <w:gridCol w:w="3147"/>
        <w:gridCol w:w="5350"/>
      </w:tblGrid>
      <w:tr>
        <w:trPr>
          <w:trHeight w:val="277" w:hRule="atLeast"/>
        </w:trPr>
        <w:tc>
          <w:tcPr>
            <w:tcW w:w="2274" w:type="dxa"/>
            <w:tcBorders/>
            <w:vAlign w:val="center"/>
          </w:tcPr>
          <w:p>
            <w:pPr>
              <w:pStyle w:val="style0"/>
              <w:spacing w:before="0"/>
              <w:rPr>
                <w:rFonts w:eastAsia="SimSun"/>
                <w:b/>
                <w:lang w:eastAsia="zh-CN"/>
              </w:rPr>
            </w:pPr>
            <w:r>
              <w:rPr>
                <w:rFonts w:eastAsia="SimSun"/>
                <w:b/>
                <w:lang w:eastAsia="zh-CN"/>
              </w:rPr>
              <w:t>A</w:t>
            </w:r>
            <w:r>
              <w:rPr>
                <w:rFonts w:eastAsia="SimSun"/>
                <w:b/>
                <w:lang w:eastAsia="zh-CN"/>
              </w:rPr>
              <w:t>gents pathogènes</w:t>
            </w:r>
          </w:p>
        </w:tc>
        <w:tc>
          <w:tcPr>
            <w:tcW w:w="3510" w:type="dxa"/>
            <w:tcBorders/>
            <w:vAlign w:val="center"/>
          </w:tcPr>
          <w:p>
            <w:pPr>
              <w:pStyle w:val="style0"/>
              <w:spacing w:before="0"/>
              <w:rPr>
                <w:rFonts w:eastAsia="SimSun"/>
                <w:b/>
                <w:color w:val="000000"/>
                <w:lang w:eastAsia="zh-CN"/>
              </w:rPr>
            </w:pPr>
            <w:r>
              <w:rPr>
                <w:rFonts w:eastAsia="SimSun"/>
                <w:b/>
                <w:color w:val="000000"/>
                <w:lang w:eastAsia="zh-CN"/>
              </w:rPr>
              <w:t>Organes attaqués de la plante</w:t>
            </w:r>
          </w:p>
        </w:tc>
        <w:tc>
          <w:tcPr>
            <w:tcW w:w="3147" w:type="dxa"/>
            <w:tcBorders/>
          </w:tcPr>
          <w:p>
            <w:pPr>
              <w:pStyle w:val="style0"/>
              <w:spacing w:before="0"/>
              <w:rPr>
                <w:rFonts w:eastAsia="SimSun"/>
                <w:b/>
                <w:color w:val="000000"/>
                <w:lang w:eastAsia="zh-CN"/>
              </w:rPr>
            </w:pPr>
            <w:r>
              <w:rPr>
                <w:rFonts w:eastAsia="SimSun"/>
                <w:b/>
                <w:color w:val="000000"/>
                <w:lang w:eastAsia="zh-CN"/>
              </w:rPr>
              <w:t>Ordres</w:t>
            </w:r>
            <w:r>
              <w:rPr>
                <w:rFonts w:eastAsia="SimSun"/>
                <w:b/>
                <w:color w:val="000000"/>
                <w:lang w:eastAsia="zh-CN"/>
              </w:rPr>
              <w:t>/familles</w:t>
            </w:r>
          </w:p>
        </w:tc>
        <w:tc>
          <w:tcPr>
            <w:tcW w:w="5350" w:type="dxa"/>
            <w:tcBorders/>
            <w:vAlign w:val="center"/>
          </w:tcPr>
          <w:p>
            <w:pPr>
              <w:pStyle w:val="style0"/>
              <w:spacing w:before="0"/>
              <w:rPr>
                <w:rFonts w:eastAsia="SimSun"/>
                <w:b/>
                <w:color w:val="000000"/>
                <w:lang w:eastAsia="zh-CN"/>
              </w:rPr>
            </w:pPr>
            <w:r>
              <w:rPr>
                <w:rFonts w:eastAsia="SimSun"/>
                <w:b/>
                <w:color w:val="000000"/>
                <w:lang w:eastAsia="zh-CN"/>
              </w:rPr>
              <w:t>Genres et espèces</w:t>
            </w:r>
          </w:p>
        </w:tc>
      </w:tr>
      <w:tr>
        <w:tblPrEx/>
        <w:trPr>
          <w:trHeight w:val="248" w:hRule="atLeast"/>
        </w:trPr>
        <w:tc>
          <w:tcPr>
            <w:tcW w:w="2274" w:type="dxa"/>
            <w:vMerge w:val="restart"/>
            <w:tcBorders/>
            <w:vAlign w:val="center"/>
          </w:tcPr>
          <w:p>
            <w:pPr>
              <w:pStyle w:val="style0"/>
              <w:spacing w:before="0"/>
              <w:rPr>
                <w:rFonts w:eastAsia="SimSun"/>
                <w:b/>
                <w:lang w:eastAsia="zh-CN"/>
              </w:rPr>
            </w:pPr>
            <w:r>
              <w:t>Les agents pathogènes</w:t>
            </w:r>
          </w:p>
          <w:p>
            <w:pPr>
              <w:pStyle w:val="style0"/>
              <w:spacing w:before="0"/>
              <w:rPr>
                <w:rFonts w:eastAsia="SimSun"/>
                <w:b/>
                <w:lang w:eastAsia="zh-CN"/>
              </w:rPr>
            </w:pPr>
          </w:p>
        </w:tc>
        <w:tc>
          <w:tcPr>
            <w:tcW w:w="3510" w:type="dxa"/>
            <w:tcBorders/>
            <w:vAlign w:val="center"/>
          </w:tcPr>
          <w:p>
            <w:pPr>
              <w:pStyle w:val="style0"/>
              <w:spacing w:before="0"/>
              <w:rPr>
                <w:bCs/>
              </w:rPr>
            </w:pPr>
            <w:r>
              <w:rPr>
                <w:bCs/>
              </w:rPr>
              <w:t>Racines, collet et tiges</w:t>
            </w:r>
          </w:p>
        </w:tc>
        <w:tc>
          <w:tcPr>
            <w:tcW w:w="3147" w:type="dxa"/>
            <w:vMerge w:val="restart"/>
            <w:tcBorders/>
            <w:vAlign w:val="center"/>
          </w:tcPr>
          <w:p>
            <w:pPr>
              <w:pStyle w:val="style0"/>
              <w:spacing w:before="0"/>
              <w:rPr>
                <w:rFonts w:eastAsia="SimSun"/>
                <w:i/>
                <w:iCs/>
                <w:lang w:eastAsia="zh-CN"/>
              </w:rPr>
            </w:pPr>
            <w:r>
              <w:rPr>
                <w:bCs/>
              </w:rPr>
              <w:t>Champignons</w:t>
            </w:r>
          </w:p>
        </w:tc>
        <w:tc>
          <w:tcPr>
            <w:tcW w:w="5350" w:type="dxa"/>
            <w:tcBorders/>
            <w:vAlign w:val="center"/>
          </w:tcPr>
          <w:p>
            <w:pPr>
              <w:pStyle w:val="style0"/>
              <w:spacing w:before="0"/>
              <w:rPr>
                <w:rFonts w:eastAsia="SimSun"/>
                <w:i/>
                <w:iCs/>
                <w:lang w:val="en-US" w:eastAsia="zh-CN"/>
              </w:rPr>
            </w:pPr>
            <w:r>
              <w:rPr>
                <w:rFonts w:eastAsia="SimSun"/>
                <w:i/>
                <w:iCs/>
                <w:lang w:val="en-US" w:eastAsia="zh-CN"/>
              </w:rPr>
              <w:t xml:space="preserve">Pythium sp ; </w:t>
            </w:r>
            <w:r>
              <w:rPr>
                <w:rFonts w:eastAsia="SimSun"/>
                <w:i/>
                <w:iCs/>
                <w:lang w:val="en-US" w:eastAsia="zh-CN"/>
              </w:rPr>
              <w:t>Macrophomina phaseolina</w:t>
            </w:r>
          </w:p>
        </w:tc>
      </w:tr>
      <w:tr>
        <w:tblPrEx/>
        <w:trPr>
          <w:trHeight w:val="319" w:hRule="atLeast"/>
        </w:trPr>
        <w:tc>
          <w:tcPr>
            <w:tcW w:w="2274" w:type="dxa"/>
            <w:vMerge w:val="continue"/>
            <w:tcBorders/>
            <w:vAlign w:val="center"/>
          </w:tcPr>
          <w:p>
            <w:pPr>
              <w:pStyle w:val="style0"/>
              <w:spacing w:before="0"/>
              <w:rPr>
                <w:rFonts w:eastAsia="SimSun"/>
                <w:b/>
                <w:lang w:eastAsia="zh-CN"/>
              </w:rPr>
            </w:pPr>
          </w:p>
        </w:tc>
        <w:tc>
          <w:tcPr>
            <w:tcW w:w="3510" w:type="dxa"/>
            <w:tcBorders/>
            <w:vAlign w:val="center"/>
          </w:tcPr>
          <w:p>
            <w:pPr>
              <w:pStyle w:val="style0"/>
              <w:spacing w:before="0"/>
              <w:rPr>
                <w:bCs/>
              </w:rPr>
            </w:pPr>
            <w:r>
              <w:rPr>
                <w:bCs/>
              </w:rPr>
              <w:t>fe</w:t>
            </w:r>
            <w:r>
              <w:rPr>
                <w:bCs/>
              </w:rPr>
              <w:t>uilles et des tiges</w:t>
            </w:r>
          </w:p>
        </w:tc>
        <w:tc>
          <w:tcPr>
            <w:tcW w:w="3147" w:type="dxa"/>
            <w:vMerge w:val="continue"/>
            <w:tcBorders/>
          </w:tcPr>
          <w:p>
            <w:pPr>
              <w:pStyle w:val="style0"/>
              <w:spacing w:before="0"/>
              <w:rPr>
                <w:rFonts w:eastAsia="SimSun"/>
                <w:i/>
                <w:iCs/>
                <w:lang w:eastAsia="zh-CN"/>
              </w:rPr>
            </w:pPr>
          </w:p>
        </w:tc>
        <w:tc>
          <w:tcPr>
            <w:tcW w:w="5350" w:type="dxa"/>
            <w:tcBorders/>
            <w:vAlign w:val="center"/>
          </w:tcPr>
          <w:p>
            <w:pPr>
              <w:pStyle w:val="style0"/>
              <w:spacing w:before="0"/>
              <w:rPr>
                <w:rFonts w:eastAsia="SimSun"/>
                <w:i/>
                <w:iCs/>
                <w:lang w:eastAsia="zh-CN"/>
              </w:rPr>
            </w:pPr>
            <w:r>
              <w:rPr>
                <w:rFonts w:eastAsia="SimSun"/>
                <w:i/>
                <w:iCs/>
                <w:lang w:eastAsia="zh-CN"/>
              </w:rPr>
              <w:t>Alternaria s</w:t>
            </w:r>
            <w:r>
              <w:rPr>
                <w:rFonts w:eastAsia="SimSun"/>
                <w:i/>
                <w:iCs/>
                <w:lang w:eastAsia="zh-CN"/>
              </w:rPr>
              <w:t xml:space="preserve">esami </w:t>
            </w:r>
            <w:r>
              <w:rPr>
                <w:rFonts w:eastAsia="SimSun"/>
                <w:i/>
                <w:iCs/>
                <w:lang w:eastAsia="zh-CN"/>
              </w:rPr>
              <w:t>;</w:t>
            </w:r>
            <w:r>
              <w:rPr>
                <w:rFonts w:eastAsia="SimSun"/>
                <w:i/>
                <w:iCs/>
                <w:lang w:eastAsia="zh-CN"/>
              </w:rPr>
              <w:t xml:space="preserve"> Cercospora sesami</w:t>
            </w:r>
          </w:p>
        </w:tc>
      </w:tr>
      <w:tr>
        <w:tblPrEx/>
        <w:trPr>
          <w:trHeight w:val="276" w:hRule="atLeast"/>
        </w:trPr>
        <w:tc>
          <w:tcPr>
            <w:tcW w:w="2274" w:type="dxa"/>
            <w:vMerge w:val="continue"/>
            <w:tcBorders/>
            <w:vAlign w:val="center"/>
          </w:tcPr>
          <w:p>
            <w:pPr>
              <w:pStyle w:val="style0"/>
              <w:spacing w:before="0"/>
              <w:rPr>
                <w:rFonts w:eastAsia="SimSun"/>
                <w:b/>
                <w:lang w:eastAsia="zh-CN"/>
              </w:rPr>
            </w:pPr>
          </w:p>
        </w:tc>
        <w:tc>
          <w:tcPr>
            <w:tcW w:w="3510" w:type="dxa"/>
            <w:tcBorders/>
            <w:vAlign w:val="center"/>
          </w:tcPr>
          <w:p>
            <w:pPr>
              <w:pStyle w:val="style0"/>
              <w:spacing w:before="0"/>
              <w:rPr>
                <w:bCs/>
              </w:rPr>
            </w:pPr>
            <w:r>
              <w:rPr>
                <w:bCs/>
              </w:rPr>
              <w:t>Feuilles et fleurs</w:t>
            </w:r>
          </w:p>
        </w:tc>
        <w:tc>
          <w:tcPr>
            <w:tcW w:w="3147" w:type="dxa"/>
            <w:vMerge w:val="continue"/>
            <w:tcBorders/>
          </w:tcPr>
          <w:p>
            <w:pPr>
              <w:pStyle w:val="style0"/>
              <w:spacing w:before="0"/>
              <w:rPr>
                <w:rFonts w:eastAsia="SimSun"/>
                <w:i/>
                <w:iCs/>
                <w:lang w:eastAsia="zh-CN"/>
              </w:rPr>
            </w:pPr>
          </w:p>
        </w:tc>
        <w:tc>
          <w:tcPr>
            <w:tcW w:w="5350" w:type="dxa"/>
            <w:tcBorders/>
            <w:vAlign w:val="center"/>
          </w:tcPr>
          <w:p>
            <w:pPr>
              <w:pStyle w:val="style0"/>
              <w:spacing w:before="0"/>
              <w:rPr>
                <w:rFonts w:eastAsia="SimSun"/>
                <w:i/>
                <w:iCs/>
                <w:lang w:eastAsia="zh-CN"/>
              </w:rPr>
            </w:pPr>
            <w:r>
              <w:rPr>
                <w:rFonts w:eastAsia="SimSun"/>
                <w:i/>
                <w:iCs/>
                <w:lang w:eastAsia="zh-CN"/>
              </w:rPr>
              <w:t>Phyllodie</w:t>
            </w:r>
          </w:p>
        </w:tc>
      </w:tr>
      <w:tr>
        <w:tblPrEx/>
        <w:trPr>
          <w:trHeight w:val="221" w:hRule="atLeast"/>
        </w:trPr>
        <w:tc>
          <w:tcPr>
            <w:tcW w:w="2274" w:type="dxa"/>
            <w:vMerge w:val="continue"/>
            <w:tcBorders/>
            <w:vAlign w:val="center"/>
          </w:tcPr>
          <w:p>
            <w:pPr>
              <w:pStyle w:val="style0"/>
              <w:spacing w:before="0"/>
              <w:rPr>
                <w:rFonts w:eastAsia="SimSun"/>
                <w:b/>
                <w:lang w:eastAsia="zh-CN"/>
              </w:rPr>
            </w:pPr>
          </w:p>
        </w:tc>
        <w:tc>
          <w:tcPr>
            <w:tcW w:w="3510" w:type="dxa"/>
            <w:tcBorders/>
            <w:vAlign w:val="center"/>
          </w:tcPr>
          <w:p>
            <w:pPr>
              <w:pStyle w:val="style0"/>
              <w:spacing w:before="0"/>
              <w:rPr>
                <w:rFonts w:eastAsia="Calibri"/>
                <w:bCs/>
              </w:rPr>
            </w:pPr>
            <w:r>
              <w:rPr>
                <w:rFonts w:eastAsia="Calibri"/>
                <w:bCs/>
              </w:rPr>
              <w:t>feuilles</w:t>
            </w:r>
          </w:p>
        </w:tc>
        <w:tc>
          <w:tcPr>
            <w:tcW w:w="3147" w:type="dxa"/>
            <w:tcBorders/>
          </w:tcPr>
          <w:p>
            <w:pPr>
              <w:pStyle w:val="style0"/>
              <w:spacing w:before="0"/>
              <w:rPr/>
            </w:pPr>
            <w:r>
              <w:t>Bactéries</w:t>
            </w:r>
          </w:p>
        </w:tc>
        <w:tc>
          <w:tcPr>
            <w:tcW w:w="5350" w:type="dxa"/>
            <w:tcBorders/>
            <w:vAlign w:val="center"/>
          </w:tcPr>
          <w:p>
            <w:pPr>
              <w:pStyle w:val="style0"/>
              <w:spacing w:before="0"/>
              <w:rPr>
                <w:rFonts w:eastAsia="SimSun"/>
                <w:i/>
                <w:iCs/>
                <w:lang w:eastAsia="zh-CN"/>
              </w:rPr>
            </w:pPr>
            <w:r>
              <w:rPr>
                <w:i/>
              </w:rPr>
              <w:t>Pseudomonas sesami</w:t>
            </w:r>
          </w:p>
        </w:tc>
      </w:tr>
    </w:tbl>
    <w:p>
      <w:pPr>
        <w:pStyle w:val="style0"/>
        <w:rPr>
          <w:i/>
          <w:sz w:val="20"/>
        </w:rPr>
      </w:pPr>
      <w:r>
        <w:rPr>
          <w:sz w:val="20"/>
        </w:rPr>
        <w:t>Photo 4</w:t>
      </w:r>
      <w:r>
        <w:rPr>
          <w:sz w:val="20"/>
        </w:rPr>
        <w:t> :</w:t>
      </w:r>
      <w:r>
        <w:rPr>
          <w:i/>
          <w:sz w:val="20"/>
        </w:rPr>
        <w:t> </w:t>
      </w:r>
      <w:r>
        <w:rPr>
          <w:i/>
          <w:sz w:val="18"/>
        </w:rPr>
        <w:t xml:space="preserve"> Antigastra catalaunalis</w:t>
      </w:r>
      <w:r>
        <w:rPr>
          <w:sz w:val="18"/>
        </w:rPr>
        <w:t xml:space="preserve"> (larve et adulte) (Sesame)</w:t>
      </w:r>
      <w:r>
        <w:rPr>
          <w:sz w:val="20"/>
        </w:rPr>
        <w:t xml:space="preserve">                  </w:t>
      </w:r>
      <w:r>
        <w:rPr>
          <w:i/>
          <w:sz w:val="20"/>
        </w:rPr>
        <w:t>Epilachna chrysomelina</w:t>
      </w:r>
      <w:r>
        <w:rPr>
          <w:sz w:val="20"/>
        </w:rPr>
        <w:t xml:space="preserve"> (adulte et larve)               </w:t>
      </w:r>
      <w:r>
        <w:rPr>
          <w:i/>
          <w:sz w:val="20"/>
        </w:rPr>
        <w:t>Aphis gossypii</w:t>
      </w:r>
      <w:r>
        <w:rPr>
          <w:sz w:val="20"/>
        </w:rPr>
        <w:t xml:space="preserve">              </w:t>
      </w:r>
      <w:r>
        <w:rPr>
          <w:i/>
          <w:sz w:val="20"/>
        </w:rPr>
        <w:t>Bemisia tabaci</w:t>
      </w:r>
    </w:p>
    <w:p>
      <w:pPr>
        <w:pStyle w:val="style0"/>
        <w:rPr>
          <w:lang w:val="en-US"/>
        </w:rPr>
      </w:pPr>
      <w:r>
        <w:rPr>
          <w:noProof/>
          <w:lang w:eastAsia="fr-FR"/>
        </w:rPr>
        <w:drawing>
          <wp:inline distT="0" distR="0" distL="0" distB="0">
            <wp:extent cx="1666288" cy="1069676"/>
            <wp:effectExtent l="0" t="0" r="0" b="0"/>
            <wp:docPr id="1038" name="Imag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rcRect l="0" t="0" r="0" b="0"/>
                    <a:stretch/>
                  </pic:blipFill>
                  <pic:spPr>
                    <a:xfrm rot="0">
                      <a:off x="0" y="0"/>
                      <a:ext cx="1666288" cy="1069676"/>
                    </a:xfrm>
                    <a:prstGeom prst="rect"/>
                    <a:ln>
                      <a:noFill/>
                    </a:ln>
                  </pic:spPr>
                </pic:pic>
              </a:graphicData>
            </a:graphic>
          </wp:inline>
        </w:drawing>
      </w:r>
      <w:r>
        <w:rPr>
          <w:lang w:val="en-US"/>
        </w:rPr>
        <w:t xml:space="preserve">  </w:t>
      </w:r>
      <w:r>
        <w:rPr>
          <w:noProof/>
          <w:lang w:eastAsia="fr-FR"/>
        </w:rPr>
        <w:drawing>
          <wp:inline distT="0" distR="0" distL="0" distB="0">
            <wp:extent cx="1088853" cy="1060091"/>
            <wp:effectExtent l="0" t="0" r="0" b="6985"/>
            <wp:docPr id="1039" name="Imag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rcRect l="0" t="0" r="0" b="0"/>
                    <a:stretch/>
                  </pic:blipFill>
                  <pic:spPr>
                    <a:xfrm rot="0">
                      <a:off x="0" y="0"/>
                      <a:ext cx="1088853" cy="1060091"/>
                    </a:xfrm>
                    <a:prstGeom prst="rect"/>
                    <a:ln>
                      <a:noFill/>
                    </a:ln>
                  </pic:spPr>
                </pic:pic>
              </a:graphicData>
            </a:graphic>
          </wp:inline>
        </w:drawing>
      </w:r>
      <w:r>
        <w:rPr>
          <w:lang w:val="en-US"/>
        </w:rPr>
        <w:t xml:space="preserve">  </w:t>
      </w:r>
      <w:r>
        <w:rPr>
          <w:noProof/>
          <w:lang w:eastAsia="fr-FR"/>
        </w:rPr>
        <w:drawing>
          <wp:inline distT="0" distR="0" distL="0" distB="0">
            <wp:extent cx="1407903" cy="1053482"/>
            <wp:effectExtent l="0" t="0" r="1905" b="0"/>
            <wp:docPr id="1040" name="Imag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rcRect l="0" t="0" r="0" b="0"/>
                    <a:stretch/>
                  </pic:blipFill>
                  <pic:spPr>
                    <a:xfrm rot="0">
                      <a:off x="0" y="0"/>
                      <a:ext cx="1407903" cy="1053482"/>
                    </a:xfrm>
                    <a:prstGeom prst="rect"/>
                    <a:ln>
                      <a:noFill/>
                    </a:ln>
                  </pic:spPr>
                </pic:pic>
              </a:graphicData>
            </a:graphic>
          </wp:inline>
        </w:drawing>
      </w:r>
      <w:r>
        <w:rPr>
          <w:lang w:val="en-US"/>
        </w:rPr>
        <w:t xml:space="preserve">  </w:t>
      </w:r>
      <w:r>
        <w:rPr>
          <w:noProof/>
          <w:lang w:eastAsia="fr-FR"/>
        </w:rPr>
        <w:drawing>
          <wp:inline distT="0" distR="0" distL="0" distB="0">
            <wp:extent cx="1514562" cy="1026376"/>
            <wp:effectExtent l="0" t="0" r="0" b="2540"/>
            <wp:docPr id="1041" name="Imag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rcRect l="0" t="0" r="0" b="0"/>
                    <a:stretch/>
                  </pic:blipFill>
                  <pic:spPr>
                    <a:xfrm rot="0">
                      <a:off x="0" y="0"/>
                      <a:ext cx="1514562" cy="1026376"/>
                    </a:xfrm>
                    <a:prstGeom prst="rect"/>
                    <a:ln>
                      <a:noFill/>
                    </a:ln>
                  </pic:spPr>
                </pic:pic>
              </a:graphicData>
            </a:graphic>
          </wp:inline>
        </w:drawing>
      </w:r>
      <w:r>
        <w:rPr>
          <w:lang w:val="en-US"/>
        </w:rPr>
        <w:t xml:space="preserve">  </w:t>
      </w:r>
      <w:r>
        <w:rPr>
          <w:noProof/>
          <w:lang w:eastAsia="fr-FR"/>
        </w:rPr>
        <w:drawing>
          <wp:inline distT="0" distR="0" distL="0" distB="0">
            <wp:extent cx="1517644" cy="1008332"/>
            <wp:effectExtent l="0" t="0" r="6985" b="1905"/>
            <wp:docPr id="1042" name="Imag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rcRect l="0" t="0" r="0" b="0"/>
                    <a:stretch/>
                  </pic:blipFill>
                  <pic:spPr>
                    <a:xfrm rot="0">
                      <a:off x="0" y="0"/>
                      <a:ext cx="1517644" cy="1008332"/>
                    </a:xfrm>
                    <a:prstGeom prst="rect"/>
                    <a:ln>
                      <a:noFill/>
                    </a:ln>
                  </pic:spPr>
                </pic:pic>
              </a:graphicData>
            </a:graphic>
          </wp:inline>
        </w:drawing>
      </w:r>
      <w:r>
        <w:rPr>
          <w:lang w:val="en-US"/>
        </w:rPr>
        <w:t xml:space="preserve">  </w:t>
      </w:r>
      <w:r>
        <w:rPr>
          <w:noProof/>
          <w:lang w:eastAsia="fr-FR"/>
        </w:rPr>
        <w:drawing>
          <wp:inline distT="0" distR="0" distL="0" distB="0">
            <wp:extent cx="1292268" cy="1035170"/>
            <wp:effectExtent l="0" t="0" r="3175" b="0"/>
            <wp:docPr id="1043" name="Imag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srcRect l="0" t="0" r="0" b="0"/>
                    <a:stretch/>
                  </pic:blipFill>
                  <pic:spPr>
                    <a:xfrm rot="0">
                      <a:off x="0" y="0"/>
                      <a:ext cx="1292268" cy="1035170"/>
                    </a:xfrm>
                    <a:prstGeom prst="rect"/>
                    <a:ln>
                      <a:noFill/>
                    </a:ln>
                  </pic:spPr>
                </pic:pic>
              </a:graphicData>
            </a:graphic>
          </wp:inline>
        </w:drawing>
      </w:r>
    </w:p>
    <w:p>
      <w:pPr>
        <w:pStyle w:val="style0"/>
        <w:rPr>
          <w:i/>
          <w:lang w:val="en-US"/>
        </w:rPr>
      </w:pPr>
      <w:r>
        <w:rPr>
          <w:i/>
          <w:lang w:val="en-US"/>
        </w:rPr>
        <w:t xml:space="preserve">   </w:t>
      </w:r>
      <w:r>
        <w:rPr>
          <w:i/>
          <w:lang w:val="en-US"/>
        </w:rPr>
        <w:t>Alternariose sesami</w:t>
      </w:r>
      <w:r>
        <w:rPr>
          <w:lang w:val="en-US"/>
        </w:rPr>
        <w:t xml:space="preserve">                           </w:t>
      </w:r>
      <w:r>
        <w:rPr>
          <w:i/>
          <w:lang w:val="en-US"/>
        </w:rPr>
        <w:t>Phyllodie</w:t>
      </w:r>
      <w:r>
        <w:rPr>
          <w:lang w:val="en-US"/>
        </w:rPr>
        <w:t xml:space="preserve">                 </w:t>
      </w:r>
      <w:r>
        <w:rPr>
          <w:i/>
          <w:lang w:val="en-US"/>
        </w:rPr>
        <w:t>Mcrophomina phaseolina</w:t>
      </w:r>
    </w:p>
    <w:p>
      <w:pPr>
        <w:pStyle w:val="style0"/>
        <w:rPr>
          <w:lang w:val="en-US"/>
        </w:rPr>
      </w:pPr>
      <w:r>
        <w:rPr>
          <w:noProof/>
          <w:lang w:eastAsia="fr-FR"/>
        </w:rPr>
        <w:drawing>
          <wp:inline distT="0" distR="0" distL="0" distB="0">
            <wp:extent cx="1571326" cy="1044000"/>
            <wp:effectExtent l="0" t="0" r="3810" b="0"/>
            <wp:docPr id="1044" name="Imag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srcRect l="0" t="0" r="0" b="0"/>
                    <a:stretch/>
                  </pic:blipFill>
                  <pic:spPr>
                    <a:xfrm rot="0">
                      <a:off x="0" y="0"/>
                      <a:ext cx="1571326" cy="1044000"/>
                    </a:xfrm>
                    <a:prstGeom prst="rect"/>
                    <a:ln>
                      <a:noFill/>
                    </a:ln>
                  </pic:spPr>
                </pic:pic>
              </a:graphicData>
            </a:graphic>
          </wp:inline>
        </w:drawing>
      </w:r>
      <w:r>
        <w:rPr>
          <w:lang w:val="en-US"/>
        </w:rPr>
        <w:t xml:space="preserve">   </w:t>
      </w:r>
      <w:r>
        <w:rPr>
          <w:noProof/>
          <w:lang w:eastAsia="fr-FR"/>
        </w:rPr>
        <w:drawing>
          <wp:inline distT="0" distR="0" distL="0" distB="0">
            <wp:extent cx="1552755" cy="1161868"/>
            <wp:effectExtent l="0" t="0" r="0" b="635"/>
            <wp:docPr id="1045" name="Imag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rcRect l="0" t="0" r="0" b="0"/>
                    <a:stretch/>
                  </pic:blipFill>
                  <pic:spPr>
                    <a:xfrm rot="0">
                      <a:off x="0" y="0"/>
                      <a:ext cx="1552755" cy="1161868"/>
                    </a:xfrm>
                    <a:prstGeom prst="rect"/>
                    <a:ln>
                      <a:noFill/>
                    </a:ln>
                  </pic:spPr>
                </pic:pic>
              </a:graphicData>
            </a:graphic>
          </wp:inline>
        </w:drawing>
      </w:r>
      <w:r>
        <w:rPr>
          <w:lang w:val="en-US"/>
        </w:rPr>
        <w:t xml:space="preserve">  </w:t>
      </w:r>
      <w:r>
        <w:rPr>
          <w:noProof/>
          <w:lang w:eastAsia="fr-FR"/>
        </w:rPr>
        <w:drawing>
          <wp:inline distT="0" distR="0" distL="0" distB="0">
            <wp:extent cx="1708042" cy="1122122"/>
            <wp:effectExtent l="0" t="0" r="6985" b="1905"/>
            <wp:docPr id="1046" name="Image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rcRect l="0" t="0" r="0" b="0"/>
                    <a:stretch/>
                  </pic:blipFill>
                  <pic:spPr>
                    <a:xfrm rot="0">
                      <a:off x="0" y="0"/>
                      <a:ext cx="1708042" cy="1122122"/>
                    </a:xfrm>
                    <a:prstGeom prst="rect"/>
                    <a:ln>
                      <a:noFill/>
                    </a:ln>
                  </pic:spPr>
                </pic:pic>
              </a:graphicData>
            </a:graphic>
          </wp:inline>
        </w:drawing>
      </w:r>
    </w:p>
    <w:bookmarkStart w:id="230" w:name="_Toc260216"/>
    <w:p>
      <w:pPr>
        <w:pStyle w:val="style34"/>
        <w:rPr>
          <w:sz w:val="23"/>
          <w:szCs w:val="23"/>
        </w:rPr>
      </w:pPr>
      <w:r>
        <w:rPr>
          <w:sz w:val="20"/>
          <w:szCs w:val="20"/>
        </w:rPr>
        <w:t xml:space="preserve">Tableau </w:t>
      </w:r>
      <w:r>
        <w:rPr>
          <w:sz w:val="20"/>
          <w:szCs w:val="20"/>
        </w:rPr>
        <w:fldChar w:fldCharType="begin"/>
      </w:r>
      <w:r>
        <w:rPr>
          <w:sz w:val="20"/>
          <w:szCs w:val="20"/>
        </w:rPr>
        <w:instrText xml:space="preserve"> </w:instrText>
      </w:r>
      <w:r>
        <w:rPr>
          <w:sz w:val="20"/>
          <w:szCs w:val="20"/>
        </w:rPr>
        <w:instrText>SEQ</w:instrText>
      </w:r>
      <w:r>
        <w:rPr>
          <w:sz w:val="20"/>
          <w:szCs w:val="20"/>
        </w:rPr>
        <w:instrText xml:space="preserve"> Tableau \* ARABIC </w:instrText>
      </w:r>
      <w:r>
        <w:rPr>
          <w:sz w:val="20"/>
          <w:szCs w:val="20"/>
        </w:rPr>
        <w:fldChar w:fldCharType="separate"/>
      </w:r>
      <w:r>
        <w:rPr>
          <w:noProof/>
          <w:sz w:val="20"/>
          <w:szCs w:val="20"/>
        </w:rPr>
        <w:t>9</w:t>
      </w:r>
      <w:r>
        <w:rPr>
          <w:sz w:val="20"/>
          <w:szCs w:val="20"/>
        </w:rPr>
        <w:fldChar w:fldCharType="end"/>
      </w:r>
      <w:r>
        <w:rPr>
          <w:rFonts w:eastAsia="Calibri"/>
          <w:i/>
          <w:iCs/>
          <w:color w:val="1f497d"/>
          <w:sz w:val="20"/>
          <w:szCs w:val="20"/>
        </w:rPr>
        <w:t xml:space="preserve"> : </w:t>
      </w:r>
      <w:r>
        <w:rPr>
          <w:rFonts w:eastAsia="Calibri"/>
          <w:i/>
          <w:iCs/>
          <w:color w:val="1f497d"/>
          <w:sz w:val="20"/>
          <w:szCs w:val="20"/>
        </w:rPr>
        <w:t>Les ennemis transversaux</w:t>
      </w:r>
      <w:bookmarkEnd w:id="230"/>
      <w:r>
        <w:rPr>
          <w:rFonts w:eastAsia="Calibri"/>
          <w:i/>
          <w:iCs/>
          <w:color w:val="1f497d"/>
          <w:sz w:val="20"/>
          <w:szCs w:val="20"/>
        </w:rPr>
        <w:t xml:space="preserve"> </w:t>
      </w:r>
    </w:p>
    <w:p>
      <w:pPr>
        <w:pStyle w:val="style0"/>
        <w:spacing w:lineRule="auto" w:line="276"/>
        <w:rPr>
          <w:b/>
          <w:sz w:val="23"/>
          <w:szCs w:val="23"/>
        </w:rPr>
      </w:pPr>
      <w:r>
        <w:rPr>
          <w:noProof/>
          <w:lang w:eastAsia="fr-FR"/>
        </w:rPr>
        <mc:AlternateContent>
          <mc:Choice Requires="wps">
            <w:drawing>
              <wp:anchor distT="0" distB="0" distL="114300" distR="114300" simplePos="false" relativeHeight="10" behindDoc="false" locked="false" layoutInCell="true" allowOverlap="true">
                <wp:simplePos x="0" y="0"/>
                <wp:positionH relativeFrom="column">
                  <wp:posOffset>7331074</wp:posOffset>
                </wp:positionH>
                <wp:positionV relativeFrom="paragraph">
                  <wp:posOffset>175260</wp:posOffset>
                </wp:positionV>
                <wp:extent cx="2590800" cy="1827529"/>
                <wp:effectExtent l="0" t="0" r="0" b="1270"/>
                <wp:wrapSquare wrapText="bothSides"/>
                <wp:docPr id="1047" name="Zone de texte 1638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590800" cy="1827529"/>
                        </a:xfrm>
                        <a:prstGeom prst="rect"/>
                        <a:ln>
                          <a:noFill/>
                        </a:ln>
                      </wps:spPr>
                      <wps:txbx id="1047">
                        <w:txbxContent>
                          <w:p>
                            <w:pPr>
                              <w:pStyle w:val="style0"/>
                              <w:jc w:val="center"/>
                              <w:rPr/>
                            </w:pPr>
                            <w:r>
                              <w:rPr>
                                <w:noProof/>
                                <w:lang w:eastAsia="fr-FR"/>
                              </w:rPr>
                              <w:drawing>
                                <wp:inline distT="0" distR="0" distL="0" distB="0">
                                  <wp:extent cx="2273300" cy="1282700"/>
                                  <wp:effectExtent l="0" t="0" r="12700" b="12700"/>
                                  <wp:docPr id="2052"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2"/>
                                          <pic:cNvPicPr/>
                                        </pic:nvPicPr>
                                        <pic:blipFill>
                                          <a:blip r:embed="rId24" cstate="print"/>
                                          <a:srcRect l="0" t="0" r="0" b="0"/>
                                          <a:stretch/>
                                        </pic:blipFill>
                                        <pic:spPr>
                                          <a:xfrm rot="0">
                                            <a:off x="0" y="0"/>
                                            <a:ext cx="2273300" cy="1282700"/>
                                          </a:xfrm>
                                          <a:prstGeom prst="rect"/>
                                          <a:ln>
                                            <a:noFill/>
                                          </a:ln>
                                        </pic:spPr>
                                      </pic:pic>
                                    </a:graphicData>
                                  </a:graphic>
                                </wp:inline>
                              </w:drawing>
                            </w:r>
                          </w:p>
                          <w:p>
                            <w:pPr>
                              <w:pStyle w:val="style0"/>
                              <w:jc w:val="center"/>
                              <w:rPr/>
                            </w:pPr>
                            <w:r>
                              <w:rPr>
                                <w:i/>
                              </w:rPr>
                              <w:t>Hueroglyphus daganensis</w:t>
                            </w:r>
                          </w:p>
                        </w:txbxContent>
                      </wps:txbx>
                      <wps:bodyPr lIns="0" rIns="0" tIns="0" bIns="0" vert="horz" anchor="t" wrap="square">
                        <a:prstTxWarp prst="textNoShape"/>
                        <a:noAutofit/>
                      </wps:bodyPr>
                    </wps:wsp>
                  </a:graphicData>
                </a:graphic>
                <wp14:sizeRelH relativeFrom="page">
                  <wp14:pctWidth>0</wp14:pctWidth>
                </wp14:sizeRelH>
                <wp14:sizeRelV relativeFrom="margin">
                  <wp14:pctHeight>0</wp14:pctHeight>
                </wp14:sizeRelV>
              </wp:anchor>
            </w:drawing>
          </mc:Choice>
          <mc:Fallback>
            <w:pict>
              <v:rect id="1047" filled="f" stroked="f" style="position:absolute;margin-left:577.25pt;margin-top:13.8pt;width:204.0pt;height:143.9pt;z-index:10;mso-position-horizontal-relative:text;mso-position-vertical-relative:text;mso-width-percent:0;mso-height-percent:0;mso-width-relative:page;mso-height-relative:margin;visibility:visible;">
                <v:stroke on="f"/>
                <w10:wrap type="square"/>
                <v:fill/>
                <v:textbox inset="0.0pt,0.0pt,0.0pt,0.0pt">
                  <w:txbxContent>
                    <w:p>
                      <w:pPr>
                        <w:pStyle w:val="style0"/>
                        <w:jc w:val="center"/>
                        <w:rPr/>
                      </w:pPr>
                      <w:r>
                        <w:rPr>
                          <w:noProof/>
                          <w:lang w:eastAsia="fr-FR"/>
                        </w:rPr>
                        <w:drawing>
                          <wp:inline distT="0" distR="0" distL="0" distB="0">
                            <wp:extent cx="2273300" cy="1282700"/>
                            <wp:effectExtent l="0" t="0" r="12700" b="12700"/>
                            <wp:docPr id="2052"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2"/>
                                    <pic:cNvPicPr/>
                                  </pic:nvPicPr>
                                  <pic:blipFill>
                                    <a:blip r:embed="rId24" cstate="print"/>
                                    <a:srcRect l="0" t="0" r="0" b="0"/>
                                    <a:stretch/>
                                  </pic:blipFill>
                                  <pic:spPr>
                                    <a:xfrm rot="0">
                                      <a:off x="0" y="0"/>
                                      <a:ext cx="2273300" cy="1282700"/>
                                    </a:xfrm>
                                    <a:prstGeom prst="rect"/>
                                    <a:ln>
                                      <a:noFill/>
                                    </a:ln>
                                  </pic:spPr>
                                </pic:pic>
                              </a:graphicData>
                            </a:graphic>
                          </wp:inline>
                        </w:drawing>
                      </w:r>
                    </w:p>
                    <w:p>
                      <w:pPr>
                        <w:pStyle w:val="style0"/>
                        <w:jc w:val="center"/>
                        <w:rPr/>
                      </w:pPr>
                      <w:r>
                        <w:rPr>
                          <w:i/>
                        </w:rPr>
                        <w:t>Hueroglyphus daganensis</w:t>
                      </w:r>
                    </w:p>
                  </w:txbxContent>
                </v:textbox>
              </v:rect>
            </w:pict>
          </mc:Fallback>
        </mc:AlternateConten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843"/>
        <w:gridCol w:w="6662"/>
      </w:tblGrid>
      <w:tr>
        <w:trPr>
          <w:trHeight w:val="454" w:hRule="atLeast"/>
        </w:trPr>
        <w:tc>
          <w:tcPr>
            <w:tcW w:w="4361" w:type="dxa"/>
            <w:gridSpan w:val="2"/>
            <w:tcBorders/>
          </w:tcPr>
          <w:p>
            <w:pPr>
              <w:pStyle w:val="style0"/>
              <w:spacing w:before="0"/>
              <w:rPr>
                <w:rFonts w:eastAsia="SimSun"/>
                <w:b/>
                <w:sz w:val="23"/>
                <w:szCs w:val="23"/>
              </w:rPr>
            </w:pPr>
            <w:r>
              <w:rPr>
                <w:rFonts w:eastAsia="SimSun"/>
                <w:b/>
                <w:sz w:val="23"/>
                <w:szCs w:val="23"/>
              </w:rPr>
              <w:t>Autres ravageurs</w:t>
            </w:r>
            <w:r>
              <w:rPr>
                <w:rFonts w:eastAsia="SimSun"/>
                <w:b/>
                <w:sz w:val="23"/>
                <w:szCs w:val="23"/>
              </w:rPr>
              <w:t xml:space="preserve"> des cultures</w:t>
            </w:r>
          </w:p>
        </w:tc>
        <w:tc>
          <w:tcPr>
            <w:tcW w:w="6662" w:type="dxa"/>
            <w:tcBorders/>
          </w:tcPr>
          <w:p>
            <w:pPr>
              <w:pStyle w:val="style0"/>
              <w:spacing w:before="0"/>
              <w:jc w:val="center"/>
              <w:rPr>
                <w:rFonts w:eastAsia="SimSun"/>
                <w:b/>
                <w:sz w:val="23"/>
                <w:szCs w:val="23"/>
              </w:rPr>
            </w:pPr>
            <w:r>
              <w:rPr>
                <w:rFonts w:eastAsia="SimSun"/>
                <w:b/>
                <w:sz w:val="23"/>
                <w:szCs w:val="23"/>
              </w:rPr>
              <w:t>Genres / Espèces</w:t>
            </w:r>
          </w:p>
        </w:tc>
      </w:tr>
      <w:tr>
        <w:tblPrEx/>
        <w:trPr>
          <w:trHeight w:val="340" w:hRule="atLeast"/>
        </w:trPr>
        <w:tc>
          <w:tcPr>
            <w:tcW w:w="2518" w:type="dxa"/>
            <w:tcBorders/>
            <w:vAlign w:val="center"/>
          </w:tcPr>
          <w:p>
            <w:pPr>
              <w:pStyle w:val="style0"/>
              <w:spacing w:before="0"/>
              <w:rPr>
                <w:rFonts w:eastAsia="SimSun"/>
                <w:sz w:val="23"/>
                <w:szCs w:val="23"/>
                <w:lang w:eastAsia="zh-CN"/>
              </w:rPr>
            </w:pPr>
            <w:r>
              <w:rPr>
                <w:rFonts w:eastAsia="SimSun"/>
                <w:sz w:val="23"/>
                <w:szCs w:val="23"/>
                <w:lang w:eastAsia="zh-CN"/>
              </w:rPr>
              <w:t>Les insectes terricoles</w:t>
            </w:r>
          </w:p>
        </w:tc>
        <w:tc>
          <w:tcPr>
            <w:tcW w:w="1843" w:type="dxa"/>
            <w:tcBorders/>
            <w:vAlign w:val="center"/>
          </w:tcPr>
          <w:p>
            <w:pPr>
              <w:pStyle w:val="style0"/>
              <w:spacing w:before="0"/>
              <w:rPr>
                <w:rFonts w:eastAsia="SimSun"/>
                <w:sz w:val="23"/>
                <w:szCs w:val="23"/>
                <w:lang w:eastAsia="zh-CN"/>
              </w:rPr>
            </w:pPr>
            <w:r>
              <w:rPr>
                <w:rFonts w:eastAsia="SimSun"/>
                <w:sz w:val="23"/>
                <w:szCs w:val="23"/>
                <w:lang w:eastAsia="zh-CN"/>
              </w:rPr>
              <w:t>Les Isoptères</w:t>
            </w:r>
          </w:p>
        </w:tc>
        <w:tc>
          <w:tcPr>
            <w:tcW w:w="6662" w:type="dxa"/>
            <w:tcBorders/>
            <w:vAlign w:val="center"/>
          </w:tcPr>
          <w:p>
            <w:pPr>
              <w:pStyle w:val="style0"/>
              <w:spacing w:before="0"/>
              <w:rPr>
                <w:rFonts w:eastAsia="SimSun"/>
                <w:bCs/>
                <w:i/>
                <w:iCs/>
                <w:sz w:val="23"/>
                <w:szCs w:val="23"/>
                <w:lang w:eastAsia="zh-CN"/>
              </w:rPr>
            </w:pPr>
            <w:r>
              <w:rPr>
                <w:rFonts w:eastAsia="SimSun"/>
                <w:bCs/>
                <w:i/>
                <w:iCs/>
                <w:sz w:val="23"/>
                <w:szCs w:val="23"/>
                <w:lang w:eastAsia="zh-CN"/>
              </w:rPr>
              <w:t>Macrotermes subhyalinus, Hodotermes mossambicus, Microtermes parvulus, Protermes minutus</w:t>
            </w:r>
          </w:p>
        </w:tc>
      </w:tr>
      <w:tr>
        <w:tblPrEx/>
        <w:trPr>
          <w:trHeight w:val="340" w:hRule="atLeast"/>
        </w:trPr>
        <w:tc>
          <w:tcPr>
            <w:tcW w:w="2518" w:type="dxa"/>
            <w:tcBorders/>
            <w:vAlign w:val="center"/>
          </w:tcPr>
          <w:p>
            <w:pPr>
              <w:pStyle w:val="style0"/>
              <w:spacing w:before="0"/>
              <w:rPr>
                <w:rFonts w:eastAsia="SimSun"/>
                <w:sz w:val="23"/>
                <w:szCs w:val="23"/>
                <w:lang w:eastAsia="zh-CN"/>
              </w:rPr>
            </w:pPr>
            <w:r>
              <w:rPr>
                <w:rFonts w:eastAsia="SimSun"/>
                <w:sz w:val="23"/>
                <w:szCs w:val="23"/>
                <w:lang w:eastAsia="zh-CN"/>
              </w:rPr>
              <w:t>Les Myriapodes</w:t>
            </w:r>
          </w:p>
        </w:tc>
        <w:tc>
          <w:tcPr>
            <w:tcW w:w="1843" w:type="dxa"/>
            <w:tcBorders/>
            <w:vAlign w:val="center"/>
          </w:tcPr>
          <w:p>
            <w:pPr>
              <w:pStyle w:val="style0"/>
              <w:spacing w:before="0"/>
              <w:rPr>
                <w:rFonts w:eastAsia="SimSun"/>
                <w:sz w:val="23"/>
                <w:szCs w:val="23"/>
                <w:lang w:eastAsia="zh-CN"/>
              </w:rPr>
            </w:pPr>
            <w:r>
              <w:rPr>
                <w:rFonts w:eastAsia="SimSun"/>
                <w:sz w:val="23"/>
                <w:szCs w:val="23"/>
                <w:lang w:eastAsia="zh-CN"/>
              </w:rPr>
              <w:t>Les Diplopodes</w:t>
            </w:r>
          </w:p>
        </w:tc>
        <w:tc>
          <w:tcPr>
            <w:tcW w:w="6662" w:type="dxa"/>
            <w:tcBorders/>
            <w:vAlign w:val="center"/>
          </w:tcPr>
          <w:p>
            <w:pPr>
              <w:pStyle w:val="style0"/>
              <w:spacing w:before="0"/>
              <w:rPr>
                <w:rFonts w:eastAsia="SimSun"/>
                <w:bCs/>
                <w:i/>
                <w:iCs/>
                <w:sz w:val="23"/>
                <w:szCs w:val="23"/>
                <w:lang w:val="en-US" w:eastAsia="zh-CN"/>
              </w:rPr>
            </w:pPr>
            <w:r>
              <w:rPr>
                <w:rFonts w:eastAsia="SimSun"/>
                <w:bCs/>
                <w:i/>
                <w:iCs/>
                <w:sz w:val="23"/>
                <w:szCs w:val="23"/>
                <w:lang w:val="en-US" w:eastAsia="zh-CN"/>
              </w:rPr>
              <w:t>Peridontepyge conani, Peridontepyge rubescens</w:t>
            </w:r>
          </w:p>
        </w:tc>
      </w:tr>
      <w:tr>
        <w:tblPrEx/>
        <w:trPr>
          <w:trHeight w:val="340" w:hRule="atLeast"/>
        </w:trPr>
        <w:tc>
          <w:tcPr>
            <w:tcW w:w="2518" w:type="dxa"/>
            <w:tcBorders/>
            <w:vAlign w:val="center"/>
          </w:tcPr>
          <w:p>
            <w:pPr>
              <w:pStyle w:val="style0"/>
              <w:spacing w:before="0"/>
              <w:rPr>
                <w:rFonts w:eastAsia="SimSun"/>
                <w:sz w:val="23"/>
                <w:szCs w:val="23"/>
                <w:lang w:val="en-US" w:eastAsia="zh-CN"/>
              </w:rPr>
            </w:pPr>
            <w:r>
              <w:rPr>
                <w:rFonts w:eastAsia="SimSun"/>
                <w:sz w:val="23"/>
                <w:szCs w:val="23"/>
                <w:lang w:val="en-US" w:eastAsia="zh-CN"/>
              </w:rPr>
              <w:t>Les nematodes phytopatogènes</w:t>
            </w:r>
          </w:p>
        </w:tc>
        <w:tc>
          <w:tcPr>
            <w:tcW w:w="1843" w:type="dxa"/>
            <w:tcBorders/>
            <w:vAlign w:val="center"/>
          </w:tcPr>
          <w:p>
            <w:pPr>
              <w:pStyle w:val="style0"/>
              <w:spacing w:before="0"/>
              <w:rPr>
                <w:rFonts w:eastAsia="SimSun"/>
                <w:sz w:val="23"/>
                <w:szCs w:val="23"/>
                <w:lang w:val="en-US" w:eastAsia="zh-CN"/>
              </w:rPr>
            </w:pPr>
          </w:p>
        </w:tc>
        <w:tc>
          <w:tcPr>
            <w:tcW w:w="6662" w:type="dxa"/>
            <w:tcBorders/>
            <w:vAlign w:val="center"/>
          </w:tcPr>
          <w:p>
            <w:pPr>
              <w:pStyle w:val="style0"/>
              <w:spacing w:before="0"/>
              <w:rPr>
                <w:rFonts w:eastAsia="SimSun"/>
                <w:bCs/>
                <w:i/>
                <w:iCs/>
                <w:sz w:val="23"/>
                <w:szCs w:val="23"/>
                <w:lang w:val="en-US" w:eastAsia="zh-CN"/>
              </w:rPr>
            </w:pPr>
            <w:r>
              <w:rPr>
                <w:rFonts w:eastAsia="SimSun"/>
                <w:bCs/>
                <w:i/>
                <w:iCs/>
                <w:sz w:val="23"/>
                <w:szCs w:val="23"/>
                <w:lang w:val="en-US" w:eastAsia="zh-CN"/>
              </w:rPr>
              <w:t>Hirschmanniella oryzae ; Hirschmanniella spinicaudata ; Heterodera oryzae ; Meloidogyne spp ; Aphelenchoides  besseyi ;</w:t>
            </w:r>
          </w:p>
        </w:tc>
      </w:tr>
      <w:tr>
        <w:tblPrEx/>
        <w:trPr>
          <w:trHeight w:val="340" w:hRule="atLeast"/>
        </w:trPr>
        <w:tc>
          <w:tcPr>
            <w:tcW w:w="2518" w:type="dxa"/>
            <w:tcBorders/>
            <w:vAlign w:val="center"/>
          </w:tcPr>
          <w:p>
            <w:pPr>
              <w:pStyle w:val="style0"/>
              <w:spacing w:before="0"/>
              <w:rPr>
                <w:rFonts w:eastAsia="SimSun"/>
                <w:sz w:val="23"/>
                <w:szCs w:val="23"/>
                <w:lang w:val="en-US" w:eastAsia="zh-CN"/>
              </w:rPr>
            </w:pPr>
            <w:r>
              <w:rPr>
                <w:rFonts w:eastAsia="SimSun"/>
                <w:sz w:val="23"/>
                <w:szCs w:val="23"/>
                <w:lang w:val="en-US" w:eastAsia="zh-CN"/>
              </w:rPr>
              <w:t>Les oiseaux granivores</w:t>
            </w:r>
          </w:p>
        </w:tc>
        <w:tc>
          <w:tcPr>
            <w:tcW w:w="1843" w:type="dxa"/>
            <w:tcBorders/>
            <w:vAlign w:val="center"/>
          </w:tcPr>
          <w:p>
            <w:pPr>
              <w:pStyle w:val="style0"/>
              <w:spacing w:before="0"/>
              <w:rPr>
                <w:rFonts w:eastAsia="SimSun"/>
                <w:sz w:val="23"/>
                <w:szCs w:val="23"/>
                <w:lang w:val="en-US" w:eastAsia="zh-CN"/>
              </w:rPr>
            </w:pPr>
            <w:r>
              <w:rPr>
                <w:rFonts w:eastAsia="SimSun"/>
                <w:sz w:val="23"/>
                <w:szCs w:val="23"/>
                <w:lang w:val="en-US" w:eastAsia="zh-CN"/>
              </w:rPr>
              <w:t>Les Ploceidés</w:t>
            </w:r>
          </w:p>
        </w:tc>
        <w:tc>
          <w:tcPr>
            <w:tcW w:w="6662" w:type="dxa"/>
            <w:tcBorders/>
            <w:vAlign w:val="center"/>
          </w:tcPr>
          <w:p>
            <w:pPr>
              <w:pStyle w:val="style0"/>
              <w:spacing w:before="0"/>
              <w:rPr>
                <w:rFonts w:eastAsia="SimSun"/>
                <w:bCs/>
                <w:i/>
                <w:iCs/>
                <w:sz w:val="23"/>
                <w:szCs w:val="23"/>
                <w:lang w:eastAsia="zh-CN"/>
              </w:rPr>
            </w:pPr>
            <w:r>
              <w:rPr>
                <w:rFonts w:eastAsia="SimSun"/>
                <w:bCs/>
                <w:i/>
                <w:iCs/>
                <w:sz w:val="23"/>
                <w:szCs w:val="23"/>
                <w:lang w:eastAsia="zh-CN"/>
              </w:rPr>
              <w:t>Quelea quelea ; Passer luteus ; Ploceus cucullatus</w:t>
            </w:r>
          </w:p>
        </w:tc>
      </w:tr>
      <w:tr>
        <w:tblPrEx/>
        <w:trPr>
          <w:trHeight w:val="340" w:hRule="atLeast"/>
        </w:trPr>
        <w:tc>
          <w:tcPr>
            <w:tcW w:w="2518" w:type="dxa"/>
            <w:tcBorders/>
            <w:vAlign w:val="center"/>
          </w:tcPr>
          <w:p>
            <w:pPr>
              <w:pStyle w:val="style0"/>
              <w:spacing w:before="0"/>
              <w:rPr>
                <w:rFonts w:eastAsia="SimSun"/>
                <w:sz w:val="23"/>
                <w:szCs w:val="23"/>
                <w:lang w:val="en-US" w:eastAsia="zh-CN"/>
              </w:rPr>
            </w:pPr>
            <w:r>
              <w:rPr>
                <w:rFonts w:eastAsia="SimSun"/>
                <w:sz w:val="23"/>
                <w:szCs w:val="23"/>
                <w:lang w:val="en-US" w:eastAsia="zh-CN"/>
              </w:rPr>
              <w:t>Les criquets</w:t>
            </w:r>
          </w:p>
        </w:tc>
        <w:tc>
          <w:tcPr>
            <w:tcW w:w="1843" w:type="dxa"/>
            <w:tcBorders/>
            <w:vAlign w:val="center"/>
          </w:tcPr>
          <w:p>
            <w:pPr>
              <w:pStyle w:val="style0"/>
              <w:spacing w:before="0"/>
              <w:rPr>
                <w:rFonts w:eastAsia="SimSun"/>
                <w:sz w:val="23"/>
                <w:szCs w:val="23"/>
                <w:lang w:val="en-US" w:eastAsia="zh-CN"/>
              </w:rPr>
            </w:pPr>
            <w:r>
              <w:rPr>
                <w:rFonts w:eastAsia="SimSun"/>
                <w:sz w:val="23"/>
                <w:szCs w:val="23"/>
                <w:lang w:val="en-US" w:eastAsia="zh-CN"/>
              </w:rPr>
              <w:t>Les Orthoptères</w:t>
            </w:r>
          </w:p>
        </w:tc>
        <w:tc>
          <w:tcPr>
            <w:tcW w:w="6662" w:type="dxa"/>
            <w:tcBorders/>
            <w:vAlign w:val="center"/>
          </w:tcPr>
          <w:p>
            <w:pPr>
              <w:pStyle w:val="style0"/>
              <w:spacing w:before="0"/>
              <w:rPr>
                <w:rFonts w:eastAsia="SimSun"/>
                <w:bCs/>
                <w:i/>
                <w:iCs/>
                <w:sz w:val="23"/>
                <w:szCs w:val="23"/>
                <w:lang w:eastAsia="zh-CN"/>
              </w:rPr>
            </w:pPr>
            <w:r>
              <w:rPr>
                <w:i/>
                <w:sz w:val="23"/>
                <w:szCs w:val="23"/>
              </w:rPr>
              <w:t>Hueroglyphus daganensis</w:t>
            </w:r>
          </w:p>
        </w:tc>
      </w:tr>
      <w:tr>
        <w:tblPrEx/>
        <w:trPr>
          <w:trHeight w:val="340" w:hRule="atLeast"/>
        </w:trPr>
        <w:tc>
          <w:tcPr>
            <w:tcW w:w="2518" w:type="dxa"/>
            <w:tcBorders/>
            <w:vAlign w:val="center"/>
          </w:tcPr>
          <w:p>
            <w:pPr>
              <w:pStyle w:val="style0"/>
              <w:spacing w:before="0"/>
              <w:rPr>
                <w:rFonts w:eastAsia="SimSun"/>
                <w:sz w:val="23"/>
                <w:szCs w:val="23"/>
                <w:lang w:val="en-US" w:eastAsia="zh-CN"/>
              </w:rPr>
            </w:pPr>
            <w:r>
              <w:rPr>
                <w:rFonts w:eastAsia="SimSun"/>
                <w:sz w:val="23"/>
                <w:szCs w:val="23"/>
                <w:lang w:val="en-US" w:eastAsia="zh-CN"/>
              </w:rPr>
              <w:t xml:space="preserve">Les punaises </w:t>
            </w:r>
          </w:p>
        </w:tc>
        <w:tc>
          <w:tcPr>
            <w:tcW w:w="1843" w:type="dxa"/>
            <w:tcBorders/>
            <w:vAlign w:val="center"/>
          </w:tcPr>
          <w:p>
            <w:pPr>
              <w:pStyle w:val="style0"/>
              <w:spacing w:before="0"/>
              <w:rPr>
                <w:rFonts w:eastAsia="SimSun"/>
                <w:sz w:val="23"/>
                <w:szCs w:val="23"/>
                <w:lang w:val="en-US" w:eastAsia="zh-CN"/>
              </w:rPr>
            </w:pPr>
            <w:r>
              <w:rPr>
                <w:rFonts w:eastAsia="SimSun"/>
                <w:sz w:val="23"/>
                <w:szCs w:val="23"/>
                <w:lang w:val="en-US" w:eastAsia="zh-CN"/>
              </w:rPr>
              <w:t>Les Homoptère</w:t>
            </w:r>
          </w:p>
        </w:tc>
        <w:tc>
          <w:tcPr>
            <w:tcW w:w="6662" w:type="dxa"/>
            <w:tcBorders/>
            <w:vAlign w:val="center"/>
          </w:tcPr>
          <w:p>
            <w:pPr>
              <w:pStyle w:val="style0"/>
              <w:spacing w:before="0"/>
              <w:rPr>
                <w:i/>
                <w:sz w:val="23"/>
                <w:szCs w:val="23"/>
                <w:lang w:val="pt-BR"/>
              </w:rPr>
            </w:pPr>
            <w:r>
              <w:rPr>
                <w:i/>
                <w:sz w:val="23"/>
                <w:szCs w:val="23"/>
                <w:lang w:val="pt-BR"/>
              </w:rPr>
              <w:t>Aspavia armigera, Nezara viridula, Locris rubra etc…</w:t>
            </w:r>
          </w:p>
        </w:tc>
      </w:tr>
    </w:tbl>
    <w:p>
      <w:pPr>
        <w:pStyle w:val="style179"/>
        <w:spacing w:before="0"/>
        <w:ind w:left="0"/>
        <w:contextualSpacing/>
        <w:rPr>
          <w:b/>
          <w:lang w:val="pt-BR"/>
        </w:rPr>
      </w:pPr>
    </w:p>
    <w:p>
      <w:pPr>
        <w:pStyle w:val="style179"/>
        <w:spacing w:lineRule="auto" w:line="360"/>
        <w:ind w:left="0"/>
        <w:contextualSpacing/>
        <w:rPr>
          <w:b/>
          <w:lang w:val="pt-BR"/>
        </w:rPr>
      </w:pPr>
    </w:p>
    <w:p>
      <w:pPr>
        <w:pStyle w:val="style0"/>
        <w:rPr>
          <w:i/>
          <w:sz w:val="23"/>
          <w:szCs w:val="23"/>
          <w:lang w:val="pt-BR"/>
        </w:rPr>
        <w:sectPr>
          <w:pgSz w:w="16838" w:h="11906" w:orient="landscape"/>
          <w:pgMar w:top="720" w:right="720" w:bottom="720" w:left="720" w:header="709" w:footer="709" w:gutter="0"/>
          <w:cols w:space="708"/>
          <w:docGrid w:linePitch="360"/>
        </w:sectPr>
      </w:pPr>
    </w:p>
    <w:p>
      <w:pPr>
        <w:pStyle w:val="style179"/>
        <w:spacing w:lineRule="auto" w:line="360"/>
        <w:ind w:left="0"/>
        <w:contextualSpacing/>
        <w:rPr>
          <w:b/>
        </w:rPr>
      </w:pPr>
      <w:r>
        <w:rPr>
          <w:b/>
        </w:rPr>
        <w:t>Déprédateur</w:t>
      </w:r>
      <w:r>
        <w:rPr>
          <w:b/>
        </w:rPr>
        <w:t>s</w:t>
      </w:r>
      <w:r>
        <w:rPr>
          <w:b/>
        </w:rPr>
        <w:t xml:space="preserve"> et agents pathogènes de l’anacarde</w:t>
      </w:r>
    </w:p>
    <w:p>
      <w:pPr>
        <w:pStyle w:val="style0"/>
        <w:spacing w:lineRule="auto" w:line="360"/>
        <w:rPr/>
      </w:pPr>
      <w:r>
        <w:t>Les principales maladies parasitaires de l’anacardier au Burkina Faso se résument à :</w:t>
      </w:r>
    </w:p>
    <w:p>
      <w:pPr>
        <w:pStyle w:val="style0"/>
        <w:numPr>
          <w:ilvl w:val="0"/>
          <w:numId w:val="9"/>
        </w:numPr>
        <w:ind w:left="360"/>
        <w:rPr/>
      </w:pPr>
      <w:r>
        <w:rPr>
          <w:b/>
        </w:rPr>
        <w:t>l</w:t>
      </w:r>
      <w:r>
        <w:rPr>
          <w:b/>
        </w:rPr>
        <w:t>’anthracnose </w:t>
      </w:r>
      <w:r>
        <w:t xml:space="preserve">: cette maladie, provoquée par un champignon appelé </w:t>
      </w:r>
      <w:r>
        <w:rPr>
          <w:i/>
        </w:rPr>
        <w:t>Colletotrichum gloeosporioides</w:t>
      </w:r>
      <w:r>
        <w:rPr>
          <w:i/>
        </w:rPr>
        <w:t xml:space="preserve"> </w:t>
      </w:r>
      <w:r>
        <w:t>se</w:t>
      </w:r>
      <w:r>
        <w:t xml:space="preserve"> caractérise par l’apparition de petites taches nécrotiques sur tous les organes reproducteurs, faux-fruits, fruits, feuilles et jeunes tiges. Elle peut également entrainer un dessèchement des parties attaquées qui, par la suite se noircissent en prenant un aspect pourri.</w:t>
      </w:r>
    </w:p>
    <w:p>
      <w:pPr>
        <w:pStyle w:val="style0"/>
        <w:numPr>
          <w:ilvl w:val="0"/>
          <w:numId w:val="9"/>
        </w:numPr>
        <w:ind w:left="360"/>
        <w:rPr/>
      </w:pPr>
      <w:r>
        <w:t>Le</w:t>
      </w:r>
      <w:r>
        <w:t xml:space="preserve"> champignon se conserve </w:t>
      </w:r>
      <w:r>
        <w:t>sous forme de spores sur les organes attaqués, débris végétaux malades</w:t>
      </w:r>
      <w:r>
        <w:t xml:space="preserve">. </w:t>
      </w:r>
    </w:p>
    <w:p>
      <w:pPr>
        <w:pStyle w:val="style0"/>
        <w:numPr>
          <w:ilvl w:val="0"/>
          <w:numId w:val="9"/>
        </w:numPr>
        <w:ind w:left="360"/>
        <w:rPr/>
      </w:pPr>
      <w:r>
        <w:rPr>
          <w:b/>
        </w:rPr>
        <w:t>l</w:t>
      </w:r>
      <w:r>
        <w:rPr>
          <w:b/>
        </w:rPr>
        <w:t xml:space="preserve">e </w:t>
      </w:r>
      <w:r>
        <w:rPr>
          <w:b/>
        </w:rPr>
        <w:t>Mildiou</w:t>
      </w:r>
      <w:r>
        <w:t> (</w:t>
      </w:r>
      <w:r>
        <w:rPr>
          <w:i/>
        </w:rPr>
        <w:t>Powdery mildiew disease</w:t>
      </w:r>
      <w:r>
        <w:t>) : c’est une maladie fongique redoutable causée par un champignon (</w:t>
      </w:r>
      <w:r>
        <w:rPr>
          <w:bCs/>
          <w:i/>
        </w:rPr>
        <w:t>Oïdium anacardii</w:t>
      </w:r>
      <w:r>
        <w:t>) qui se développe sur les tissus des jeunes pousses (jeunes feuilles, inflorescences, pommes et jeunes noix). Elle peut entrainer des pertes de rendement allant de 50 à 70%. La période critique de l’épidémiologie se situe entre les mois de juillet et septembre.</w:t>
      </w:r>
    </w:p>
    <w:p>
      <w:pPr>
        <w:pStyle w:val="style0"/>
        <w:numPr>
          <w:ilvl w:val="0"/>
          <w:numId w:val="9"/>
        </w:numPr>
        <w:ind w:left="360"/>
        <w:rPr/>
      </w:pPr>
      <w:r>
        <w:rPr>
          <w:b/>
        </w:rPr>
        <w:t>l</w:t>
      </w:r>
      <w:r>
        <w:rPr>
          <w:b/>
        </w:rPr>
        <w:t xml:space="preserve">e </w:t>
      </w:r>
      <w:r>
        <w:rPr>
          <w:b/>
        </w:rPr>
        <w:t>dépérissement des arbres</w:t>
      </w:r>
      <w:r>
        <w:t xml:space="preserve"> : depuis un certain temps, le dépérissement des arbres fruitiers est de plus en plus remarqué dans plusieurs vergers causant d’importantes pertes pour les arboriculteurs. </w:t>
      </w:r>
      <w:r>
        <w:t xml:space="preserve">A l’instar du manguier, l’anacardier ne fait pas exception à la règle et plusieurs vergers d’anacardiers sont sous la pression de cette maladie. </w:t>
      </w:r>
      <w:r>
        <w:t xml:space="preserve">Au regard de l’ampleur de cette pathologie, l’Institut </w:t>
      </w:r>
      <w:r>
        <w:t>d’</w:t>
      </w:r>
      <w:r>
        <w:t>E</w:t>
      </w:r>
      <w:r>
        <w:t xml:space="preserve">nvironnement </w:t>
      </w:r>
      <w:r>
        <w:t xml:space="preserve">et de </w:t>
      </w:r>
      <w:r>
        <w:t>R</w:t>
      </w:r>
      <w:r>
        <w:t xml:space="preserve">echerches </w:t>
      </w:r>
      <w:r>
        <w:t>A</w:t>
      </w:r>
      <w:r>
        <w:t xml:space="preserve">gricoles </w:t>
      </w:r>
      <w:r>
        <w:t xml:space="preserve">(INERA) s’est engagé pour investiguer sur les causes de la maladie afin d’y apporter des solutions durables. </w:t>
      </w:r>
      <w:r>
        <w:t xml:space="preserve">Pour l’heure, les travaux sont en cours et les propositions de solution sont pour bientôt. </w:t>
      </w:r>
    </w:p>
    <w:p>
      <w:pPr>
        <w:pStyle w:val="style0"/>
        <w:spacing w:lineRule="auto" w:line="276"/>
        <w:rPr>
          <w:b/>
          <w:sz w:val="23"/>
          <w:szCs w:val="23"/>
        </w:rPr>
      </w:pPr>
    </w:p>
    <w:p>
      <w:pPr>
        <w:pStyle w:val="style0"/>
        <w:spacing w:lineRule="auto" w:line="276"/>
        <w:rPr>
          <w:b/>
          <w:szCs w:val="23"/>
        </w:rPr>
      </w:pPr>
      <w:r>
        <w:rPr>
          <w:b/>
          <w:szCs w:val="23"/>
        </w:rPr>
        <w:t>Les principales espèces d’oiseaux granivores</w:t>
      </w:r>
    </w:p>
    <w:p>
      <w:pPr>
        <w:pStyle w:val="style0"/>
        <w:rPr/>
      </w:pPr>
      <w:r>
        <w:t xml:space="preserve">Les oiseaux granivores, longtemps considérés comme des déprédateurs occasionnels, revêtent de nos jours un statut particulier de ravageurs potentiels. Cette situation s’explique </w:t>
      </w:r>
      <w:r>
        <w:t>par l’aménagement de quelques bas-fonds et la construction de grands barrages avec périmètres agricoles irrigués qui constituent des sites de production permanente offrant ainsi des conditions favorables à divers déprédateurs en général et aux oiseaux granivores en particulier. Les principales espèces d’oiseaux granivores rencontrées dans le croissant nord de notre pays sont :</w:t>
      </w:r>
    </w:p>
    <w:p>
      <w:pPr>
        <w:pStyle w:val="style0"/>
        <w:spacing w:lineRule="auto" w:line="276"/>
        <w:rPr>
          <w:sz w:val="23"/>
          <w:szCs w:val="23"/>
        </w:rPr>
      </w:pPr>
      <w:r>
        <w:rPr>
          <w:i/>
          <w:sz w:val="23"/>
          <w:szCs w:val="23"/>
        </w:rPr>
        <w:t>Quelea quelea</w:t>
      </w:r>
      <w:r>
        <w:rPr>
          <w:sz w:val="23"/>
          <w:szCs w:val="23"/>
        </w:rPr>
        <w:t xml:space="preserve"> (Travailleur à bec rouge) ;</w:t>
      </w:r>
    </w:p>
    <w:p>
      <w:pPr>
        <w:pStyle w:val="style0"/>
        <w:spacing w:lineRule="auto" w:line="276"/>
        <w:rPr>
          <w:sz w:val="23"/>
          <w:szCs w:val="23"/>
        </w:rPr>
      </w:pPr>
      <w:r>
        <w:rPr>
          <w:i/>
          <w:sz w:val="23"/>
          <w:szCs w:val="23"/>
        </w:rPr>
        <w:t>Passer luteus</w:t>
      </w:r>
      <w:r>
        <w:rPr>
          <w:sz w:val="23"/>
          <w:szCs w:val="23"/>
        </w:rPr>
        <w:t xml:space="preserve"> (Moineau doré).</w:t>
      </w:r>
    </w:p>
    <w:p>
      <w:pPr>
        <w:pStyle w:val="style0"/>
        <w:rPr/>
      </w:pPr>
      <w:r>
        <w:t xml:space="preserve">Ces petits oiseaux d’un poids moyen respectif de 18 g et de 12 g constituent de véritables contraintes à la production agricole notamment pour le mil, le sorgho et le riz. Certaines cultures maraîchères telle que la tomate, ne sont pas à l’abri des dégâts de </w:t>
      </w:r>
      <w:r>
        <w:rPr>
          <w:i/>
        </w:rPr>
        <w:t>Quelea quelea</w:t>
      </w:r>
      <w:r>
        <w:t xml:space="preserve">. Les pertes occasionnées peuvent être évaluées à environ 30% et parfois 100% en cas de fortes pullulations (Dème, 2003). </w:t>
      </w:r>
    </w:p>
    <w:p>
      <w:pPr>
        <w:pStyle w:val="style0"/>
        <w:spacing w:lineRule="auto" w:line="276"/>
        <w:rPr>
          <w:sz w:val="23"/>
          <w:szCs w:val="23"/>
        </w:rPr>
      </w:pPr>
      <w:r>
        <w:rPr>
          <w:noProof/>
          <w:lang w:eastAsia="fr-FR"/>
        </w:rPr>
        <w:drawing>
          <wp:anchor distT="0" distB="0" distL="0" distR="0" simplePos="false" relativeHeight="4" behindDoc="false" locked="false" layoutInCell="true" allowOverlap="true">
            <wp:simplePos x="0" y="0"/>
            <wp:positionH relativeFrom="column">
              <wp:posOffset>3735705</wp:posOffset>
            </wp:positionH>
            <wp:positionV relativeFrom="paragraph">
              <wp:posOffset>1905</wp:posOffset>
            </wp:positionV>
            <wp:extent cx="1767204" cy="1753235"/>
            <wp:effectExtent l="25400" t="25400" r="36195" b="24765"/>
            <wp:wrapNone/>
            <wp:docPr id="1048" name="Image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 12"/>
                    <pic:cNvPicPr/>
                  </pic:nvPicPr>
                  <pic:blipFill>
                    <a:blip r:embed="rId25" cstate="print"/>
                    <a:srcRect l="0" t="0" r="0" b="0"/>
                    <a:stretch/>
                  </pic:blipFill>
                  <pic:spPr>
                    <a:xfrm rot="0">
                      <a:off x="0" y="0"/>
                      <a:ext cx="1767204" cy="1753235"/>
                    </a:xfrm>
                    <a:prstGeom prst="rect"/>
                    <a:ln cmpd="sng" cap="flat" w="9525">
                      <a:solidFill>
                        <a:srgbClr val="000000"/>
                      </a:solidFill>
                      <a:prstDash val="solid"/>
                      <a:miter/>
                      <a:headEnd len="med" type="none" w="med"/>
                      <a:tailEnd len="med" type="none" w="med"/>
                    </a:ln>
                  </pic:spPr>
                </pic:pic>
              </a:graphicData>
            </a:graphic>
            <wp14:sizeRelH relativeFrom="page">
              <wp14:pctWidth>0</wp14:pctWidth>
            </wp14:sizeRelH>
            <wp14:sizeRelV relativeFrom="page">
              <wp14:pctHeight>0</wp14:pctHeight>
            </wp14:sizeRelV>
          </wp:anchor>
        </w:drawing>
      </w:r>
      <w:r>
        <w:rPr>
          <w:sz w:val="23"/>
          <w:szCs w:val="23"/>
        </w:rPr>
        <w:t xml:space="preserve">                       </w:t>
      </w:r>
      <w:r>
        <w:rPr>
          <w:noProof/>
          <w:sz w:val="23"/>
          <w:szCs w:val="23"/>
          <w:lang w:eastAsia="fr-FR"/>
        </w:rPr>
        <w:drawing>
          <wp:inline distT="0" distR="0" distL="0" distB="0">
            <wp:extent cx="2159000" cy="1778000"/>
            <wp:effectExtent l="0" t="0" r="0" b="0"/>
            <wp:docPr id="1049" name="Imag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 11"/>
                    <pic:cNvPicPr/>
                  </pic:nvPicPr>
                  <pic:blipFill>
                    <a:blip r:embed="rId26" cstate="print"/>
                    <a:srcRect l="0" t="0" r="0" b="0"/>
                    <a:stretch/>
                  </pic:blipFill>
                  <pic:spPr>
                    <a:xfrm rot="0">
                      <a:off x="0" y="0"/>
                      <a:ext cx="2159000" cy="1778000"/>
                    </a:xfrm>
                    <a:prstGeom prst="rect"/>
                    <a:ln>
                      <a:noFill/>
                    </a:ln>
                  </pic:spPr>
                </pic:pic>
              </a:graphicData>
            </a:graphic>
          </wp:inline>
        </w:drawing>
      </w:r>
      <w:r>
        <w:rPr>
          <w:sz w:val="23"/>
          <w:szCs w:val="23"/>
        </w:rPr>
        <w:t xml:space="preserve">     </w:t>
      </w:r>
    </w:p>
    <w:p>
      <w:pPr>
        <w:pStyle w:val="style0"/>
        <w:tabs>
          <w:tab w:val="left" w:leader="none" w:pos="7920"/>
        </w:tabs>
        <w:spacing w:lineRule="auto" w:line="276"/>
        <w:rPr>
          <w:sz w:val="23"/>
          <w:szCs w:val="23"/>
        </w:rPr>
      </w:pPr>
      <w:r>
        <w:rPr>
          <w:i/>
          <w:sz w:val="23"/>
          <w:szCs w:val="23"/>
        </w:rPr>
        <w:t xml:space="preserve">               </w:t>
      </w:r>
      <w:r>
        <w:rPr>
          <w:i/>
          <w:sz w:val="23"/>
          <w:szCs w:val="23"/>
        </w:rPr>
        <w:t xml:space="preserve">                 </w:t>
      </w:r>
      <w:r>
        <w:rPr>
          <w:i/>
          <w:sz w:val="23"/>
          <w:szCs w:val="23"/>
        </w:rPr>
        <w:t xml:space="preserve">        Quelea quelea</w:t>
      </w:r>
      <w:r>
        <w:rPr>
          <w:sz w:val="23"/>
          <w:szCs w:val="23"/>
        </w:rPr>
        <w:t xml:space="preserve">                                               </w:t>
      </w:r>
      <w:r>
        <w:rPr>
          <w:i/>
          <w:iCs/>
          <w:sz w:val="23"/>
          <w:szCs w:val="23"/>
        </w:rPr>
        <w:t xml:space="preserve">Ploceus cucullatus </w:t>
      </w:r>
      <w:r>
        <w:rPr>
          <w:sz w:val="23"/>
          <w:szCs w:val="23"/>
        </w:rPr>
        <w:t xml:space="preserve">                       </w:t>
      </w:r>
    </w:p>
    <w:p>
      <w:pPr>
        <w:pStyle w:val="style0"/>
        <w:tabs>
          <w:tab w:val="left" w:leader="none" w:pos="7920"/>
        </w:tabs>
        <w:spacing w:lineRule="auto" w:line="276"/>
        <w:rPr>
          <w:sz w:val="23"/>
          <w:szCs w:val="23"/>
        </w:rPr>
      </w:pPr>
    </w:p>
    <w:bookmarkStart w:id="231" w:name="_Toc2831199"/>
    <w:p>
      <w:pPr>
        <w:pStyle w:val="style2"/>
        <w:numPr>
          <w:ilvl w:val="1"/>
          <w:numId w:val="60"/>
        </w:numPr>
        <w:rPr>
          <w:caps/>
        </w:rPr>
      </w:pPr>
      <w:r>
        <w:t xml:space="preserve">Approches </w:t>
      </w:r>
      <w:r>
        <w:t>actuelles de gestion des pestes</w:t>
      </w:r>
      <w:bookmarkEnd w:id="231"/>
      <w:r>
        <w:t xml:space="preserve"> </w:t>
      </w:r>
    </w:p>
    <w:p>
      <w:pPr>
        <w:pStyle w:val="style0"/>
        <w:rPr>
          <w:b/>
          <w:bCs/>
        </w:rPr>
      </w:pPr>
      <w:r>
        <w:t xml:space="preserve">L’application de pesticides a pour conséquence l’existence de risques de développement de bio agresseurs (adventices, maladies fongiques, insectes ravageurs). Certains systèmes de culture spécialisés et intensifs accroissent les risques : </w:t>
      </w:r>
    </w:p>
    <w:p>
      <w:pPr>
        <w:pStyle w:val="style179"/>
        <w:numPr>
          <w:ilvl w:val="0"/>
          <w:numId w:val="72"/>
        </w:numPr>
        <w:spacing w:lineRule="auto" w:line="276"/>
        <w:contextualSpacing/>
        <w:rPr>
          <w:szCs w:val="23"/>
        </w:rPr>
      </w:pPr>
      <w:r>
        <w:rPr>
          <w:szCs w:val="23"/>
        </w:rPr>
        <w:t>la monoculture ou la succession de cultures ayant le même cycle de végétation ;</w:t>
      </w:r>
    </w:p>
    <w:p>
      <w:pPr>
        <w:pStyle w:val="style179"/>
        <w:numPr>
          <w:ilvl w:val="0"/>
          <w:numId w:val="72"/>
        </w:numPr>
        <w:spacing w:lineRule="auto" w:line="276"/>
        <w:contextualSpacing/>
        <w:rPr>
          <w:szCs w:val="23"/>
        </w:rPr>
      </w:pPr>
      <w:r>
        <w:rPr>
          <w:szCs w:val="23"/>
        </w:rPr>
        <w:t>la végétation dense favorise la propagation des maladies ;</w:t>
      </w:r>
    </w:p>
    <w:p>
      <w:pPr>
        <w:pStyle w:val="style179"/>
        <w:numPr>
          <w:ilvl w:val="0"/>
          <w:numId w:val="72"/>
        </w:numPr>
        <w:spacing w:lineRule="auto" w:line="276"/>
        <w:contextualSpacing/>
        <w:rPr>
          <w:szCs w:val="23"/>
        </w:rPr>
      </w:pPr>
      <w:r>
        <w:rPr>
          <w:szCs w:val="23"/>
        </w:rPr>
        <w:t>la fertilisation forte profite aussi aux adventices ;</w:t>
      </w:r>
    </w:p>
    <w:p>
      <w:pPr>
        <w:pStyle w:val="style179"/>
        <w:numPr>
          <w:ilvl w:val="0"/>
          <w:numId w:val="72"/>
        </w:numPr>
        <w:spacing w:lineRule="auto" w:line="276"/>
        <w:contextualSpacing/>
        <w:rPr>
          <w:szCs w:val="23"/>
        </w:rPr>
      </w:pPr>
      <w:r>
        <w:rPr>
          <w:szCs w:val="23"/>
        </w:rPr>
        <w:t xml:space="preserve">l’emploi répété sur de grandes surfaces, d’une même substance active, contribue au développement de populations du bio-agresseur visé résistantes au pesticide. </w:t>
      </w:r>
    </w:p>
    <w:p>
      <w:pPr>
        <w:pStyle w:val="style0"/>
        <w:rPr/>
      </w:pPr>
      <w:r>
        <w:t>Il est donc fortement recommandé d’utiliser toutes les méthodes de lutte possible pour éviter des pertes importantes de la production.</w:t>
      </w:r>
      <w:r>
        <w:rPr>
          <w:bCs/>
        </w:rPr>
        <w:t xml:space="preserve"> Les autres alternatives à la lutte chimique en protection des végétaux, sont entre autres : </w:t>
      </w:r>
      <w:r>
        <w:t>la lutte biologique ; les pratiques culturales ; l’utilisation de ressources phytogénétiques ; l’utilisation des biopesticides ; la lutte physique ; les mesures prophylactiques ; la lutte intégrée ; la gestion intégrée de la production et des déprédateurs (GIPD).</w:t>
      </w:r>
    </w:p>
    <w:p>
      <w:pPr>
        <w:pStyle w:val="style0"/>
        <w:spacing w:lineRule="auto" w:line="276"/>
        <w:rPr>
          <w:sz w:val="23"/>
          <w:szCs w:val="23"/>
        </w:rPr>
      </w:pPr>
    </w:p>
    <w:bookmarkStart w:id="232" w:name="_Toc458331325"/>
    <w:bookmarkStart w:id="233" w:name="_Toc462221568"/>
    <w:bookmarkStart w:id="234" w:name="_Toc514190148"/>
    <w:p>
      <w:pPr>
        <w:pStyle w:val="style4"/>
        <w:numPr>
          <w:ilvl w:val="2"/>
          <w:numId w:val="60"/>
        </w:numPr>
        <w:rPr/>
      </w:pPr>
      <w:r>
        <w:t>L</w:t>
      </w:r>
      <w:r>
        <w:t xml:space="preserve">a lutte biologique </w:t>
      </w:r>
    </w:p>
    <w:bookmarkEnd w:id="232"/>
    <w:bookmarkEnd w:id="233"/>
    <w:bookmarkEnd w:id="234"/>
    <w:p>
      <w:pPr>
        <w:pStyle w:val="style0"/>
        <w:rPr>
          <w:bCs/>
        </w:rPr>
      </w:pPr>
      <w:r>
        <w:t>Elle fait appel à des organismes vivants ou leurs produits pour lutter contre les ravageurs et les maladies des cultures. Les organismes prédateurs ou parasites au service de la lutte biologique peuvent être des bactéries, des parasitoïdes, des champignons, des virus, des nématodes. Il s’agit donc de</w:t>
      </w:r>
      <w:r>
        <w:rPr>
          <w:bCs/>
        </w:rPr>
        <w:t xml:space="preserve"> l’utilisation d’organismes vivants ou de leurs produits contre des organismes jugés nuisibles. Les principales méthodes biologiques sont la confusion sexuelle (phéromones) ou la lutte autocide (mâles stériles). </w:t>
      </w:r>
    </w:p>
    <w:p>
      <w:pPr>
        <w:pStyle w:val="style0"/>
        <w:rPr/>
      </w:pPr>
      <w:r>
        <w:rPr>
          <w:bCs/>
        </w:rPr>
        <w:t>La lutte biologique peut se mener par </w:t>
      </w:r>
      <w:r>
        <w:t xml:space="preserve">utilisation de prédateurs, de </w:t>
      </w:r>
      <w:bookmarkStart w:id="235" w:name="_Toc284400644"/>
      <w:bookmarkStart w:id="236" w:name="_Toc295903027"/>
      <w:r>
        <w:t>parasitoïdes</w:t>
      </w:r>
      <w:bookmarkEnd w:id="235"/>
      <w:bookmarkEnd w:id="236"/>
      <w:r>
        <w:t xml:space="preserve"> ou </w:t>
      </w:r>
      <w:bookmarkStart w:id="237" w:name="_Toc295903028"/>
      <w:r>
        <w:t>d’entomopathogènes</w:t>
      </w:r>
      <w:bookmarkEnd w:id="237"/>
      <w:r>
        <w:t xml:space="preserve">. </w:t>
      </w:r>
    </w:p>
    <w:p>
      <w:pPr>
        <w:pStyle w:val="style0"/>
        <w:spacing w:lineRule="auto" w:line="276"/>
        <w:rPr>
          <w:sz w:val="23"/>
          <w:szCs w:val="23"/>
        </w:rPr>
      </w:pPr>
    </w:p>
    <w:bookmarkStart w:id="238" w:name="_Toc458331326"/>
    <w:bookmarkStart w:id="239" w:name="_Toc462221569"/>
    <w:bookmarkStart w:id="240" w:name="_Toc514190149"/>
    <w:p>
      <w:pPr>
        <w:pStyle w:val="style4"/>
        <w:numPr>
          <w:ilvl w:val="2"/>
          <w:numId w:val="60"/>
        </w:numPr>
        <w:rPr/>
      </w:pPr>
      <w:r>
        <w:t>Utilisation de méthodes culturales contre les déprédateurs des cultures</w:t>
      </w:r>
      <w:bookmarkEnd w:id="238"/>
      <w:bookmarkEnd w:id="239"/>
      <w:bookmarkEnd w:id="240"/>
    </w:p>
    <w:p>
      <w:pPr>
        <w:pStyle w:val="style0"/>
        <w:rPr/>
      </w:pPr>
      <w:r>
        <w:t xml:space="preserve">C’est l’ensemble des méthodes culturales défavorisant les ravageurs des récoltes. Il existe toute une panoplie de luttes culturales comme les rotations de cultures, les bicultures ou plusieurs associations de plantes, l’anticipation ou le retardement des saisons de semis ou de récolte, l’assainissement des plantations après les récoltes, le sarclage des mauvaises herbes aux alentours des plantations, les jachères, etc. </w:t>
      </w:r>
      <w:r>
        <w:t>L</w:t>
      </w:r>
      <w:r>
        <w:t xml:space="preserve">es méthodes de lutte contre les mauvaises herbes en riziculture sont résumées au tableau </w:t>
      </w:r>
      <w:r>
        <w:t>10</w:t>
      </w:r>
      <w:r>
        <w:t>.</w:t>
      </w:r>
    </w:p>
    <w:p>
      <w:pPr>
        <w:pStyle w:val="style0"/>
        <w:rPr/>
      </w:pPr>
    </w:p>
    <w:bookmarkStart w:id="241" w:name="_Toc260217"/>
    <w:bookmarkStart w:id="242" w:name="_Toc283352248"/>
    <w:bookmarkStart w:id="243" w:name="_Toc284184089"/>
    <w:bookmarkStart w:id="244" w:name="_Toc284400646"/>
    <w:bookmarkStart w:id="245" w:name="_Toc295903029"/>
    <w:bookmarkStart w:id="246" w:name="_Toc422657236"/>
    <w:p>
      <w:pPr>
        <w:pStyle w:val="style0"/>
        <w:spacing w:lineRule="auto" w:line="276"/>
        <w:rPr>
          <w:rFonts w:eastAsia="Calibri"/>
          <w:i/>
          <w:iCs/>
          <w:color w:val="1f497d"/>
          <w:sz w:val="20"/>
          <w:szCs w:val="20"/>
        </w:rPr>
      </w:pPr>
      <w:r>
        <w:rPr>
          <w:sz w:val="20"/>
          <w:szCs w:val="20"/>
        </w:rPr>
        <w:t xml:space="preserve">Tableau </w:t>
      </w:r>
      <w:r>
        <w:rPr>
          <w:sz w:val="20"/>
          <w:szCs w:val="20"/>
        </w:rPr>
        <w:fldChar w:fldCharType="begin"/>
      </w:r>
      <w:r>
        <w:rPr>
          <w:sz w:val="20"/>
          <w:szCs w:val="20"/>
        </w:rPr>
        <w:instrText xml:space="preserve"> </w:instrText>
      </w:r>
      <w:r>
        <w:rPr>
          <w:sz w:val="20"/>
          <w:szCs w:val="20"/>
        </w:rPr>
        <w:instrText>SEQ</w:instrText>
      </w:r>
      <w:r>
        <w:rPr>
          <w:sz w:val="20"/>
          <w:szCs w:val="20"/>
        </w:rPr>
        <w:instrText xml:space="preserve"> Tableau \* ARABIC </w:instrText>
      </w:r>
      <w:r>
        <w:rPr>
          <w:sz w:val="20"/>
          <w:szCs w:val="20"/>
        </w:rPr>
        <w:fldChar w:fldCharType="separate"/>
      </w:r>
      <w:r>
        <w:rPr>
          <w:noProof/>
          <w:sz w:val="20"/>
          <w:szCs w:val="20"/>
        </w:rPr>
        <w:t>10</w:t>
      </w:r>
      <w:r>
        <w:rPr>
          <w:sz w:val="20"/>
          <w:szCs w:val="20"/>
        </w:rPr>
        <w:fldChar w:fldCharType="end"/>
      </w:r>
      <w:r>
        <w:rPr>
          <w:rFonts w:eastAsia="Calibri"/>
          <w:i/>
          <w:iCs/>
          <w:color w:val="1f497d"/>
          <w:sz w:val="20"/>
          <w:szCs w:val="20"/>
        </w:rPr>
        <w:t> :</w:t>
      </w:r>
      <w:r>
        <w:rPr>
          <w:rFonts w:eastAsia="Calibri"/>
          <w:i/>
          <w:iCs/>
          <w:color w:val="1f497d"/>
          <w:sz w:val="20"/>
          <w:szCs w:val="20"/>
        </w:rPr>
        <w:t xml:space="preserve"> Méthodes de lutte non chimique contre les mauvaises herbes</w:t>
      </w:r>
      <w:bookmarkEnd w:id="241"/>
      <w:r>
        <w:rPr>
          <w:rFonts w:eastAsia="Calibri"/>
          <w:i/>
          <w:iCs/>
          <w:color w:val="1f497d"/>
          <w:sz w:val="20"/>
          <w:szCs w:val="20"/>
        </w:rPr>
        <w:t xml:space="preserve"> </w:t>
      </w:r>
      <w:bookmarkEnd w:id="242"/>
      <w:bookmarkEnd w:id="243"/>
      <w:bookmarkEnd w:id="244"/>
      <w:bookmarkEnd w:id="245"/>
      <w:bookmarkEnd w:id="246"/>
    </w:p>
    <w:tbl>
      <w:tblPr>
        <w:tblW w:w="4964"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4500"/>
        <w:gridCol w:w="4497"/>
      </w:tblGrid>
      <w:tr>
        <w:trPr/>
        <w:tc>
          <w:tcPr>
            <w:tcW w:w="2501" w:type="pct"/>
            <w:tcBorders/>
            <w:shd w:val="clear" w:color="auto" w:fill="d9d9d9"/>
          </w:tcPr>
          <w:p>
            <w:pPr>
              <w:pStyle w:val="style0"/>
              <w:spacing w:lineRule="auto" w:line="276"/>
              <w:rPr>
                <w:b/>
                <w:sz w:val="23"/>
                <w:szCs w:val="23"/>
              </w:rPr>
            </w:pPr>
            <w:r>
              <w:rPr>
                <w:b/>
                <w:sz w:val="23"/>
                <w:szCs w:val="23"/>
              </w:rPr>
              <w:t>Méthodes de lutte préventive</w:t>
            </w:r>
          </w:p>
        </w:tc>
        <w:tc>
          <w:tcPr>
            <w:tcW w:w="2499" w:type="pct"/>
            <w:tcBorders/>
            <w:shd w:val="clear" w:color="auto" w:fill="d9d9d9"/>
          </w:tcPr>
          <w:p>
            <w:pPr>
              <w:pStyle w:val="style0"/>
              <w:spacing w:lineRule="auto" w:line="276"/>
              <w:rPr>
                <w:b/>
                <w:sz w:val="23"/>
                <w:szCs w:val="23"/>
              </w:rPr>
            </w:pPr>
            <w:r>
              <w:rPr>
                <w:b/>
                <w:sz w:val="23"/>
                <w:szCs w:val="23"/>
              </w:rPr>
              <w:t>Méthodes de lutte curative non chimique</w:t>
            </w:r>
          </w:p>
        </w:tc>
      </w:tr>
      <w:tr>
        <w:tblPrEx/>
        <w:trPr/>
        <w:tc>
          <w:tcPr>
            <w:tcW w:w="2501" w:type="pct"/>
            <w:tcBorders/>
          </w:tcPr>
          <w:p>
            <w:pPr>
              <w:pStyle w:val="style0"/>
              <w:numPr>
                <w:ilvl w:val="0"/>
                <w:numId w:val="101"/>
              </w:numPr>
              <w:tabs>
                <w:tab w:val="clear" w:pos="720"/>
              </w:tabs>
              <w:spacing w:lineRule="auto" w:line="276"/>
              <w:ind w:left="113" w:hanging="113"/>
              <w:rPr>
                <w:sz w:val="23"/>
                <w:szCs w:val="23"/>
              </w:rPr>
            </w:pPr>
            <w:r>
              <w:rPr>
                <w:sz w:val="23"/>
                <w:szCs w:val="23"/>
              </w:rPr>
              <w:t>Nivellement des casiers afin d’homogénéiser la lame d’eau sur toute la surface</w:t>
            </w:r>
          </w:p>
          <w:p>
            <w:pPr>
              <w:pStyle w:val="style0"/>
              <w:numPr>
                <w:ilvl w:val="0"/>
                <w:numId w:val="101"/>
              </w:numPr>
              <w:tabs>
                <w:tab w:val="clear" w:pos="720"/>
              </w:tabs>
              <w:spacing w:lineRule="auto" w:line="276"/>
              <w:ind w:left="113" w:hanging="113"/>
              <w:rPr>
                <w:sz w:val="23"/>
                <w:szCs w:val="23"/>
              </w:rPr>
            </w:pPr>
            <w:r>
              <w:rPr>
                <w:sz w:val="23"/>
                <w:szCs w:val="23"/>
              </w:rPr>
              <w:t>Pré irrigation après la récolte puis labour dès assèchement du sol (les adventices à graines déjà germées sont tués), une partie des organes végétatifs de la reproduction est tuée par le soleil (rhizomes, stolons, bulbes, tubercules)</w:t>
            </w:r>
          </w:p>
          <w:p>
            <w:pPr>
              <w:pStyle w:val="style0"/>
              <w:numPr>
                <w:ilvl w:val="0"/>
                <w:numId w:val="101"/>
              </w:numPr>
              <w:tabs>
                <w:tab w:val="clear" w:pos="720"/>
              </w:tabs>
              <w:spacing w:lineRule="auto" w:line="276"/>
              <w:ind w:left="113" w:hanging="113"/>
              <w:rPr>
                <w:sz w:val="23"/>
                <w:szCs w:val="23"/>
              </w:rPr>
            </w:pPr>
            <w:r>
              <w:rPr>
                <w:sz w:val="23"/>
                <w:szCs w:val="23"/>
              </w:rPr>
              <w:t>Labourage et hersage des parcelles (destruction des organes reproductifs souterrains)</w:t>
            </w:r>
          </w:p>
          <w:p>
            <w:pPr>
              <w:pStyle w:val="style0"/>
              <w:numPr>
                <w:ilvl w:val="0"/>
                <w:numId w:val="101"/>
              </w:numPr>
              <w:tabs>
                <w:tab w:val="clear" w:pos="720"/>
              </w:tabs>
              <w:spacing w:lineRule="auto" w:line="276"/>
              <w:ind w:left="113" w:hanging="113"/>
              <w:rPr>
                <w:sz w:val="23"/>
                <w:szCs w:val="23"/>
              </w:rPr>
            </w:pPr>
            <w:r>
              <w:rPr>
                <w:sz w:val="23"/>
                <w:szCs w:val="23"/>
              </w:rPr>
              <w:t>Repiquage du riz au lieu d’un semis direct (avance du cycle du riz par rapport aux adventices)</w:t>
            </w:r>
          </w:p>
          <w:p>
            <w:pPr>
              <w:pStyle w:val="style0"/>
              <w:numPr>
                <w:ilvl w:val="0"/>
                <w:numId w:val="101"/>
              </w:numPr>
              <w:tabs>
                <w:tab w:val="clear" w:pos="720"/>
              </w:tabs>
              <w:spacing w:lineRule="auto" w:line="276"/>
              <w:ind w:left="113" w:hanging="113"/>
              <w:rPr>
                <w:sz w:val="23"/>
                <w:szCs w:val="23"/>
              </w:rPr>
            </w:pPr>
            <w:r>
              <w:rPr>
                <w:sz w:val="23"/>
                <w:szCs w:val="23"/>
              </w:rPr>
              <w:t>Couverture totale précoce et homogène de la surface par le riz : moindre espace aux adventices</w:t>
            </w:r>
          </w:p>
          <w:p>
            <w:pPr>
              <w:pStyle w:val="style0"/>
              <w:numPr>
                <w:ilvl w:val="0"/>
                <w:numId w:val="101"/>
              </w:numPr>
              <w:tabs>
                <w:tab w:val="clear" w:pos="720"/>
              </w:tabs>
              <w:spacing w:lineRule="auto" w:line="276"/>
              <w:ind w:left="113" w:hanging="113"/>
              <w:rPr>
                <w:sz w:val="23"/>
                <w:szCs w:val="23"/>
              </w:rPr>
            </w:pPr>
            <w:r>
              <w:rPr>
                <w:sz w:val="23"/>
                <w:szCs w:val="23"/>
              </w:rPr>
              <w:t>Submersion permanente et homogène des rizières (lame d’eau de 5-10 cm) : les adventices non adaptés au milieu aquatique disparaissent</w:t>
            </w:r>
          </w:p>
          <w:p>
            <w:pPr>
              <w:pStyle w:val="style0"/>
              <w:numPr>
                <w:ilvl w:val="0"/>
                <w:numId w:val="101"/>
              </w:numPr>
              <w:tabs>
                <w:tab w:val="clear" w:pos="720"/>
              </w:tabs>
              <w:spacing w:lineRule="auto" w:line="276"/>
              <w:ind w:left="113" w:hanging="113"/>
              <w:rPr>
                <w:sz w:val="23"/>
                <w:szCs w:val="23"/>
              </w:rPr>
            </w:pPr>
            <w:r>
              <w:rPr>
                <w:sz w:val="23"/>
                <w:szCs w:val="23"/>
              </w:rPr>
              <w:t>Pratique de la rotation des cultures</w:t>
            </w:r>
          </w:p>
          <w:p>
            <w:pPr>
              <w:pStyle w:val="style0"/>
              <w:numPr>
                <w:ilvl w:val="0"/>
                <w:numId w:val="101"/>
              </w:numPr>
              <w:tabs>
                <w:tab w:val="clear" w:pos="720"/>
              </w:tabs>
              <w:spacing w:lineRule="auto" w:line="276"/>
              <w:ind w:left="113" w:hanging="113"/>
              <w:rPr>
                <w:sz w:val="23"/>
                <w:szCs w:val="23"/>
              </w:rPr>
            </w:pPr>
            <w:r>
              <w:rPr>
                <w:sz w:val="23"/>
                <w:szCs w:val="23"/>
              </w:rPr>
              <w:t>Destruction des adventices avant que graines, tubercules, bulbes ne soient mûrs pour une reproduction</w:t>
            </w:r>
          </w:p>
          <w:p>
            <w:pPr>
              <w:pStyle w:val="style0"/>
              <w:numPr>
                <w:ilvl w:val="0"/>
                <w:numId w:val="101"/>
              </w:numPr>
              <w:tabs>
                <w:tab w:val="clear" w:pos="720"/>
              </w:tabs>
              <w:spacing w:lineRule="auto" w:line="276"/>
              <w:ind w:left="113" w:hanging="113"/>
              <w:rPr>
                <w:sz w:val="23"/>
                <w:szCs w:val="23"/>
              </w:rPr>
            </w:pPr>
            <w:r>
              <w:rPr>
                <w:sz w:val="23"/>
                <w:szCs w:val="23"/>
              </w:rPr>
              <w:t>Choix de semences indemnes de graines d’adventices</w:t>
            </w:r>
          </w:p>
        </w:tc>
        <w:tc>
          <w:tcPr>
            <w:tcW w:w="2499" w:type="pct"/>
            <w:tcBorders/>
          </w:tcPr>
          <w:p>
            <w:pPr>
              <w:pStyle w:val="style0"/>
              <w:numPr>
                <w:ilvl w:val="0"/>
                <w:numId w:val="101"/>
              </w:numPr>
              <w:tabs>
                <w:tab w:val="clear" w:pos="720"/>
              </w:tabs>
              <w:spacing w:lineRule="auto" w:line="276"/>
              <w:ind w:left="113" w:hanging="113"/>
              <w:rPr>
                <w:sz w:val="23"/>
                <w:szCs w:val="23"/>
              </w:rPr>
            </w:pPr>
            <w:r>
              <w:rPr>
                <w:sz w:val="23"/>
                <w:szCs w:val="23"/>
              </w:rPr>
              <w:t>Désherbage manuel : arrachage à la main des adventices efficace mais exige une main d’œuvre importante, les organes souterrains échappent souvent à l’opération, les adventices monocotylédones sont difficiles à décerner du riz, difficile à appliquer pour les semis à la volée</w:t>
            </w:r>
          </w:p>
          <w:p>
            <w:pPr>
              <w:pStyle w:val="style0"/>
              <w:numPr>
                <w:ilvl w:val="0"/>
                <w:numId w:val="101"/>
              </w:numPr>
              <w:tabs>
                <w:tab w:val="clear" w:pos="720"/>
              </w:tabs>
              <w:spacing w:lineRule="auto" w:line="276"/>
              <w:ind w:left="113" w:hanging="113"/>
              <w:rPr>
                <w:sz w:val="23"/>
                <w:szCs w:val="23"/>
              </w:rPr>
            </w:pPr>
            <w:r>
              <w:rPr>
                <w:sz w:val="23"/>
                <w:szCs w:val="23"/>
              </w:rPr>
              <w:t>Désherbage mécanique sur riz semé ou repiqué en ligne</w:t>
            </w:r>
            <w:r>
              <w:rPr>
                <w:sz w:val="23"/>
                <w:szCs w:val="23"/>
              </w:rPr>
              <w:t xml:space="preserve"> </w:t>
            </w:r>
            <w:r>
              <w:rPr>
                <w:sz w:val="23"/>
                <w:szCs w:val="23"/>
              </w:rPr>
              <w:t>: (binette, attelage ou moteur) : pas efficace contre les adventices à pouvoir de reproduction à partir de fragments coupés (rhizomes et stolons du chiendent) ; doit être complété par un arrachage manuel des adventices poussant dans les poquets de riz</w:t>
            </w:r>
          </w:p>
          <w:p>
            <w:pPr>
              <w:pStyle w:val="style0"/>
              <w:numPr>
                <w:ilvl w:val="0"/>
                <w:numId w:val="101"/>
              </w:numPr>
              <w:tabs>
                <w:tab w:val="clear" w:pos="720"/>
              </w:tabs>
              <w:spacing w:lineRule="auto" w:line="276"/>
              <w:ind w:left="113" w:hanging="113"/>
              <w:rPr>
                <w:sz w:val="23"/>
                <w:szCs w:val="23"/>
              </w:rPr>
            </w:pPr>
            <w:r>
              <w:rPr>
                <w:sz w:val="23"/>
                <w:szCs w:val="23"/>
              </w:rPr>
              <w:t>Désherbage par submersion : moins efficace sur riz irrigué semé à sec car les premières irrigations favorisent la croissance du riz et des adventices ; les espèces hydrophiles et les cypéracées survivent aux inondations ultérieures</w:t>
            </w:r>
          </w:p>
        </w:tc>
      </w:tr>
    </w:tbl>
    <w:p>
      <w:pPr>
        <w:pStyle w:val="style0"/>
        <w:spacing w:lineRule="auto" w:line="276"/>
        <w:rPr>
          <w:i/>
          <w:sz w:val="23"/>
          <w:szCs w:val="23"/>
        </w:rPr>
      </w:pPr>
      <w:r>
        <w:rPr>
          <w:b/>
          <w:i/>
          <w:sz w:val="23"/>
          <w:szCs w:val="23"/>
          <w:u w:val="single"/>
        </w:rPr>
        <w:t>Source</w:t>
      </w:r>
      <w:r>
        <w:rPr>
          <w:b/>
          <w:i/>
          <w:sz w:val="23"/>
          <w:szCs w:val="23"/>
        </w:rPr>
        <w:t> :</w:t>
      </w:r>
      <w:r>
        <w:rPr>
          <w:i/>
          <w:sz w:val="23"/>
          <w:szCs w:val="23"/>
        </w:rPr>
        <w:t xml:space="preserve"> la lutte intégrée contre les ennemis des cultures : guide pratique de défense des cultures pour la Mauritanie, DEA, GTZ, CNRADA, 2000</w:t>
      </w:r>
    </w:p>
    <w:p>
      <w:pPr>
        <w:pStyle w:val="style0"/>
        <w:spacing w:lineRule="auto" w:line="276"/>
        <w:rPr>
          <w:sz w:val="23"/>
          <w:szCs w:val="23"/>
        </w:rPr>
      </w:pPr>
    </w:p>
    <w:p>
      <w:pPr>
        <w:pStyle w:val="style4"/>
        <w:numPr>
          <w:ilvl w:val="2"/>
          <w:numId w:val="60"/>
        </w:numPr>
        <w:rPr/>
      </w:pPr>
      <w:r>
        <w:t xml:space="preserve">Utilisation de variété résistantes </w:t>
      </w:r>
    </w:p>
    <w:p>
      <w:pPr>
        <w:pStyle w:val="style0"/>
        <w:rPr/>
      </w:pPr>
      <w:r>
        <w:t>La résistance variétale est la capacité pour une variété de plante d’obtenir une bonne productivité malgré la présence de ravageurs et de maladies. Quelques exemples entre autres de résistance variétale au Burkina Faso :</w:t>
      </w:r>
    </w:p>
    <w:p>
      <w:pPr>
        <w:pStyle w:val="style0"/>
        <w:numPr>
          <w:ilvl w:val="0"/>
          <w:numId w:val="106"/>
        </w:numPr>
        <w:spacing w:before="0" w:lineRule="auto" w:line="276"/>
        <w:ind w:left="284" w:hanging="284"/>
        <w:rPr>
          <w:sz w:val="23"/>
          <w:szCs w:val="23"/>
        </w:rPr>
      </w:pPr>
      <w:r>
        <w:rPr>
          <w:sz w:val="23"/>
          <w:szCs w:val="23"/>
        </w:rPr>
        <w:t>la variété de maïs FBC6 tolérante aux viroses ;</w:t>
      </w:r>
    </w:p>
    <w:p>
      <w:pPr>
        <w:pStyle w:val="style0"/>
        <w:numPr>
          <w:ilvl w:val="0"/>
          <w:numId w:val="106"/>
        </w:numPr>
        <w:spacing w:before="0" w:lineRule="auto" w:line="276"/>
        <w:ind w:left="284" w:hanging="284"/>
        <w:rPr>
          <w:sz w:val="23"/>
          <w:szCs w:val="23"/>
        </w:rPr>
      </w:pPr>
      <w:r>
        <w:rPr>
          <w:sz w:val="23"/>
          <w:szCs w:val="23"/>
        </w:rPr>
        <w:t>la variété de maïs FBH 34 SR résistante au MSV5p ;</w:t>
      </w:r>
      <w:r>
        <w:rPr>
          <w:color w:val="ffffff"/>
          <w:sz w:val="23"/>
          <w:szCs w:val="23"/>
        </w:rPr>
        <w:t xml:space="preserve"> VLVW</w:t>
      </w:r>
    </w:p>
    <w:p>
      <w:pPr>
        <w:pStyle w:val="style0"/>
        <w:numPr>
          <w:ilvl w:val="0"/>
          <w:numId w:val="106"/>
        </w:numPr>
        <w:spacing w:before="0" w:lineRule="auto" w:line="276"/>
        <w:ind w:left="284" w:hanging="284"/>
        <w:rPr>
          <w:sz w:val="23"/>
          <w:szCs w:val="23"/>
        </w:rPr>
      </w:pPr>
      <w:r>
        <w:rPr>
          <w:sz w:val="23"/>
          <w:szCs w:val="23"/>
        </w:rPr>
        <w:t>les variétés d’arachide RMP 12 et la RMP 91 tolérantes ou partiellement résistantes à la cercosporiose ;</w:t>
      </w:r>
    </w:p>
    <w:p>
      <w:pPr>
        <w:pStyle w:val="style0"/>
        <w:numPr>
          <w:ilvl w:val="0"/>
          <w:numId w:val="106"/>
        </w:numPr>
        <w:spacing w:before="0" w:lineRule="auto" w:line="276"/>
        <w:ind w:left="284" w:hanging="284"/>
        <w:rPr>
          <w:bCs/>
          <w:sz w:val="23"/>
          <w:szCs w:val="23"/>
        </w:rPr>
      </w:pPr>
      <w:r>
        <w:rPr>
          <w:sz w:val="23"/>
          <w:szCs w:val="23"/>
        </w:rPr>
        <w:t xml:space="preserve">la variété de riz </w:t>
      </w:r>
      <w:r>
        <w:rPr>
          <w:bCs/>
          <w:sz w:val="23"/>
          <w:szCs w:val="23"/>
        </w:rPr>
        <w:t>FKR 3 qui possède une bonne résistance à la pyriculariose ;</w:t>
      </w:r>
    </w:p>
    <w:p>
      <w:pPr>
        <w:pStyle w:val="style0"/>
        <w:numPr>
          <w:ilvl w:val="0"/>
          <w:numId w:val="106"/>
        </w:numPr>
        <w:spacing w:before="0" w:lineRule="auto" w:line="276"/>
        <w:ind w:left="284" w:hanging="284"/>
        <w:rPr>
          <w:sz w:val="23"/>
          <w:szCs w:val="23"/>
        </w:rPr>
      </w:pPr>
      <w:r>
        <w:rPr>
          <w:sz w:val="23"/>
          <w:szCs w:val="23"/>
        </w:rPr>
        <w:t>la variété de Niébé KN-1 très résistante aux chancres bactériens, aux taches brunes, résistante à la galle et à la septoriose.</w:t>
      </w:r>
    </w:p>
    <w:p>
      <w:pPr>
        <w:pStyle w:val="style0"/>
        <w:rPr/>
      </w:pPr>
      <w:r>
        <w:t>Dans le cas du mil, la résistance variétale a été l’une des premières approches testées contre la mineuse du mil car d’application facile et écologiquement intéressante. Plusieurs variétés ont présenté une certaine résistance vis-à-vis de la mineuse à l’issue de criblages effectués sans être indemnes d’attaques. Ainsi, au Sénégal les variétés IBV 8001, et ICMS 7819 ont été classées comme des variétés résistantes (Gahukar, 1984). Au Mali, la variété Souna s’est également montrée résistante (Doumbia et</w:t>
      </w:r>
      <w:r>
        <w:rPr>
          <w:i/>
        </w:rPr>
        <w:t xml:space="preserve"> al</w:t>
      </w:r>
      <w:r>
        <w:t xml:space="preserve">., 1989). Au Burkina Faso, aucune variété ne semble échapper à l’attaque de </w:t>
      </w:r>
      <w:r>
        <w:rPr>
          <w:i/>
          <w:iCs/>
        </w:rPr>
        <w:t>H. albipunctella</w:t>
      </w:r>
      <w:r>
        <w:t>. Cependant</w:t>
      </w:r>
      <w:r>
        <w:t>,</w:t>
      </w:r>
      <w:r>
        <w:t xml:space="preserve"> malgré l’identification de variétés à niveau de résistance moyen chez certains cultivars, ces caractères n’ont jusque-là pu être transférés dans les variétés populaires.</w:t>
      </w:r>
    </w:p>
    <w:p>
      <w:pPr>
        <w:pStyle w:val="style0"/>
        <w:rPr/>
      </w:pPr>
    </w:p>
    <w:bookmarkStart w:id="247" w:name="_Toc260218"/>
    <w:p>
      <w:pPr>
        <w:pStyle w:val="style0"/>
        <w:spacing w:lineRule="auto" w:line="276"/>
        <w:rPr>
          <w:b/>
          <w:sz w:val="23"/>
          <w:szCs w:val="23"/>
        </w:rPr>
      </w:pPr>
      <w:r>
        <w:rPr>
          <w:sz w:val="20"/>
          <w:szCs w:val="20"/>
        </w:rPr>
        <w:t xml:space="preserve">Tableau </w:t>
      </w:r>
      <w:r>
        <w:rPr>
          <w:sz w:val="20"/>
          <w:szCs w:val="20"/>
        </w:rPr>
        <w:fldChar w:fldCharType="begin"/>
      </w:r>
      <w:r>
        <w:rPr>
          <w:sz w:val="20"/>
          <w:szCs w:val="20"/>
        </w:rPr>
        <w:instrText xml:space="preserve"> </w:instrText>
      </w:r>
      <w:r>
        <w:rPr>
          <w:sz w:val="20"/>
          <w:szCs w:val="20"/>
        </w:rPr>
        <w:instrText>SEQ</w:instrText>
      </w:r>
      <w:r>
        <w:rPr>
          <w:sz w:val="20"/>
          <w:szCs w:val="20"/>
        </w:rPr>
        <w:instrText xml:space="preserve"> Tableau \* ARABIC </w:instrText>
      </w:r>
      <w:r>
        <w:rPr>
          <w:sz w:val="20"/>
          <w:szCs w:val="20"/>
        </w:rPr>
        <w:fldChar w:fldCharType="separate"/>
      </w:r>
      <w:r>
        <w:rPr>
          <w:noProof/>
          <w:sz w:val="20"/>
          <w:szCs w:val="20"/>
        </w:rPr>
        <w:t>11</w:t>
      </w:r>
      <w:r>
        <w:rPr>
          <w:sz w:val="20"/>
          <w:szCs w:val="20"/>
        </w:rPr>
        <w:fldChar w:fldCharType="end"/>
      </w:r>
      <w:r>
        <w:rPr>
          <w:rFonts w:eastAsia="Calibri"/>
          <w:i/>
          <w:iCs/>
          <w:color w:val="1f497d"/>
          <w:sz w:val="20"/>
          <w:szCs w:val="20"/>
        </w:rPr>
        <w:t> :</w:t>
      </w:r>
      <w:r>
        <w:rPr>
          <w:rFonts w:eastAsia="Calibri"/>
          <w:i/>
          <w:iCs/>
          <w:color w:val="1f497d"/>
          <w:sz w:val="20"/>
          <w:szCs w:val="20"/>
        </w:rPr>
        <w:t xml:space="preserve"> Type de résistance de variétés de niébé améliorées ou adaptées au Burkina Faso</w:t>
      </w:r>
      <w:bookmarkEnd w:id="247"/>
      <w:r>
        <w:rPr>
          <w:rFonts w:eastAsia="Calibri"/>
          <w:i/>
          <w:iCs/>
          <w:color w:val="1f497d"/>
          <w:sz w:val="20"/>
          <w:szCs w:val="20"/>
        </w:rPr>
        <w:t xml:space="preserve"> </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1385"/>
        <w:gridCol w:w="1261"/>
        <w:gridCol w:w="1047"/>
        <w:gridCol w:w="1285"/>
        <w:gridCol w:w="1139"/>
        <w:gridCol w:w="1456"/>
        <w:gridCol w:w="1665"/>
      </w:tblGrid>
      <w:tr>
        <w:trPr/>
        <w:tc>
          <w:tcPr>
            <w:tcW w:w="14521" w:type="dxa"/>
            <w:gridSpan w:val="7"/>
            <w:tcBorders/>
          </w:tcPr>
          <w:p>
            <w:pPr>
              <w:pStyle w:val="style0"/>
              <w:spacing w:lineRule="auto" w:line="276"/>
              <w:jc w:val="center"/>
              <w:rPr>
                <w:b/>
                <w:sz w:val="23"/>
                <w:szCs w:val="23"/>
              </w:rPr>
            </w:pPr>
            <w:r>
              <w:rPr>
                <w:b/>
                <w:sz w:val="23"/>
                <w:szCs w:val="23"/>
              </w:rPr>
              <w:t>Aptitudes et types de résistance des variétés</w:t>
            </w:r>
          </w:p>
        </w:tc>
      </w:tr>
      <w:tr>
        <w:tblPrEx/>
        <w:trPr/>
        <w:tc>
          <w:tcPr>
            <w:tcW w:w="2472" w:type="dxa"/>
            <w:tcBorders/>
          </w:tcPr>
          <w:p>
            <w:pPr>
              <w:pStyle w:val="style0"/>
              <w:spacing w:lineRule="auto" w:line="276"/>
              <w:rPr>
                <w:b/>
                <w:sz w:val="23"/>
                <w:szCs w:val="23"/>
              </w:rPr>
            </w:pPr>
            <w:r>
              <w:rPr>
                <w:b/>
                <w:sz w:val="23"/>
                <w:szCs w:val="23"/>
              </w:rPr>
              <w:t>Bruches</w:t>
            </w:r>
          </w:p>
        </w:tc>
        <w:tc>
          <w:tcPr>
            <w:tcW w:w="2127" w:type="dxa"/>
            <w:tcBorders/>
          </w:tcPr>
          <w:p>
            <w:pPr>
              <w:pStyle w:val="style0"/>
              <w:spacing w:lineRule="auto" w:line="276"/>
              <w:rPr>
                <w:b/>
                <w:sz w:val="23"/>
                <w:szCs w:val="23"/>
              </w:rPr>
            </w:pPr>
            <w:r>
              <w:rPr>
                <w:b/>
                <w:sz w:val="23"/>
                <w:szCs w:val="23"/>
              </w:rPr>
              <w:t>Aphides</w:t>
            </w:r>
          </w:p>
        </w:tc>
        <w:tc>
          <w:tcPr>
            <w:tcW w:w="1417" w:type="dxa"/>
            <w:tcBorders/>
          </w:tcPr>
          <w:p>
            <w:pPr>
              <w:pStyle w:val="style0"/>
              <w:spacing w:lineRule="auto" w:line="276"/>
              <w:rPr>
                <w:b/>
                <w:sz w:val="23"/>
                <w:szCs w:val="23"/>
              </w:rPr>
            </w:pPr>
            <w:r>
              <w:rPr>
                <w:b/>
                <w:sz w:val="23"/>
                <w:szCs w:val="23"/>
              </w:rPr>
              <w:t>Virus CABMV</w:t>
            </w:r>
          </w:p>
        </w:tc>
        <w:tc>
          <w:tcPr>
            <w:tcW w:w="1526" w:type="dxa"/>
            <w:tcBorders/>
          </w:tcPr>
          <w:p>
            <w:pPr>
              <w:pStyle w:val="style0"/>
              <w:spacing w:lineRule="auto" w:line="276"/>
              <w:rPr>
                <w:b/>
                <w:sz w:val="23"/>
                <w:szCs w:val="23"/>
              </w:rPr>
            </w:pPr>
            <w:r>
              <w:rPr>
                <w:b/>
                <w:sz w:val="23"/>
                <w:szCs w:val="23"/>
              </w:rPr>
              <w:t>Punaises</w:t>
            </w:r>
          </w:p>
        </w:tc>
        <w:tc>
          <w:tcPr>
            <w:tcW w:w="1593" w:type="dxa"/>
            <w:tcBorders/>
          </w:tcPr>
          <w:p>
            <w:pPr>
              <w:pStyle w:val="style0"/>
              <w:spacing w:lineRule="auto" w:line="276"/>
              <w:rPr>
                <w:b/>
                <w:sz w:val="23"/>
                <w:szCs w:val="23"/>
              </w:rPr>
            </w:pPr>
            <w:r>
              <w:rPr>
                <w:b/>
                <w:sz w:val="23"/>
                <w:szCs w:val="23"/>
              </w:rPr>
              <w:t>Thrips</w:t>
            </w:r>
          </w:p>
        </w:tc>
        <w:tc>
          <w:tcPr>
            <w:tcW w:w="2409" w:type="dxa"/>
            <w:tcBorders/>
          </w:tcPr>
          <w:p>
            <w:pPr>
              <w:pStyle w:val="style0"/>
              <w:spacing w:lineRule="auto" w:line="276"/>
              <w:rPr>
                <w:b/>
                <w:sz w:val="23"/>
                <w:szCs w:val="23"/>
              </w:rPr>
            </w:pPr>
            <w:r>
              <w:rPr>
                <w:b/>
                <w:sz w:val="23"/>
                <w:szCs w:val="23"/>
              </w:rPr>
              <w:t>Secheresse</w:t>
            </w:r>
          </w:p>
        </w:tc>
        <w:tc>
          <w:tcPr>
            <w:tcW w:w="2977" w:type="dxa"/>
            <w:tcBorders/>
          </w:tcPr>
          <w:p>
            <w:pPr>
              <w:pStyle w:val="style0"/>
              <w:spacing w:lineRule="auto" w:line="276"/>
              <w:rPr>
                <w:b/>
                <w:i/>
                <w:sz w:val="23"/>
                <w:szCs w:val="23"/>
              </w:rPr>
            </w:pPr>
            <w:r>
              <w:rPr>
                <w:b/>
                <w:i/>
                <w:sz w:val="23"/>
                <w:szCs w:val="23"/>
              </w:rPr>
              <w:t>Striga gesnerioides</w:t>
            </w:r>
          </w:p>
        </w:tc>
      </w:tr>
      <w:tr>
        <w:tblPrEx/>
        <w:trPr/>
        <w:tc>
          <w:tcPr>
            <w:tcW w:w="2472" w:type="dxa"/>
            <w:tcBorders/>
          </w:tcPr>
          <w:p>
            <w:pPr>
              <w:pStyle w:val="style0"/>
              <w:spacing w:lineRule="auto" w:line="276"/>
              <w:rPr>
                <w:sz w:val="23"/>
                <w:szCs w:val="23"/>
              </w:rPr>
            </w:pPr>
            <w:r>
              <w:rPr>
                <w:sz w:val="23"/>
                <w:szCs w:val="23"/>
              </w:rPr>
              <w:t>KVX30-30G-172-1-6K</w:t>
            </w:r>
          </w:p>
          <w:p>
            <w:pPr>
              <w:pStyle w:val="style0"/>
              <w:spacing w:lineRule="auto" w:line="276"/>
              <w:rPr>
                <w:sz w:val="23"/>
                <w:szCs w:val="23"/>
              </w:rPr>
            </w:pPr>
            <w:r>
              <w:rPr>
                <w:sz w:val="23"/>
                <w:szCs w:val="23"/>
              </w:rPr>
              <w:t>KVX30G-183-3-5K</w:t>
            </w:r>
          </w:p>
          <w:p>
            <w:pPr>
              <w:pStyle w:val="style0"/>
              <w:spacing w:lineRule="auto" w:line="276"/>
              <w:rPr>
                <w:sz w:val="23"/>
                <w:szCs w:val="23"/>
              </w:rPr>
            </w:pPr>
            <w:r>
              <w:rPr>
                <w:sz w:val="23"/>
                <w:szCs w:val="23"/>
              </w:rPr>
              <w:t>KVX30G-246-2-5K</w:t>
            </w:r>
          </w:p>
          <w:p>
            <w:pPr>
              <w:pStyle w:val="style0"/>
              <w:spacing w:lineRule="auto" w:line="276"/>
              <w:rPr>
                <w:sz w:val="23"/>
                <w:szCs w:val="23"/>
              </w:rPr>
            </w:pPr>
            <w:r>
              <w:rPr>
                <w:sz w:val="23"/>
                <w:szCs w:val="23"/>
              </w:rPr>
              <w:t>KN-1 (Gousses)</w:t>
            </w:r>
          </w:p>
          <w:p>
            <w:pPr>
              <w:pStyle w:val="style0"/>
              <w:spacing w:lineRule="auto" w:line="276"/>
              <w:rPr>
                <w:sz w:val="23"/>
                <w:szCs w:val="23"/>
              </w:rPr>
            </w:pPr>
            <w:r>
              <w:rPr>
                <w:sz w:val="23"/>
                <w:szCs w:val="23"/>
              </w:rPr>
              <w:t>IT81D-994</w:t>
            </w:r>
          </w:p>
        </w:tc>
        <w:tc>
          <w:tcPr>
            <w:tcW w:w="2127" w:type="dxa"/>
            <w:tcBorders/>
          </w:tcPr>
          <w:p>
            <w:pPr>
              <w:pStyle w:val="style0"/>
              <w:spacing w:lineRule="auto" w:line="276"/>
              <w:rPr>
                <w:sz w:val="23"/>
                <w:szCs w:val="23"/>
              </w:rPr>
            </w:pPr>
            <w:r>
              <w:rPr>
                <w:sz w:val="23"/>
                <w:szCs w:val="23"/>
              </w:rPr>
              <w:t>KVX145-27-6</w:t>
            </w:r>
          </w:p>
          <w:p>
            <w:pPr>
              <w:pStyle w:val="style0"/>
              <w:spacing w:lineRule="auto" w:line="276"/>
              <w:rPr>
                <w:sz w:val="23"/>
                <w:szCs w:val="23"/>
              </w:rPr>
            </w:pPr>
            <w:r>
              <w:rPr>
                <w:sz w:val="23"/>
                <w:szCs w:val="23"/>
              </w:rPr>
              <w:t>KVX165-14-1</w:t>
            </w:r>
          </w:p>
          <w:p>
            <w:pPr>
              <w:pStyle w:val="style0"/>
              <w:spacing w:lineRule="auto" w:line="276"/>
              <w:rPr>
                <w:sz w:val="23"/>
                <w:szCs w:val="23"/>
              </w:rPr>
            </w:pPr>
            <w:r>
              <w:rPr>
                <w:sz w:val="23"/>
                <w:szCs w:val="23"/>
              </w:rPr>
              <w:t>KVX146-27-4</w:t>
            </w:r>
          </w:p>
          <w:p>
            <w:pPr>
              <w:pStyle w:val="style0"/>
              <w:spacing w:lineRule="auto" w:line="276"/>
              <w:rPr>
                <w:sz w:val="23"/>
                <w:szCs w:val="23"/>
              </w:rPr>
            </w:pPr>
            <w:r>
              <w:rPr>
                <w:sz w:val="23"/>
                <w:szCs w:val="23"/>
              </w:rPr>
              <w:t>KVX146-1</w:t>
            </w:r>
          </w:p>
          <w:p>
            <w:pPr>
              <w:pStyle w:val="style0"/>
              <w:spacing w:lineRule="auto" w:line="276"/>
              <w:rPr>
                <w:sz w:val="23"/>
                <w:szCs w:val="23"/>
              </w:rPr>
            </w:pPr>
            <w:r>
              <w:rPr>
                <w:sz w:val="23"/>
                <w:szCs w:val="23"/>
              </w:rPr>
              <w:t>KVX295-2-124-99</w:t>
            </w:r>
          </w:p>
        </w:tc>
        <w:tc>
          <w:tcPr>
            <w:tcW w:w="1417" w:type="dxa"/>
            <w:tcBorders/>
          </w:tcPr>
          <w:p>
            <w:pPr>
              <w:pStyle w:val="style0"/>
              <w:spacing w:lineRule="auto" w:line="276"/>
              <w:rPr>
                <w:sz w:val="23"/>
                <w:szCs w:val="23"/>
              </w:rPr>
            </w:pPr>
            <w:r>
              <w:rPr>
                <w:sz w:val="23"/>
                <w:szCs w:val="23"/>
              </w:rPr>
              <w:t>KVX 396-4-5-2D</w:t>
            </w:r>
          </w:p>
          <w:p>
            <w:pPr>
              <w:pStyle w:val="style0"/>
              <w:spacing w:lineRule="auto" w:line="276"/>
              <w:rPr>
                <w:sz w:val="23"/>
                <w:szCs w:val="23"/>
              </w:rPr>
            </w:pPr>
          </w:p>
        </w:tc>
        <w:tc>
          <w:tcPr>
            <w:tcW w:w="1526" w:type="dxa"/>
            <w:tcBorders/>
          </w:tcPr>
          <w:p>
            <w:pPr>
              <w:pStyle w:val="style0"/>
              <w:spacing w:lineRule="auto" w:line="276"/>
              <w:rPr>
                <w:sz w:val="23"/>
                <w:szCs w:val="23"/>
              </w:rPr>
            </w:pPr>
            <w:r>
              <w:rPr>
                <w:sz w:val="23"/>
                <w:szCs w:val="23"/>
              </w:rPr>
              <w:t>IT86D-716</w:t>
            </w:r>
          </w:p>
          <w:p>
            <w:pPr>
              <w:pStyle w:val="style0"/>
              <w:spacing w:lineRule="auto" w:line="276"/>
              <w:rPr>
                <w:sz w:val="23"/>
                <w:szCs w:val="23"/>
              </w:rPr>
            </w:pPr>
            <w:r>
              <w:rPr>
                <w:sz w:val="23"/>
                <w:szCs w:val="23"/>
              </w:rPr>
              <w:t>Sanzi</w:t>
            </w:r>
          </w:p>
          <w:p>
            <w:pPr>
              <w:pStyle w:val="style0"/>
              <w:spacing w:lineRule="auto" w:line="276"/>
              <w:rPr>
                <w:sz w:val="23"/>
                <w:szCs w:val="23"/>
              </w:rPr>
            </w:pPr>
            <w:r>
              <w:rPr>
                <w:sz w:val="23"/>
                <w:szCs w:val="23"/>
              </w:rPr>
              <w:t>Sumbrizolor</w:t>
            </w:r>
          </w:p>
          <w:p>
            <w:pPr>
              <w:pStyle w:val="style0"/>
              <w:spacing w:lineRule="auto" w:line="276"/>
              <w:rPr>
                <w:sz w:val="23"/>
                <w:szCs w:val="23"/>
              </w:rPr>
            </w:pPr>
            <w:r>
              <w:rPr>
                <w:sz w:val="23"/>
                <w:szCs w:val="23"/>
              </w:rPr>
              <w:t>IT95K-1381</w:t>
            </w:r>
          </w:p>
          <w:p>
            <w:pPr>
              <w:pStyle w:val="style0"/>
              <w:spacing w:lineRule="auto" w:line="276"/>
              <w:rPr>
                <w:sz w:val="23"/>
                <w:szCs w:val="23"/>
              </w:rPr>
            </w:pPr>
          </w:p>
        </w:tc>
        <w:tc>
          <w:tcPr>
            <w:tcW w:w="1593" w:type="dxa"/>
            <w:tcBorders/>
          </w:tcPr>
          <w:p>
            <w:pPr>
              <w:pStyle w:val="style0"/>
              <w:spacing w:lineRule="auto" w:line="276"/>
              <w:rPr>
                <w:sz w:val="23"/>
                <w:szCs w:val="23"/>
              </w:rPr>
            </w:pPr>
            <w:r>
              <w:rPr>
                <w:sz w:val="23"/>
                <w:szCs w:val="23"/>
              </w:rPr>
              <w:t>TVU1509</w:t>
            </w:r>
          </w:p>
          <w:p>
            <w:pPr>
              <w:pStyle w:val="style0"/>
              <w:spacing w:lineRule="auto" w:line="276"/>
              <w:rPr>
                <w:sz w:val="23"/>
                <w:szCs w:val="23"/>
              </w:rPr>
            </w:pPr>
            <w:r>
              <w:rPr>
                <w:sz w:val="23"/>
                <w:szCs w:val="23"/>
              </w:rPr>
              <w:t>TVX3236</w:t>
            </w:r>
          </w:p>
          <w:p>
            <w:pPr>
              <w:pStyle w:val="style0"/>
              <w:spacing w:lineRule="auto" w:line="276"/>
              <w:rPr>
                <w:sz w:val="23"/>
                <w:szCs w:val="23"/>
              </w:rPr>
            </w:pPr>
            <w:r>
              <w:rPr>
                <w:sz w:val="23"/>
                <w:szCs w:val="23"/>
              </w:rPr>
              <w:t>KVX404-8-1</w:t>
            </w:r>
          </w:p>
          <w:p>
            <w:pPr>
              <w:pStyle w:val="style0"/>
              <w:spacing w:lineRule="auto" w:line="276"/>
              <w:rPr>
                <w:sz w:val="23"/>
                <w:szCs w:val="23"/>
              </w:rPr>
            </w:pPr>
            <w:r>
              <w:rPr>
                <w:sz w:val="23"/>
                <w:szCs w:val="23"/>
              </w:rPr>
              <w:t>KVX165-14-1</w:t>
            </w:r>
          </w:p>
        </w:tc>
        <w:tc>
          <w:tcPr>
            <w:tcW w:w="2409" w:type="dxa"/>
            <w:tcBorders/>
          </w:tcPr>
          <w:p>
            <w:pPr>
              <w:pStyle w:val="style0"/>
              <w:spacing w:lineRule="auto" w:line="276"/>
              <w:rPr>
                <w:sz w:val="23"/>
                <w:szCs w:val="23"/>
                <w:lang w:val="en-US"/>
              </w:rPr>
            </w:pPr>
            <w:r>
              <w:rPr>
                <w:sz w:val="23"/>
                <w:szCs w:val="23"/>
                <w:lang w:val="en-US"/>
              </w:rPr>
              <w:t>Gorom local</w:t>
            </w:r>
          </w:p>
          <w:p>
            <w:pPr>
              <w:pStyle w:val="style0"/>
              <w:spacing w:lineRule="auto" w:line="276"/>
              <w:rPr>
                <w:sz w:val="23"/>
                <w:szCs w:val="23"/>
                <w:lang w:val="en-US"/>
              </w:rPr>
            </w:pPr>
            <w:r>
              <w:rPr>
                <w:sz w:val="23"/>
                <w:szCs w:val="23"/>
                <w:lang w:val="en-US"/>
              </w:rPr>
              <w:t>TN88 63</w:t>
            </w:r>
          </w:p>
          <w:p>
            <w:pPr>
              <w:pStyle w:val="style0"/>
              <w:spacing w:lineRule="auto" w:line="276"/>
              <w:rPr>
                <w:sz w:val="23"/>
                <w:szCs w:val="23"/>
                <w:lang w:val="en-US"/>
              </w:rPr>
            </w:pPr>
            <w:r>
              <w:rPr>
                <w:sz w:val="23"/>
                <w:szCs w:val="23"/>
                <w:lang w:val="en-US"/>
              </w:rPr>
              <w:t>KVX60P-04-1</w:t>
            </w:r>
          </w:p>
          <w:p>
            <w:pPr>
              <w:pStyle w:val="style0"/>
              <w:spacing w:lineRule="auto" w:line="276"/>
              <w:rPr>
                <w:sz w:val="23"/>
                <w:szCs w:val="23"/>
                <w:lang w:val="en-US"/>
              </w:rPr>
            </w:pPr>
            <w:r>
              <w:rPr>
                <w:sz w:val="23"/>
                <w:szCs w:val="23"/>
                <w:lang w:val="en-US"/>
              </w:rPr>
              <w:t>KVX250K-3718</w:t>
            </w:r>
          </w:p>
          <w:p>
            <w:pPr>
              <w:pStyle w:val="style0"/>
              <w:spacing w:lineRule="auto" w:line="276"/>
              <w:rPr>
                <w:sz w:val="23"/>
                <w:szCs w:val="23"/>
                <w:lang w:val="en-US"/>
              </w:rPr>
            </w:pPr>
            <w:r>
              <w:rPr>
                <w:sz w:val="23"/>
                <w:szCs w:val="23"/>
                <w:lang w:val="en-US"/>
              </w:rPr>
              <w:t>KVX268K-03-3</w:t>
            </w:r>
          </w:p>
          <w:p>
            <w:pPr>
              <w:pStyle w:val="style0"/>
              <w:spacing w:lineRule="auto" w:line="276"/>
              <w:rPr>
                <w:sz w:val="23"/>
                <w:szCs w:val="23"/>
                <w:lang w:val="en-US"/>
              </w:rPr>
            </w:pPr>
            <w:r>
              <w:rPr>
                <w:sz w:val="23"/>
                <w:szCs w:val="23"/>
                <w:lang w:val="en-US"/>
              </w:rPr>
              <w:t>KVX326-4</w:t>
            </w:r>
          </w:p>
          <w:p>
            <w:pPr>
              <w:pStyle w:val="style0"/>
              <w:spacing w:lineRule="auto" w:line="276"/>
              <w:rPr>
                <w:sz w:val="23"/>
                <w:szCs w:val="23"/>
                <w:lang w:val="en-US"/>
              </w:rPr>
            </w:pPr>
            <w:r>
              <w:rPr>
                <w:sz w:val="23"/>
                <w:szCs w:val="23"/>
                <w:lang w:val="en-US"/>
              </w:rPr>
              <w:t>KVX396-18-10</w:t>
            </w:r>
          </w:p>
          <w:p>
            <w:pPr>
              <w:pStyle w:val="style0"/>
              <w:spacing w:lineRule="auto" w:line="276"/>
              <w:rPr>
                <w:sz w:val="23"/>
                <w:szCs w:val="23"/>
                <w:lang w:val="en-US"/>
              </w:rPr>
            </w:pPr>
            <w:r>
              <w:rPr>
                <w:sz w:val="23"/>
                <w:szCs w:val="23"/>
                <w:lang w:val="en-US"/>
              </w:rPr>
              <w:t>KVX30-309-6G</w:t>
            </w:r>
          </w:p>
        </w:tc>
        <w:tc>
          <w:tcPr>
            <w:tcW w:w="2977" w:type="dxa"/>
            <w:tcBorders/>
          </w:tcPr>
          <w:p>
            <w:pPr>
              <w:pStyle w:val="style0"/>
              <w:spacing w:lineRule="auto" w:line="276"/>
              <w:rPr>
                <w:sz w:val="23"/>
                <w:szCs w:val="23"/>
                <w:lang w:val="en-US"/>
              </w:rPr>
            </w:pPr>
            <w:r>
              <w:rPr>
                <w:sz w:val="23"/>
                <w:szCs w:val="23"/>
                <w:lang w:val="en-US"/>
              </w:rPr>
              <w:t>KVX61-1</w:t>
            </w:r>
          </w:p>
          <w:p>
            <w:pPr>
              <w:pStyle w:val="style0"/>
              <w:spacing w:lineRule="auto" w:line="276"/>
              <w:rPr>
                <w:sz w:val="23"/>
                <w:szCs w:val="23"/>
                <w:lang w:val="en-US"/>
              </w:rPr>
            </w:pPr>
            <w:r>
              <w:rPr>
                <w:sz w:val="23"/>
                <w:szCs w:val="23"/>
                <w:lang w:val="en-US"/>
              </w:rPr>
              <w:t>KVX30-30G-172-1-6K</w:t>
            </w:r>
          </w:p>
          <w:p>
            <w:pPr>
              <w:pStyle w:val="style0"/>
              <w:spacing w:lineRule="auto" w:line="276"/>
              <w:rPr>
                <w:sz w:val="23"/>
                <w:szCs w:val="23"/>
                <w:lang w:val="en-US"/>
              </w:rPr>
            </w:pPr>
            <w:r>
              <w:rPr>
                <w:sz w:val="23"/>
                <w:szCs w:val="23"/>
                <w:lang w:val="en-US"/>
              </w:rPr>
              <w:t>Gorom local</w:t>
            </w:r>
          </w:p>
          <w:p>
            <w:pPr>
              <w:pStyle w:val="style0"/>
              <w:spacing w:lineRule="auto" w:line="276"/>
              <w:rPr>
                <w:sz w:val="23"/>
                <w:szCs w:val="23"/>
                <w:lang w:val="en-US"/>
              </w:rPr>
            </w:pPr>
            <w:r>
              <w:rPr>
                <w:sz w:val="23"/>
                <w:szCs w:val="23"/>
                <w:lang w:val="en-US"/>
              </w:rPr>
              <w:t>B301</w:t>
            </w:r>
          </w:p>
          <w:p>
            <w:pPr>
              <w:pStyle w:val="style0"/>
              <w:spacing w:lineRule="auto" w:line="276"/>
              <w:rPr>
                <w:sz w:val="23"/>
                <w:szCs w:val="23"/>
                <w:lang w:val="en-US"/>
              </w:rPr>
            </w:pPr>
            <w:r>
              <w:rPr>
                <w:sz w:val="23"/>
                <w:szCs w:val="23"/>
                <w:lang w:val="en-US"/>
              </w:rPr>
              <w:t>IT81D-994</w:t>
            </w:r>
          </w:p>
          <w:p>
            <w:pPr>
              <w:pStyle w:val="style0"/>
              <w:spacing w:lineRule="auto" w:line="276"/>
              <w:rPr>
                <w:sz w:val="23"/>
                <w:szCs w:val="23"/>
                <w:lang w:val="en-US"/>
              </w:rPr>
            </w:pPr>
            <w:r>
              <w:rPr>
                <w:sz w:val="23"/>
                <w:szCs w:val="23"/>
                <w:lang w:val="en-US"/>
              </w:rPr>
              <w:t>KVX61-74</w:t>
            </w:r>
          </w:p>
          <w:p>
            <w:pPr>
              <w:pStyle w:val="style0"/>
              <w:spacing w:lineRule="auto" w:line="276"/>
              <w:rPr>
                <w:sz w:val="23"/>
                <w:szCs w:val="23"/>
                <w:lang w:val="en-US"/>
              </w:rPr>
            </w:pPr>
            <w:r>
              <w:rPr>
                <w:sz w:val="23"/>
                <w:szCs w:val="23"/>
                <w:lang w:val="en-US"/>
              </w:rPr>
              <w:t>KVX295-2-124-51</w:t>
            </w:r>
          </w:p>
          <w:p>
            <w:pPr>
              <w:pStyle w:val="style0"/>
              <w:spacing w:lineRule="auto" w:line="276"/>
              <w:rPr>
                <w:sz w:val="23"/>
                <w:szCs w:val="23"/>
                <w:lang w:val="en-US"/>
              </w:rPr>
            </w:pPr>
            <w:r>
              <w:rPr>
                <w:sz w:val="23"/>
                <w:szCs w:val="23"/>
                <w:lang w:val="en-US"/>
              </w:rPr>
              <w:t>IT82D-849</w:t>
            </w:r>
          </w:p>
          <w:p>
            <w:pPr>
              <w:pStyle w:val="style0"/>
              <w:spacing w:lineRule="auto" w:line="276"/>
              <w:rPr>
                <w:sz w:val="23"/>
                <w:szCs w:val="23"/>
              </w:rPr>
            </w:pPr>
            <w:r>
              <w:rPr>
                <w:sz w:val="23"/>
                <w:szCs w:val="23"/>
              </w:rPr>
              <w:t>HTR</w:t>
            </w:r>
          </w:p>
          <w:p>
            <w:pPr>
              <w:pStyle w:val="style0"/>
              <w:spacing w:lineRule="auto" w:line="276"/>
              <w:rPr>
                <w:sz w:val="23"/>
                <w:szCs w:val="23"/>
              </w:rPr>
            </w:pPr>
            <w:r>
              <w:rPr>
                <w:sz w:val="23"/>
                <w:szCs w:val="23"/>
              </w:rPr>
              <w:t>Waongo-1</w:t>
            </w:r>
          </w:p>
        </w:tc>
      </w:tr>
    </w:tbl>
    <w:p>
      <w:pPr>
        <w:pStyle w:val="style0"/>
        <w:spacing w:lineRule="auto" w:line="276"/>
        <w:rPr>
          <w:sz w:val="23"/>
          <w:szCs w:val="23"/>
        </w:rPr>
      </w:pPr>
      <w:r>
        <w:rPr>
          <w:sz w:val="23"/>
          <w:szCs w:val="23"/>
        </w:rPr>
        <w:t>Source : INERA, 2000</w:t>
      </w:r>
    </w:p>
    <w:p>
      <w:pPr>
        <w:pStyle w:val="style4"/>
        <w:numPr>
          <w:ilvl w:val="2"/>
          <w:numId w:val="60"/>
        </w:numPr>
        <w:rPr/>
      </w:pPr>
      <w:r>
        <w:t xml:space="preserve">Biopesticides </w:t>
      </w:r>
    </w:p>
    <w:p>
      <w:pPr>
        <w:pStyle w:val="style0"/>
        <w:rPr/>
      </w:pPr>
      <w:r>
        <w:t xml:space="preserve">Plusieurs familles et genres de plantes sont utilisés pour le contrôle des insectes ravageurs. Ces plantes contiennent des substances qui ont des propriétés anti-appétantes, répulsives ou même insecticides. Généralement, à part quelques propriétés intéressantes comme la répulsion ou la dissuasion de prise alimentaire, cette méthode est similaire à la lutte classique par utilisation de substances chimiques. </w:t>
      </w:r>
    </w:p>
    <w:p>
      <w:pPr>
        <w:pStyle w:val="style0"/>
        <w:spacing w:lineRule="auto" w:line="276"/>
        <w:rPr>
          <w:sz w:val="23"/>
          <w:szCs w:val="23"/>
        </w:rPr>
      </w:pPr>
      <w:r>
        <w:rPr>
          <w:sz w:val="23"/>
          <w:szCs w:val="23"/>
        </w:rPr>
        <w:t>On peut citer :</w:t>
      </w:r>
    </w:p>
    <w:p>
      <w:pPr>
        <w:pStyle w:val="style0"/>
        <w:numPr>
          <w:ilvl w:val="0"/>
          <w:numId w:val="39"/>
        </w:numPr>
        <w:rPr>
          <w:b/>
        </w:rPr>
      </w:pPr>
      <w:r>
        <w:rPr>
          <w:b/>
        </w:rPr>
        <w:t>Biopesticides à base de micro-organismes </w:t>
      </w:r>
    </w:p>
    <w:p>
      <w:pPr>
        <w:pStyle w:val="style0"/>
        <w:rPr/>
      </w:pPr>
      <w:r>
        <w:t>Les micro-organismes peuvent être des virus, des bactéries, des champignons ou des nématodes ennemis d’arthropodes, de champignons ou de bactéries phytopathogènes.</w:t>
      </w:r>
    </w:p>
    <w:p>
      <w:pPr>
        <w:pStyle w:val="style0"/>
        <w:rPr/>
      </w:pPr>
      <w:r>
        <w:t xml:space="preserve">Le biopesticide le plus célèbre est à base du sous-produit d’un micro-organisme, il s’agit des produits à base de </w:t>
      </w:r>
      <w:r>
        <w:rPr>
          <w:i/>
          <w:iCs/>
        </w:rPr>
        <w:t>Bacillus thuringiensis</w:t>
      </w:r>
      <w:r>
        <w:t xml:space="preserve">. Ces produits sont en réalité à base de cristaux de toxines synthétisées par cette bactérie. Ces toxines une fois ingérées par les chenilles, provoquent des lésions intestinales. Il existe d’autres biopesticides aussi performants tels que le Green Muscle produit à base d’un champignon </w:t>
      </w:r>
      <w:r>
        <w:rPr>
          <w:i/>
        </w:rPr>
        <w:t>Metarhizium anisopliiae</w:t>
      </w:r>
      <w:r>
        <w:t xml:space="preserve"> et utilisé contre les acridiens et autres insectes ravageurs. </w:t>
      </w:r>
    </w:p>
    <w:p>
      <w:pPr>
        <w:pStyle w:val="style0"/>
        <w:numPr>
          <w:ilvl w:val="0"/>
          <w:numId w:val="18"/>
        </w:numPr>
        <w:rPr>
          <w:b/>
        </w:rPr>
      </w:pPr>
      <w:r>
        <w:rPr>
          <w:b/>
        </w:rPr>
        <w:t>Biopesticides à base d’extraits de plantes</w:t>
      </w:r>
    </w:p>
    <w:p>
      <w:pPr>
        <w:pStyle w:val="style0"/>
        <w:rPr/>
      </w:pPr>
      <w:r>
        <w:t>Certaines plantes telles que le neem, l’ail, le coton, l’oranger, la tagète et le girofle sont connus pour avoir des propriétés insecticides, fongicides et même nématicides. Ces extraits sont souvent des huiles à action physique ou des substances plus ou moins purifiées à action répulsive.</w:t>
      </w:r>
    </w:p>
    <w:bookmarkStart w:id="248" w:name="_Toc284400647"/>
    <w:bookmarkStart w:id="249" w:name="_Toc295903030"/>
    <w:p>
      <w:pPr>
        <w:pStyle w:val="style0"/>
        <w:numPr>
          <w:ilvl w:val="0"/>
          <w:numId w:val="46"/>
        </w:numPr>
        <w:rPr>
          <w:b/>
        </w:rPr>
      </w:pPr>
      <w:r>
        <w:rPr>
          <w:b/>
        </w:rPr>
        <w:t>Autres types de biopesticides</w:t>
      </w:r>
      <w:bookmarkEnd w:id="248"/>
      <w:bookmarkEnd w:id="249"/>
    </w:p>
    <w:p>
      <w:pPr>
        <w:pStyle w:val="style0"/>
        <w:rPr/>
      </w:pPr>
      <w:r>
        <w:t xml:space="preserve">Une autre manière d'exploiter le mode d'action des biopesticides consiste à introduire dans la plante, le ou les gènes codant pour leurs toxines. </w:t>
      </w:r>
    </w:p>
    <w:p>
      <w:pPr>
        <w:pStyle w:val="style0"/>
        <w:spacing w:lineRule="auto" w:line="276"/>
        <w:rPr>
          <w:sz w:val="23"/>
          <w:szCs w:val="23"/>
        </w:rPr>
      </w:pPr>
    </w:p>
    <w:p>
      <w:pPr>
        <w:pStyle w:val="style4"/>
        <w:numPr>
          <w:ilvl w:val="2"/>
          <w:numId w:val="60"/>
        </w:numPr>
        <w:rPr/>
      </w:pPr>
      <w:r>
        <w:t xml:space="preserve">La lutte physique </w:t>
      </w:r>
    </w:p>
    <w:bookmarkStart w:id="250" w:name="_Toc295903032"/>
    <w:p>
      <w:pPr>
        <w:pStyle w:val="style4"/>
        <w:numPr>
          <w:ilvl w:val="0"/>
          <w:numId w:val="0"/>
        </w:numPr>
        <w:rPr/>
      </w:pPr>
      <w:r>
        <w:t>3.2.5</w:t>
      </w:r>
      <w:r>
        <w:t>.1. La lutte mécanique</w:t>
      </w:r>
      <w:bookmarkEnd w:id="250"/>
    </w:p>
    <w:p>
      <w:pPr>
        <w:pStyle w:val="style0"/>
        <w:rPr>
          <w:bCs/>
        </w:rPr>
      </w:pPr>
      <w:r>
        <w:t xml:space="preserve">Elle fait appel à des outils de travail du sol (sarcleurs) qui agissent à différentes profondeurs du sol. Ces techniques permettent non seulement d'arracher et de </w:t>
      </w:r>
      <w:r>
        <w:rPr>
          <w:bCs/>
        </w:rPr>
        <w:t>détruire les adventices</w:t>
      </w:r>
      <w:r>
        <w:t xml:space="preserve">, mais elles sont aussi bénéfiques pour la culture car elles </w:t>
      </w:r>
      <w:r>
        <w:rPr>
          <w:bCs/>
        </w:rPr>
        <w:t>brisent la croûte du sol</w:t>
      </w:r>
      <w:r>
        <w:t xml:space="preserve">, l'aèrent, </w:t>
      </w:r>
      <w:r>
        <w:rPr>
          <w:bCs/>
        </w:rPr>
        <w:t>activent la microflore</w:t>
      </w:r>
      <w:r>
        <w:t xml:space="preserve">, </w:t>
      </w:r>
      <w:r>
        <w:rPr>
          <w:bCs/>
        </w:rPr>
        <w:t>diminuent l'évaporation de l'eau</w:t>
      </w:r>
      <w:r>
        <w:t xml:space="preserve"> et </w:t>
      </w:r>
      <w:r>
        <w:rPr>
          <w:bCs/>
        </w:rPr>
        <w:t>facilitent la pénétration de l’eau de pluie</w:t>
      </w:r>
      <w:r>
        <w:t xml:space="preserve"> (limitant ainsi les ruissellements). Sont également inclus dans les moyens de lutte physique : les </w:t>
      </w:r>
      <w:r>
        <w:rPr>
          <w:bCs/>
        </w:rPr>
        <w:t>paillis</w:t>
      </w:r>
      <w:r>
        <w:t xml:space="preserve"> et la </w:t>
      </w:r>
      <w:r>
        <w:rPr>
          <w:bCs/>
        </w:rPr>
        <w:t>plasticulture.</w:t>
      </w:r>
    </w:p>
    <w:bookmarkStart w:id="251" w:name="_Toc295903033"/>
    <w:p>
      <w:pPr>
        <w:pStyle w:val="style4"/>
        <w:numPr>
          <w:ilvl w:val="0"/>
          <w:numId w:val="0"/>
        </w:numPr>
        <w:rPr/>
      </w:pPr>
      <w:r>
        <w:t>3.</w:t>
      </w:r>
      <w:r>
        <w:t>2.</w:t>
      </w:r>
      <w:r>
        <w:t>5.2. La lutte thermique</w:t>
      </w:r>
      <w:bookmarkEnd w:id="251"/>
    </w:p>
    <w:p>
      <w:pPr>
        <w:pStyle w:val="style0"/>
        <w:rPr/>
      </w:pPr>
      <w:r>
        <w:t xml:space="preserve">Le principe repose sur la </w:t>
      </w:r>
      <w:r>
        <w:rPr>
          <w:bCs/>
        </w:rPr>
        <w:t>destruction des organismes ciblés par un changement brutal de la température</w:t>
      </w:r>
      <w:r>
        <w:t>, généralement la chaleur, provoquant ainsi l’éclatement des cellules. Quatre techniques sont utilisées : la flamme, l’infrarouge, la vapeur et l'eau chaude.</w:t>
      </w:r>
    </w:p>
    <w:p>
      <w:pPr>
        <w:pStyle w:val="style0"/>
        <w:spacing w:lineRule="auto" w:line="276"/>
        <w:rPr>
          <w:i/>
          <w:sz w:val="23"/>
          <w:szCs w:val="23"/>
        </w:rPr>
      </w:pPr>
    </w:p>
    <w:p>
      <w:pPr>
        <w:pStyle w:val="style4"/>
        <w:numPr>
          <w:ilvl w:val="2"/>
          <w:numId w:val="60"/>
        </w:numPr>
        <w:rPr>
          <w:rStyle w:val="style4176"/>
          <w:rFonts w:eastAsia="Calibri"/>
          <w:sz w:val="23"/>
          <w:szCs w:val="23"/>
        </w:rPr>
      </w:pPr>
      <w:r>
        <w:t xml:space="preserve">Les mesures prophylactiques </w:t>
      </w:r>
    </w:p>
    <w:p>
      <w:pPr>
        <w:pStyle w:val="style0"/>
        <w:rPr/>
      </w:pPr>
      <w:r>
        <w:t xml:space="preserve">Ce ne sont pas à proprement parler des alternatives à la lutte chimique, mais des mesures sanitaires permanentes qui permettent de </w:t>
      </w:r>
      <w:r>
        <w:rPr>
          <w:bCs/>
        </w:rPr>
        <w:t>prévenir l’apparition de certaines maladies des cultures</w:t>
      </w:r>
      <w:r>
        <w:t>.</w:t>
      </w:r>
    </w:p>
    <w:p>
      <w:pPr>
        <w:pStyle w:val="style0"/>
        <w:spacing w:lineRule="auto" w:line="276"/>
        <w:rPr>
          <w:szCs w:val="23"/>
        </w:rPr>
      </w:pPr>
      <w:r>
        <w:rPr>
          <w:szCs w:val="23"/>
        </w:rPr>
        <w:t>Il peut s’agir par exemple de :</w:t>
      </w:r>
    </w:p>
    <w:p>
      <w:pPr>
        <w:pStyle w:val="style179"/>
        <w:numPr>
          <w:ilvl w:val="0"/>
          <w:numId w:val="65"/>
        </w:numPr>
        <w:spacing w:lineRule="auto" w:line="276"/>
        <w:contextualSpacing/>
        <w:rPr>
          <w:szCs w:val="23"/>
        </w:rPr>
      </w:pPr>
      <w:r>
        <w:rPr>
          <w:szCs w:val="23"/>
        </w:rPr>
        <w:t xml:space="preserve">la </w:t>
      </w:r>
      <w:r>
        <w:rPr>
          <w:bCs/>
          <w:szCs w:val="23"/>
        </w:rPr>
        <w:t>taille</w:t>
      </w:r>
      <w:r>
        <w:rPr>
          <w:szCs w:val="23"/>
        </w:rPr>
        <w:t xml:space="preserve">, la </w:t>
      </w:r>
      <w:r>
        <w:rPr>
          <w:bCs/>
          <w:szCs w:val="23"/>
        </w:rPr>
        <w:t>destruction des bois morts</w:t>
      </w:r>
      <w:r>
        <w:rPr>
          <w:szCs w:val="23"/>
        </w:rPr>
        <w:t>, pour éviter la propagation des maladies sur les parties saines d’une culture ;</w:t>
      </w:r>
    </w:p>
    <w:p>
      <w:pPr>
        <w:pStyle w:val="style179"/>
        <w:numPr>
          <w:ilvl w:val="0"/>
          <w:numId w:val="65"/>
        </w:numPr>
        <w:spacing w:lineRule="auto" w:line="276"/>
        <w:contextualSpacing/>
        <w:rPr>
          <w:szCs w:val="23"/>
        </w:rPr>
      </w:pPr>
      <w:r>
        <w:rPr>
          <w:szCs w:val="23"/>
        </w:rPr>
        <w:t>l’</w:t>
      </w:r>
      <w:r>
        <w:rPr>
          <w:bCs/>
          <w:szCs w:val="23"/>
        </w:rPr>
        <w:t>ablation précoce des parties malades</w:t>
      </w:r>
      <w:r>
        <w:rPr>
          <w:szCs w:val="23"/>
        </w:rPr>
        <w:t xml:space="preserve"> et le </w:t>
      </w:r>
      <w:r>
        <w:rPr>
          <w:bCs/>
          <w:szCs w:val="23"/>
        </w:rPr>
        <w:t>brûlage des tas de souche</w:t>
      </w:r>
      <w:r>
        <w:rPr>
          <w:szCs w:val="23"/>
        </w:rPr>
        <w:t xml:space="preserve"> pour les cultures pérennes ;</w:t>
      </w:r>
    </w:p>
    <w:p>
      <w:pPr>
        <w:pStyle w:val="style179"/>
        <w:numPr>
          <w:ilvl w:val="0"/>
          <w:numId w:val="65"/>
        </w:numPr>
        <w:spacing w:lineRule="auto" w:line="276"/>
        <w:contextualSpacing/>
        <w:rPr>
          <w:szCs w:val="23"/>
        </w:rPr>
      </w:pPr>
      <w:r>
        <w:rPr>
          <w:szCs w:val="23"/>
        </w:rPr>
        <w:t xml:space="preserve">le </w:t>
      </w:r>
      <w:r>
        <w:rPr>
          <w:bCs/>
          <w:szCs w:val="23"/>
        </w:rPr>
        <w:t>choix de variétés résistantes</w:t>
      </w:r>
      <w:r>
        <w:rPr>
          <w:szCs w:val="23"/>
        </w:rPr>
        <w:t xml:space="preserve"> à certains parasites ou maladies ;</w:t>
      </w:r>
    </w:p>
    <w:p>
      <w:pPr>
        <w:pStyle w:val="style179"/>
        <w:numPr>
          <w:ilvl w:val="0"/>
          <w:numId w:val="65"/>
        </w:numPr>
        <w:spacing w:lineRule="auto" w:line="276"/>
        <w:contextualSpacing/>
        <w:rPr>
          <w:szCs w:val="23"/>
        </w:rPr>
      </w:pPr>
      <w:r>
        <w:rPr>
          <w:szCs w:val="23"/>
        </w:rPr>
        <w:t xml:space="preserve">la </w:t>
      </w:r>
      <w:r>
        <w:rPr>
          <w:bCs/>
          <w:szCs w:val="23"/>
        </w:rPr>
        <w:t>rotation des cultures</w:t>
      </w:r>
      <w:r>
        <w:rPr>
          <w:szCs w:val="23"/>
        </w:rPr>
        <w:t xml:space="preserve"> qui participe au maintien d'une bonne structure du sol et compromet le développement des parasites et des mauvaises herbes ;</w:t>
      </w:r>
    </w:p>
    <w:p>
      <w:pPr>
        <w:pStyle w:val="style179"/>
        <w:numPr>
          <w:ilvl w:val="0"/>
          <w:numId w:val="65"/>
        </w:numPr>
        <w:spacing w:lineRule="auto" w:line="276"/>
        <w:contextualSpacing/>
        <w:rPr>
          <w:rStyle w:val="style4176"/>
          <w:sz w:val="24"/>
          <w:szCs w:val="23"/>
        </w:rPr>
      </w:pPr>
      <w:r>
        <w:rPr>
          <w:szCs w:val="23"/>
        </w:rPr>
        <w:t xml:space="preserve">la </w:t>
      </w:r>
      <w:r>
        <w:rPr>
          <w:bCs/>
          <w:szCs w:val="23"/>
        </w:rPr>
        <w:t xml:space="preserve">fertilisation </w:t>
      </w:r>
      <w:r>
        <w:rPr>
          <w:szCs w:val="23"/>
        </w:rPr>
        <w:t>équilibrée et suffisante, sans excès, est le gage du bon développement des plantes et leur donne les meilleures chances de résister aux agressions parasitaires.</w:t>
      </w:r>
      <w:bookmarkStart w:id="252" w:name="_Toc295903038"/>
      <w:bookmarkStart w:id="253" w:name="_Toc422656851"/>
      <w:bookmarkStart w:id="254" w:name="_Toc458331332"/>
      <w:bookmarkStart w:id="255" w:name="_Toc462221575"/>
      <w:bookmarkStart w:id="256" w:name="_Toc514190154"/>
    </w:p>
    <w:bookmarkStart w:id="257" w:name="_Toc2831200"/>
    <w:p>
      <w:pPr>
        <w:pStyle w:val="style2"/>
        <w:numPr>
          <w:ilvl w:val="1"/>
          <w:numId w:val="60"/>
        </w:numPr>
        <w:rPr>
          <w:rStyle w:val="style4176"/>
          <w:rFonts w:ascii="Times New Roman Bold" w:hAnsi="Times New Roman Bold"/>
          <w:b w:val="false"/>
          <w:bCs/>
          <w:iCs w:val="false"/>
          <w:caps/>
          <w:spacing w:val="0"/>
          <w:sz w:val="24"/>
          <w:szCs w:val="22"/>
          <w:lang w:val="fr-FR"/>
        </w:rPr>
      </w:pPr>
      <w:r>
        <w:t>Expériences pratiques de gestion intégrée dans le pays</w:t>
      </w:r>
      <w:bookmarkEnd w:id="257"/>
      <w:r>
        <w:t xml:space="preserve"> </w:t>
      </w:r>
      <w:bookmarkEnd w:id="252"/>
      <w:bookmarkEnd w:id="253"/>
      <w:bookmarkEnd w:id="254"/>
      <w:bookmarkEnd w:id="255"/>
      <w:bookmarkEnd w:id="256"/>
    </w:p>
    <w:p>
      <w:pPr>
        <w:pStyle w:val="style0"/>
        <w:rPr/>
      </w:pPr>
      <w:r>
        <w:t>L’expérience GIPD initiée par la FAO en collaboration avec le ministère en charge de l’agriculture (2001 – 2005) a permis d’obtenir des résultats importants sur la production du riz et la gestion des déprédateurs. Cette initiative de bonnes pratiques agricoles (BPA) a permis d’améliorer la productivité du riz et de former plusieurs producteurs qui sont de potentiels facilitateurs. Le succès de la phase pilote a amené les bailleurs de fonds à renouveler l’expérience pour une durée de trois années. Le P</w:t>
      </w:r>
      <w:r>
        <w:t xml:space="preserve">DCA </w:t>
      </w:r>
      <w:r>
        <w:t>devrait pouvoir s’appuyer sur l’expérience du programme GIPD, mis en œuvre dans plusieurs pays, en termes de renforcement des capacités des acteurs dans sa mise en œuvre.</w:t>
      </w:r>
    </w:p>
    <w:p>
      <w:pPr>
        <w:pStyle w:val="style0"/>
        <w:rPr/>
      </w:pPr>
      <w:r>
        <w:t>La GIPD repose sur les principes</w:t>
      </w:r>
      <w:r>
        <w:rPr>
          <w:bCs/>
        </w:rPr>
        <w:t xml:space="preserve"> suivants</w:t>
      </w:r>
      <w:r>
        <w:t> :</w:t>
      </w:r>
    </w:p>
    <w:p>
      <w:pPr>
        <w:pStyle w:val="style179"/>
        <w:numPr>
          <w:ilvl w:val="0"/>
          <w:numId w:val="7"/>
        </w:numPr>
        <w:spacing w:lineRule="auto" w:line="276"/>
        <w:contextualSpacing/>
        <w:rPr>
          <w:szCs w:val="23"/>
        </w:rPr>
      </w:pPr>
      <w:r>
        <w:rPr>
          <w:szCs w:val="23"/>
        </w:rPr>
        <w:t xml:space="preserve">une utilisation raisonnée et judicieuse des pesticides ; </w:t>
      </w:r>
    </w:p>
    <w:p>
      <w:pPr>
        <w:pStyle w:val="style179"/>
        <w:numPr>
          <w:ilvl w:val="0"/>
          <w:numId w:val="7"/>
        </w:numPr>
        <w:spacing w:lineRule="auto" w:line="276"/>
        <w:contextualSpacing/>
        <w:rPr>
          <w:szCs w:val="23"/>
        </w:rPr>
      </w:pPr>
      <w:r>
        <w:rPr>
          <w:szCs w:val="23"/>
        </w:rPr>
        <w:t xml:space="preserve">l’acquisition de connaissances et pratiques nécessaires pour la gestion des déprédateurs ; </w:t>
      </w:r>
    </w:p>
    <w:p>
      <w:pPr>
        <w:pStyle w:val="style179"/>
        <w:numPr>
          <w:ilvl w:val="0"/>
          <w:numId w:val="7"/>
        </w:numPr>
        <w:spacing w:lineRule="auto" w:line="276"/>
        <w:contextualSpacing/>
        <w:rPr>
          <w:szCs w:val="23"/>
        </w:rPr>
      </w:pPr>
      <w:r>
        <w:rPr>
          <w:szCs w:val="23"/>
        </w:rPr>
        <w:t xml:space="preserve">le renforcement de la capacité des producteurs à la prise de décision au niveau du champ ; </w:t>
      </w:r>
    </w:p>
    <w:p>
      <w:pPr>
        <w:pStyle w:val="style179"/>
        <w:numPr>
          <w:ilvl w:val="0"/>
          <w:numId w:val="7"/>
        </w:numPr>
        <w:spacing w:lineRule="auto" w:line="276"/>
        <w:contextualSpacing/>
        <w:rPr>
          <w:szCs w:val="23"/>
        </w:rPr>
      </w:pPr>
      <w:r>
        <w:rPr>
          <w:szCs w:val="23"/>
        </w:rPr>
        <w:t>la conception d’une meilleure productivité à faibles coûts qui protège l'environnement.</w:t>
      </w:r>
    </w:p>
    <w:p>
      <w:pPr>
        <w:pStyle w:val="style0"/>
        <w:rPr/>
      </w:pPr>
      <w:r>
        <w:t xml:space="preserve">La GIPD utilise le champ école des producteurs (CEP) comme cadre d’apprentissage et de formation. </w:t>
      </w:r>
    </w:p>
    <w:p>
      <w:pPr>
        <w:pStyle w:val="style0"/>
        <w:rPr/>
      </w:pPr>
      <w:r>
        <w:t xml:space="preserve">De plus en plus, dans ses commandes au profit des producteurs, la DPVC </w:t>
      </w:r>
      <w:r>
        <w:t xml:space="preserve">inclut </w:t>
      </w:r>
      <w:r>
        <w:t xml:space="preserve">des biopesticides, et sensibilise les producteurs sur les </w:t>
      </w:r>
      <w:r>
        <w:t xml:space="preserve">Bonnes Pratiques Phytosanitaires </w:t>
      </w:r>
      <w:r>
        <w:t xml:space="preserve">(BPP). </w:t>
      </w:r>
    </w:p>
    <w:p>
      <w:pPr>
        <w:pStyle w:val="style0"/>
        <w:rPr/>
      </w:pPr>
      <w:r>
        <w:t xml:space="preserve">Le développement de variétés résistantes, par l’INERA, contribue également à une gestion intégrée des pestes au Burkina Faso. </w:t>
      </w:r>
    </w:p>
    <w:p>
      <w:pPr>
        <w:pStyle w:val="style0"/>
        <w:spacing w:lineRule="auto" w:line="276"/>
        <w:rPr>
          <w:sz w:val="23"/>
          <w:szCs w:val="23"/>
        </w:rPr>
      </w:pPr>
    </w:p>
    <w:p>
      <w:pPr>
        <w:pStyle w:val="style0"/>
        <w:spacing w:lineRule="auto" w:line="276"/>
        <w:rPr>
          <w:sz w:val="23"/>
          <w:szCs w:val="23"/>
        </w:rPr>
      </w:pPr>
    </w:p>
    <w:bookmarkStart w:id="258" w:name="_Toc2831201"/>
    <w:p>
      <w:pPr>
        <w:pStyle w:val="style1"/>
        <w:numPr>
          <w:ilvl w:val="0"/>
          <w:numId w:val="0"/>
        </w:numPr>
        <w:rPr/>
      </w:pPr>
      <w:r>
        <w:t>D. Problématique actuelle de l’utilisation et gestion des pesticides chimiques de synthèse dans le pays et le secteur du pro</w:t>
      </w:r>
      <w:r>
        <w:t>gramme</w:t>
      </w:r>
      <w:bookmarkEnd w:id="258"/>
      <w:r>
        <w:t xml:space="preserve"> </w:t>
      </w:r>
    </w:p>
    <w:bookmarkStart w:id="259" w:name="_Toc2831202"/>
    <w:p>
      <w:pPr>
        <w:pStyle w:val="style2"/>
        <w:numPr>
          <w:ilvl w:val="1"/>
          <w:numId w:val="21"/>
        </w:numPr>
        <w:rPr/>
      </w:pPr>
      <w:r>
        <w:t>Utilisation de pesticides dans le pays</w:t>
      </w:r>
      <w:bookmarkEnd w:id="259"/>
      <w:r>
        <w:t xml:space="preserve"> </w:t>
      </w:r>
    </w:p>
    <w:p>
      <w:pPr>
        <w:pStyle w:val="style0"/>
        <w:rPr/>
      </w:pPr>
      <w:r>
        <w:t>L’agriculture demeure l’une des principales activités du Burkina Faso. Les ennemis des cultures causent d’énorme</w:t>
      </w:r>
      <w:r>
        <w:t>s</w:t>
      </w:r>
      <w:r>
        <w:t xml:space="preserve"> perte</w:t>
      </w:r>
      <w:r>
        <w:t>s</w:t>
      </w:r>
      <w:r>
        <w:t xml:space="preserve"> aux productions. Aussi, la lutte chimique est</w:t>
      </w:r>
      <w:r>
        <w:t>-elle</w:t>
      </w:r>
      <w:r>
        <w:t xml:space="preserve"> utilisée pour endiguer cette menace et d’énorme</w:t>
      </w:r>
      <w:r>
        <w:t>s</w:t>
      </w:r>
      <w:r>
        <w:t xml:space="preserve"> quantité</w:t>
      </w:r>
      <w:r>
        <w:t>s</w:t>
      </w:r>
      <w:r>
        <w:t xml:space="preserve"> de pesticides entre</w:t>
      </w:r>
      <w:r>
        <w:t>nt</w:t>
      </w:r>
      <w:r>
        <w:t xml:space="preserve"> dans le pays.  L’importation de pesticides est soumis</w:t>
      </w:r>
      <w:r>
        <w:t>e</w:t>
      </w:r>
      <w:r>
        <w:t xml:space="preserve"> à autorisation spéciale d’importation. Cela permet de contrôler les flux entrant et sortant de produits.</w:t>
      </w:r>
      <w:r>
        <w:t xml:space="preserve"> </w:t>
      </w:r>
      <w:r>
        <w:t>Cependant, comme le reconnaissent les services de la DPVC, une quantité importante de pesticides entre dans le pays frauduleusement, et se retrouve avec les producteurs. Les quantités de produits importés et ou refoulés de 2014 à 2018 au Burkina Faso sont indiquées dans le tableau 12. Il en ressort que de plus en plus, de grande</w:t>
      </w:r>
      <w:r>
        <w:t>s</w:t>
      </w:r>
      <w:r>
        <w:t xml:space="preserve"> quantités d’herbicides sont importées dans le pays. Une quantité moyenne de l’ordre de 3000 tonnes de produits </w:t>
      </w:r>
      <w:r>
        <w:t>est</w:t>
      </w:r>
      <w:r>
        <w:t xml:space="preserve"> importée légalement par an. </w:t>
      </w:r>
    </w:p>
    <w:bookmarkStart w:id="260" w:name="_Toc260219"/>
    <w:p>
      <w:pPr>
        <w:pStyle w:val="style0"/>
        <w:spacing w:lineRule="auto" w:line="276"/>
        <w:rPr>
          <w:b/>
          <w:sz w:val="23"/>
          <w:szCs w:val="23"/>
        </w:rPr>
      </w:pPr>
      <w:r>
        <w:rPr>
          <w:sz w:val="20"/>
          <w:szCs w:val="20"/>
        </w:rPr>
        <w:t xml:space="preserve">Tableau </w:t>
      </w:r>
      <w:r>
        <w:rPr>
          <w:sz w:val="20"/>
          <w:szCs w:val="20"/>
        </w:rPr>
        <w:fldChar w:fldCharType="begin"/>
      </w:r>
      <w:r>
        <w:rPr>
          <w:sz w:val="20"/>
          <w:szCs w:val="20"/>
        </w:rPr>
        <w:instrText xml:space="preserve"> </w:instrText>
      </w:r>
      <w:r>
        <w:rPr>
          <w:sz w:val="20"/>
          <w:szCs w:val="20"/>
        </w:rPr>
        <w:instrText>SEQ</w:instrText>
      </w:r>
      <w:r>
        <w:rPr>
          <w:sz w:val="20"/>
          <w:szCs w:val="20"/>
        </w:rPr>
        <w:instrText xml:space="preserve"> Tableau \* ARABIC </w:instrText>
      </w:r>
      <w:r>
        <w:rPr>
          <w:sz w:val="20"/>
          <w:szCs w:val="20"/>
        </w:rPr>
        <w:fldChar w:fldCharType="separate"/>
      </w:r>
      <w:r>
        <w:rPr>
          <w:noProof/>
          <w:sz w:val="20"/>
          <w:szCs w:val="20"/>
        </w:rPr>
        <w:t>12</w:t>
      </w:r>
      <w:r>
        <w:rPr>
          <w:sz w:val="20"/>
          <w:szCs w:val="20"/>
        </w:rPr>
        <w:fldChar w:fldCharType="end"/>
      </w:r>
      <w:r>
        <w:rPr>
          <w:rFonts w:eastAsia="Calibri"/>
          <w:i/>
          <w:iCs/>
          <w:color w:val="1f497d"/>
          <w:sz w:val="20"/>
          <w:szCs w:val="20"/>
        </w:rPr>
        <w:t> :</w:t>
      </w:r>
      <w:r>
        <w:rPr>
          <w:rFonts w:eastAsia="Calibri"/>
          <w:i/>
          <w:iCs/>
          <w:color w:val="1f497d"/>
          <w:sz w:val="20"/>
          <w:szCs w:val="20"/>
        </w:rPr>
        <w:t>Quantité et type de pesticides importés au Burkina Faso de 2014 à 2018</w:t>
      </w:r>
      <w:bookmarkEnd w:id="260"/>
    </w:p>
    <w:tbl>
      <w:tblPr>
        <w:tblW w:w="10206" w:type="dxa"/>
        <w:tblLayout w:type="fixed"/>
        <w:tblCellMar>
          <w:left w:w="70" w:type="dxa"/>
          <w:right w:w="70" w:type="dxa"/>
        </w:tblCellMar>
        <w:tblLook w:val="04A0" w:firstRow="1" w:lastRow="0" w:firstColumn="1" w:lastColumn="0" w:noHBand="0" w:noVBand="1"/>
      </w:tblPr>
      <w:tblGrid>
        <w:gridCol w:w="1913"/>
        <w:gridCol w:w="1276"/>
        <w:gridCol w:w="1417"/>
        <w:gridCol w:w="1276"/>
        <w:gridCol w:w="1701"/>
        <w:gridCol w:w="1253"/>
        <w:gridCol w:w="1370"/>
      </w:tblGrid>
      <w:tr>
        <w:trPr>
          <w:trHeight w:val="320" w:hRule="atLeast"/>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Année</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2014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2015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2016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2017</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2018</w:t>
            </w:r>
          </w:p>
        </w:tc>
        <w:tc>
          <w:tcPr>
            <w:tcW w:w="1370" w:type="dxa"/>
            <w:tcBorders>
              <w:top w:val="single" w:sz="4" w:space="0" w:color="auto"/>
              <w:left w:val="nil"/>
              <w:bottom w:val="single" w:sz="4" w:space="0" w:color="auto"/>
              <w:right w:val="single" w:sz="4" w:space="0" w:color="auto"/>
            </w:tcBorders>
            <w:shd w:val="clear" w:color="ddebf7" w:fill="ddebf7"/>
            <w:noWrap/>
            <w:vAlign w:val="center"/>
            <w:hideMark/>
          </w:tcPr>
          <w:p>
            <w:pPr>
              <w:pStyle w:val="style0"/>
              <w:spacing w:before="0"/>
              <w:jc w:val="center"/>
              <w:rPr>
                <w:b/>
                <w:bCs/>
                <w:color w:val="000000"/>
                <w:sz w:val="20"/>
                <w:szCs w:val="20"/>
                <w:lang w:eastAsia="fr-FR"/>
              </w:rPr>
            </w:pPr>
            <w:r>
              <w:rPr>
                <w:b/>
                <w:bCs/>
                <w:color w:val="000000"/>
                <w:sz w:val="20"/>
                <w:szCs w:val="20"/>
                <w:lang w:eastAsia="fr-FR"/>
              </w:rPr>
              <w:t>Total général</w:t>
            </w:r>
          </w:p>
        </w:tc>
      </w:tr>
      <w:tr>
        <w:tblPrEx/>
        <w:trPr>
          <w:trHeight w:val="320" w:hRule="atLeast"/>
        </w:trPr>
        <w:tc>
          <w:tcPr>
            <w:tcW w:w="1913" w:type="dxa"/>
            <w:tcBorders>
              <w:top w:val="nil"/>
              <w:left w:val="single" w:sz="4" w:space="0" w:color="auto"/>
              <w:bottom w:val="single" w:sz="4" w:space="0" w:color="auto"/>
              <w:right w:val="single" w:sz="4" w:space="0" w:color="auto"/>
            </w:tcBorders>
            <w:shd w:val="clear" w:color="ddebf7" w:fill="ddebf7"/>
            <w:noWrap/>
            <w:vAlign w:val="center"/>
            <w:hideMark/>
          </w:tcPr>
          <w:p>
            <w:pPr>
              <w:pStyle w:val="style0"/>
              <w:spacing w:before="0"/>
              <w:jc w:val="center"/>
              <w:rPr>
                <w:b/>
                <w:bCs/>
                <w:color w:val="000000"/>
                <w:sz w:val="20"/>
                <w:szCs w:val="20"/>
                <w:lang w:eastAsia="fr-FR"/>
              </w:rPr>
            </w:pPr>
            <w:r>
              <w:rPr>
                <w:b/>
                <w:bCs/>
                <w:color w:val="000000"/>
                <w:sz w:val="20"/>
                <w:szCs w:val="20"/>
                <w:lang w:eastAsia="fr-FR"/>
              </w:rPr>
              <w:t xml:space="preserve"> Insecticides en kg</w:t>
            </w:r>
          </w:p>
        </w:tc>
        <w:tc>
          <w:tcPr>
            <w:tcW w:w="1276"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965 467,20   </w:t>
            </w:r>
          </w:p>
        </w:tc>
        <w:tc>
          <w:tcPr>
            <w:tcW w:w="1417"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323 499,00   </w:t>
            </w:r>
          </w:p>
        </w:tc>
        <w:tc>
          <w:tcPr>
            <w:tcW w:w="1276"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518 838,40   </w:t>
            </w:r>
          </w:p>
        </w:tc>
        <w:tc>
          <w:tcPr>
            <w:tcW w:w="1701"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383 531,10   </w:t>
            </w:r>
          </w:p>
        </w:tc>
        <w:tc>
          <w:tcPr>
            <w:tcW w:w="1253"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123 349,60   </w:t>
            </w:r>
          </w:p>
        </w:tc>
        <w:tc>
          <w:tcPr>
            <w:tcW w:w="1370" w:type="dxa"/>
            <w:tcBorders>
              <w:top w:val="nil"/>
              <w:left w:val="nil"/>
              <w:bottom w:val="single" w:sz="4" w:space="0" w:color="auto"/>
              <w:right w:val="single" w:sz="4" w:space="0" w:color="auto"/>
            </w:tcBorders>
            <w:shd w:val="clear" w:color="ddebf7" w:fill="ddebf7"/>
            <w:noWrap/>
            <w:vAlign w:val="center"/>
            <w:hideMark/>
          </w:tcPr>
          <w:p>
            <w:pPr>
              <w:pStyle w:val="style0"/>
              <w:spacing w:before="0"/>
              <w:jc w:val="center"/>
              <w:rPr>
                <w:b/>
                <w:bCs/>
                <w:color w:val="000000"/>
                <w:sz w:val="20"/>
                <w:szCs w:val="20"/>
                <w:lang w:eastAsia="fr-FR"/>
              </w:rPr>
            </w:pPr>
            <w:r>
              <w:rPr>
                <w:b/>
                <w:bCs/>
                <w:color w:val="000000"/>
                <w:sz w:val="20"/>
                <w:szCs w:val="20"/>
                <w:lang w:eastAsia="fr-FR"/>
              </w:rPr>
              <w:t xml:space="preserve"> 2 314 685,30   </w:t>
            </w:r>
          </w:p>
        </w:tc>
      </w:tr>
      <w:tr>
        <w:tblPrEx/>
        <w:trPr>
          <w:trHeight w:val="334" w:hRule="atLeast"/>
        </w:trPr>
        <w:tc>
          <w:tcPr>
            <w:tcW w:w="1913" w:type="dxa"/>
            <w:tcBorders>
              <w:top w:val="nil"/>
              <w:left w:val="single" w:sz="4" w:space="0" w:color="auto"/>
              <w:bottom w:val="single" w:sz="4" w:space="0" w:color="auto"/>
              <w:right w:val="single" w:sz="4" w:space="0" w:color="auto"/>
            </w:tcBorders>
            <w:shd w:val="clear" w:color="ddebf7" w:fill="ddebf7"/>
            <w:noWrap/>
            <w:vAlign w:val="center"/>
            <w:hideMark/>
          </w:tcPr>
          <w:p>
            <w:pPr>
              <w:pStyle w:val="style0"/>
              <w:spacing w:before="0"/>
              <w:jc w:val="center"/>
              <w:rPr>
                <w:b/>
                <w:bCs/>
                <w:color w:val="000000"/>
                <w:sz w:val="20"/>
                <w:szCs w:val="20"/>
                <w:lang w:eastAsia="fr-FR"/>
              </w:rPr>
            </w:pPr>
            <w:r>
              <w:rPr>
                <w:b/>
                <w:bCs/>
                <w:color w:val="000000"/>
                <w:sz w:val="20"/>
                <w:szCs w:val="20"/>
                <w:lang w:eastAsia="fr-FR"/>
              </w:rPr>
              <w:t xml:space="preserve"> Herbicides en kg</w:t>
            </w:r>
          </w:p>
        </w:tc>
        <w:tc>
          <w:tcPr>
            <w:tcW w:w="1276"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363 459,00   </w:t>
            </w:r>
          </w:p>
        </w:tc>
        <w:tc>
          <w:tcPr>
            <w:tcW w:w="1417"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607 675,20   </w:t>
            </w:r>
          </w:p>
        </w:tc>
        <w:tc>
          <w:tcPr>
            <w:tcW w:w="1276"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201 380,00   </w:t>
            </w:r>
          </w:p>
        </w:tc>
        <w:tc>
          <w:tcPr>
            <w:tcW w:w="1701"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461 028,00   </w:t>
            </w:r>
          </w:p>
        </w:tc>
        <w:tc>
          <w:tcPr>
            <w:tcW w:w="1253"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219 054,80   </w:t>
            </w:r>
          </w:p>
        </w:tc>
        <w:tc>
          <w:tcPr>
            <w:tcW w:w="1370" w:type="dxa"/>
            <w:tcBorders>
              <w:top w:val="nil"/>
              <w:left w:val="nil"/>
              <w:bottom w:val="single" w:sz="4" w:space="0" w:color="auto"/>
              <w:right w:val="single" w:sz="4" w:space="0" w:color="auto"/>
            </w:tcBorders>
            <w:shd w:val="clear" w:color="ddebf7" w:fill="ddebf7"/>
            <w:noWrap/>
            <w:vAlign w:val="center"/>
            <w:hideMark/>
          </w:tcPr>
          <w:p>
            <w:pPr>
              <w:pStyle w:val="style0"/>
              <w:spacing w:before="0"/>
              <w:jc w:val="center"/>
              <w:rPr>
                <w:b/>
                <w:bCs/>
                <w:color w:val="000000"/>
                <w:sz w:val="20"/>
                <w:szCs w:val="20"/>
                <w:lang w:eastAsia="fr-FR"/>
              </w:rPr>
            </w:pPr>
            <w:r>
              <w:rPr>
                <w:b/>
                <w:bCs/>
                <w:color w:val="000000"/>
                <w:sz w:val="20"/>
                <w:szCs w:val="20"/>
                <w:lang w:eastAsia="fr-FR"/>
              </w:rPr>
              <w:t xml:space="preserve"> 1 852 597,00   </w:t>
            </w:r>
          </w:p>
        </w:tc>
      </w:tr>
      <w:tr>
        <w:tblPrEx/>
        <w:trPr>
          <w:trHeight w:val="347" w:hRule="atLeast"/>
        </w:trPr>
        <w:tc>
          <w:tcPr>
            <w:tcW w:w="1913" w:type="dxa"/>
            <w:tcBorders>
              <w:top w:val="nil"/>
              <w:left w:val="single" w:sz="4" w:space="0" w:color="auto"/>
              <w:bottom w:val="single" w:sz="4" w:space="0" w:color="auto"/>
              <w:right w:val="single" w:sz="4" w:space="0" w:color="auto"/>
            </w:tcBorders>
            <w:shd w:val="clear" w:color="ddebf7" w:fill="ddebf7"/>
            <w:noWrap/>
            <w:vAlign w:val="center"/>
            <w:hideMark/>
          </w:tcPr>
          <w:p>
            <w:pPr>
              <w:pStyle w:val="style0"/>
              <w:spacing w:before="0"/>
              <w:jc w:val="center"/>
              <w:rPr>
                <w:b/>
                <w:bCs/>
                <w:color w:val="000000"/>
                <w:sz w:val="20"/>
                <w:szCs w:val="20"/>
                <w:lang w:eastAsia="fr-FR"/>
              </w:rPr>
            </w:pPr>
            <w:r>
              <w:rPr>
                <w:b/>
                <w:bCs/>
                <w:color w:val="000000"/>
                <w:sz w:val="20"/>
                <w:szCs w:val="20"/>
                <w:lang w:eastAsia="fr-FR"/>
              </w:rPr>
              <w:t xml:space="preserve"> Insecticides en litres</w:t>
            </w:r>
          </w:p>
        </w:tc>
        <w:tc>
          <w:tcPr>
            <w:tcW w:w="1276"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918 532,00   </w:t>
            </w:r>
          </w:p>
        </w:tc>
        <w:tc>
          <w:tcPr>
            <w:tcW w:w="1417"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358 246,00   </w:t>
            </w:r>
          </w:p>
        </w:tc>
        <w:tc>
          <w:tcPr>
            <w:tcW w:w="1276"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986 470,20   </w:t>
            </w:r>
          </w:p>
        </w:tc>
        <w:tc>
          <w:tcPr>
            <w:tcW w:w="1701"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1 216 210,00   </w:t>
            </w:r>
          </w:p>
        </w:tc>
        <w:tc>
          <w:tcPr>
            <w:tcW w:w="1253"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1 028 679,80   </w:t>
            </w:r>
          </w:p>
        </w:tc>
        <w:tc>
          <w:tcPr>
            <w:tcW w:w="1370" w:type="dxa"/>
            <w:tcBorders>
              <w:top w:val="nil"/>
              <w:left w:val="nil"/>
              <w:bottom w:val="single" w:sz="4" w:space="0" w:color="auto"/>
              <w:right w:val="single" w:sz="4" w:space="0" w:color="auto"/>
            </w:tcBorders>
            <w:shd w:val="clear" w:color="ddebf7" w:fill="ddebf7"/>
            <w:noWrap/>
            <w:vAlign w:val="center"/>
            <w:hideMark/>
          </w:tcPr>
          <w:p>
            <w:pPr>
              <w:pStyle w:val="style0"/>
              <w:spacing w:before="0"/>
              <w:jc w:val="center"/>
              <w:rPr>
                <w:b/>
                <w:bCs/>
                <w:color w:val="000000"/>
                <w:sz w:val="20"/>
                <w:szCs w:val="20"/>
                <w:lang w:eastAsia="fr-FR"/>
              </w:rPr>
            </w:pPr>
            <w:r>
              <w:rPr>
                <w:b/>
                <w:bCs/>
                <w:color w:val="000000"/>
                <w:sz w:val="20"/>
                <w:szCs w:val="20"/>
                <w:lang w:eastAsia="fr-FR"/>
              </w:rPr>
              <w:t xml:space="preserve"> 4 508 138,00   </w:t>
            </w:r>
          </w:p>
        </w:tc>
      </w:tr>
      <w:tr>
        <w:tblPrEx/>
        <w:trPr>
          <w:trHeight w:val="348" w:hRule="atLeast"/>
        </w:trPr>
        <w:tc>
          <w:tcPr>
            <w:tcW w:w="1913" w:type="dxa"/>
            <w:tcBorders>
              <w:top w:val="nil"/>
              <w:left w:val="single" w:sz="4" w:space="0" w:color="auto"/>
              <w:bottom w:val="single" w:sz="4" w:space="0" w:color="auto"/>
              <w:right w:val="single" w:sz="4" w:space="0" w:color="auto"/>
            </w:tcBorders>
            <w:shd w:val="clear" w:color="ddebf7" w:fill="ddebf7"/>
            <w:noWrap/>
            <w:vAlign w:val="center"/>
            <w:hideMark/>
          </w:tcPr>
          <w:p>
            <w:pPr>
              <w:pStyle w:val="style0"/>
              <w:spacing w:before="0"/>
              <w:jc w:val="center"/>
              <w:rPr>
                <w:b/>
                <w:bCs/>
                <w:color w:val="000000"/>
                <w:sz w:val="20"/>
                <w:szCs w:val="20"/>
                <w:lang w:eastAsia="fr-FR"/>
              </w:rPr>
            </w:pPr>
            <w:r>
              <w:rPr>
                <w:b/>
                <w:bCs/>
                <w:color w:val="000000"/>
                <w:sz w:val="20"/>
                <w:szCs w:val="20"/>
                <w:lang w:eastAsia="fr-FR"/>
              </w:rPr>
              <w:t xml:space="preserve"> Herbicides en litres</w:t>
            </w:r>
          </w:p>
        </w:tc>
        <w:tc>
          <w:tcPr>
            <w:tcW w:w="1276"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1 967 463,00   </w:t>
            </w:r>
          </w:p>
        </w:tc>
        <w:tc>
          <w:tcPr>
            <w:tcW w:w="1417"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1 095 052,32   </w:t>
            </w:r>
          </w:p>
        </w:tc>
        <w:tc>
          <w:tcPr>
            <w:tcW w:w="1276"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971 810,20   </w:t>
            </w:r>
          </w:p>
        </w:tc>
        <w:tc>
          <w:tcPr>
            <w:tcW w:w="1701"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1 006 094,00   </w:t>
            </w:r>
          </w:p>
        </w:tc>
        <w:tc>
          <w:tcPr>
            <w:tcW w:w="1253"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1 558 961,50   </w:t>
            </w:r>
          </w:p>
        </w:tc>
        <w:tc>
          <w:tcPr>
            <w:tcW w:w="1370" w:type="dxa"/>
            <w:tcBorders>
              <w:top w:val="nil"/>
              <w:left w:val="nil"/>
              <w:bottom w:val="single" w:sz="4" w:space="0" w:color="auto"/>
              <w:right w:val="single" w:sz="4" w:space="0" w:color="auto"/>
            </w:tcBorders>
            <w:shd w:val="clear" w:color="ddebf7" w:fill="ddebf7"/>
            <w:noWrap/>
            <w:vAlign w:val="center"/>
            <w:hideMark/>
          </w:tcPr>
          <w:p>
            <w:pPr>
              <w:pStyle w:val="style0"/>
              <w:spacing w:before="0"/>
              <w:jc w:val="center"/>
              <w:rPr>
                <w:b/>
                <w:bCs/>
                <w:color w:val="000000"/>
                <w:sz w:val="20"/>
                <w:szCs w:val="20"/>
                <w:lang w:eastAsia="fr-FR"/>
              </w:rPr>
            </w:pPr>
            <w:r>
              <w:rPr>
                <w:b/>
                <w:bCs/>
                <w:color w:val="000000"/>
                <w:sz w:val="20"/>
                <w:szCs w:val="20"/>
                <w:lang w:eastAsia="fr-FR"/>
              </w:rPr>
              <w:t xml:space="preserve"> 6 599 381,02   </w:t>
            </w:r>
          </w:p>
        </w:tc>
      </w:tr>
      <w:tr>
        <w:tblPrEx/>
        <w:trPr>
          <w:trHeight w:val="348" w:hRule="atLeast"/>
        </w:trPr>
        <w:tc>
          <w:tcPr>
            <w:tcW w:w="1913" w:type="dxa"/>
            <w:tcBorders>
              <w:top w:val="nil"/>
              <w:left w:val="single" w:sz="4" w:space="0" w:color="auto"/>
              <w:bottom w:val="single" w:sz="4" w:space="0" w:color="auto"/>
              <w:right w:val="single" w:sz="4" w:space="0" w:color="auto"/>
            </w:tcBorders>
            <w:shd w:val="clear" w:color="ddebf7" w:fill="ddebf7"/>
            <w:noWrap/>
            <w:vAlign w:val="center"/>
            <w:hideMark/>
          </w:tcPr>
          <w:p>
            <w:pPr>
              <w:pStyle w:val="style0"/>
              <w:spacing w:before="0"/>
              <w:jc w:val="center"/>
              <w:rPr>
                <w:b/>
                <w:bCs/>
                <w:color w:val="000000"/>
                <w:sz w:val="20"/>
                <w:szCs w:val="20"/>
                <w:lang w:eastAsia="fr-FR"/>
              </w:rPr>
            </w:pPr>
            <w:r>
              <w:rPr>
                <w:b/>
                <w:bCs/>
                <w:color w:val="000000"/>
                <w:sz w:val="20"/>
                <w:szCs w:val="20"/>
                <w:lang w:eastAsia="fr-FR"/>
              </w:rPr>
              <w:t xml:space="preserve"> Refoulés en kg</w:t>
            </w:r>
          </w:p>
        </w:tc>
        <w:tc>
          <w:tcPr>
            <w:tcW w:w="1276"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2 832,00   </w:t>
            </w:r>
          </w:p>
        </w:tc>
        <w:tc>
          <w:tcPr>
            <w:tcW w:w="1417"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4 332,00   </w:t>
            </w:r>
          </w:p>
        </w:tc>
        <w:tc>
          <w:tcPr>
            <w:tcW w:w="1276"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35 338,92   </w:t>
            </w:r>
          </w:p>
        </w:tc>
        <w:tc>
          <w:tcPr>
            <w:tcW w:w="1701"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21 560,00   </w:t>
            </w:r>
          </w:p>
        </w:tc>
        <w:tc>
          <w:tcPr>
            <w:tcW w:w="1253"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     </w:t>
            </w:r>
          </w:p>
        </w:tc>
        <w:tc>
          <w:tcPr>
            <w:tcW w:w="1370" w:type="dxa"/>
            <w:tcBorders>
              <w:top w:val="nil"/>
              <w:left w:val="nil"/>
              <w:bottom w:val="single" w:sz="4" w:space="0" w:color="auto"/>
              <w:right w:val="single" w:sz="4" w:space="0" w:color="auto"/>
            </w:tcBorders>
            <w:shd w:val="clear" w:color="ddebf7" w:fill="ddebf7"/>
            <w:noWrap/>
            <w:vAlign w:val="center"/>
            <w:hideMark/>
          </w:tcPr>
          <w:p>
            <w:pPr>
              <w:pStyle w:val="style0"/>
              <w:spacing w:before="0"/>
              <w:jc w:val="center"/>
              <w:rPr>
                <w:b/>
                <w:bCs/>
                <w:color w:val="000000"/>
                <w:sz w:val="20"/>
                <w:szCs w:val="20"/>
                <w:lang w:eastAsia="fr-FR"/>
              </w:rPr>
            </w:pPr>
            <w:r>
              <w:rPr>
                <w:b/>
                <w:bCs/>
                <w:color w:val="000000"/>
                <w:sz w:val="20"/>
                <w:szCs w:val="20"/>
                <w:lang w:eastAsia="fr-FR"/>
              </w:rPr>
              <w:t xml:space="preserve"> 64 062,92   </w:t>
            </w:r>
          </w:p>
        </w:tc>
      </w:tr>
      <w:tr>
        <w:tblPrEx/>
        <w:trPr>
          <w:trHeight w:val="306" w:hRule="atLeast"/>
        </w:trPr>
        <w:tc>
          <w:tcPr>
            <w:tcW w:w="1913" w:type="dxa"/>
            <w:tcBorders>
              <w:top w:val="nil"/>
              <w:left w:val="single" w:sz="4" w:space="0" w:color="auto"/>
              <w:bottom w:val="single" w:sz="4" w:space="0" w:color="auto"/>
              <w:right w:val="single" w:sz="4" w:space="0" w:color="auto"/>
            </w:tcBorders>
            <w:shd w:val="clear" w:color="ddebf7" w:fill="ddebf7"/>
            <w:noWrap/>
            <w:vAlign w:val="center"/>
            <w:hideMark/>
          </w:tcPr>
          <w:p>
            <w:pPr>
              <w:pStyle w:val="style0"/>
              <w:spacing w:before="0"/>
              <w:jc w:val="center"/>
              <w:rPr>
                <w:b/>
                <w:bCs/>
                <w:color w:val="000000"/>
                <w:sz w:val="20"/>
                <w:szCs w:val="20"/>
                <w:lang w:eastAsia="fr-FR"/>
              </w:rPr>
            </w:pPr>
            <w:r>
              <w:rPr>
                <w:b/>
                <w:bCs/>
                <w:color w:val="000000"/>
                <w:sz w:val="20"/>
                <w:szCs w:val="20"/>
                <w:lang w:eastAsia="fr-FR"/>
              </w:rPr>
              <w:t>Refoulés en litres</w:t>
            </w:r>
          </w:p>
        </w:tc>
        <w:tc>
          <w:tcPr>
            <w:tcW w:w="1276"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2 832,00   </w:t>
            </w:r>
          </w:p>
        </w:tc>
        <w:tc>
          <w:tcPr>
            <w:tcW w:w="1417"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w:t>
            </w:r>
          </w:p>
        </w:tc>
        <w:tc>
          <w:tcPr>
            <w:tcW w:w="1276"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w:t>
            </w:r>
          </w:p>
        </w:tc>
        <w:tc>
          <w:tcPr>
            <w:tcW w:w="1701"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w:t>
            </w:r>
          </w:p>
        </w:tc>
        <w:tc>
          <w:tcPr>
            <w:tcW w:w="1253" w:type="dxa"/>
            <w:tcBorders>
              <w:top w:val="nil"/>
              <w:left w:val="nil"/>
              <w:bottom w:val="single" w:sz="4" w:space="0" w:color="auto"/>
              <w:right w:val="single" w:sz="4" w:space="0" w:color="auto"/>
            </w:tcBorders>
            <w:shd w:val="clear" w:color="auto" w:fill="auto"/>
            <w:noWrap/>
            <w:vAlign w:val="center"/>
            <w:hideMark/>
          </w:tcPr>
          <w:p>
            <w:pPr>
              <w:pStyle w:val="style0"/>
              <w:spacing w:before="0"/>
              <w:jc w:val="center"/>
              <w:rPr>
                <w:color w:val="000000"/>
                <w:sz w:val="20"/>
                <w:szCs w:val="20"/>
                <w:lang w:eastAsia="fr-FR"/>
              </w:rPr>
            </w:pPr>
            <w:r>
              <w:rPr>
                <w:color w:val="000000"/>
                <w:sz w:val="20"/>
                <w:szCs w:val="20"/>
                <w:lang w:eastAsia="fr-FR"/>
              </w:rPr>
              <w:t xml:space="preserve"> -     </w:t>
            </w:r>
          </w:p>
        </w:tc>
        <w:tc>
          <w:tcPr>
            <w:tcW w:w="1370" w:type="dxa"/>
            <w:tcBorders>
              <w:top w:val="nil"/>
              <w:left w:val="nil"/>
              <w:bottom w:val="single" w:sz="4" w:space="0" w:color="auto"/>
              <w:right w:val="single" w:sz="4" w:space="0" w:color="auto"/>
            </w:tcBorders>
            <w:shd w:val="clear" w:color="ddebf7" w:fill="ddebf7"/>
            <w:noWrap/>
            <w:vAlign w:val="center"/>
            <w:hideMark/>
          </w:tcPr>
          <w:p>
            <w:pPr>
              <w:pStyle w:val="style0"/>
              <w:spacing w:before="0"/>
              <w:jc w:val="center"/>
              <w:rPr>
                <w:b/>
                <w:bCs/>
                <w:color w:val="000000"/>
                <w:sz w:val="20"/>
                <w:szCs w:val="20"/>
                <w:lang w:eastAsia="fr-FR"/>
              </w:rPr>
            </w:pPr>
            <w:r>
              <w:rPr>
                <w:b/>
                <w:bCs/>
                <w:color w:val="000000"/>
                <w:sz w:val="20"/>
                <w:szCs w:val="20"/>
                <w:lang w:eastAsia="fr-FR"/>
              </w:rPr>
              <w:t xml:space="preserve"> 2 832,00   </w:t>
            </w:r>
          </w:p>
        </w:tc>
      </w:tr>
      <w:tr>
        <w:tblPrEx/>
        <w:trPr>
          <w:trHeight w:val="320" w:hRule="atLeast"/>
        </w:trPr>
        <w:tc>
          <w:tcPr>
            <w:tcW w:w="1913" w:type="dxa"/>
            <w:tcBorders>
              <w:top w:val="nil"/>
              <w:left w:val="single" w:sz="4" w:space="0" w:color="auto"/>
              <w:bottom w:val="single" w:sz="4" w:space="0" w:color="auto"/>
              <w:right w:val="single" w:sz="4" w:space="0" w:color="auto"/>
            </w:tcBorders>
            <w:shd w:val="clear" w:color="ddebf7" w:fill="ddebf7"/>
            <w:noWrap/>
            <w:vAlign w:val="center"/>
            <w:hideMark/>
          </w:tcPr>
          <w:p>
            <w:pPr>
              <w:pStyle w:val="style0"/>
              <w:spacing w:before="0"/>
              <w:jc w:val="center"/>
              <w:rPr>
                <w:b/>
                <w:bCs/>
                <w:color w:val="000000"/>
                <w:sz w:val="20"/>
                <w:szCs w:val="20"/>
                <w:lang w:eastAsia="fr-FR"/>
              </w:rPr>
            </w:pPr>
            <w:r>
              <w:rPr>
                <w:b/>
                <w:bCs/>
                <w:color w:val="000000"/>
                <w:sz w:val="20"/>
                <w:szCs w:val="20"/>
                <w:lang w:eastAsia="fr-FR"/>
              </w:rPr>
              <w:t>Total année</w:t>
            </w:r>
          </w:p>
        </w:tc>
        <w:tc>
          <w:tcPr>
            <w:tcW w:w="1276" w:type="dxa"/>
            <w:tcBorders>
              <w:top w:val="nil"/>
              <w:left w:val="nil"/>
              <w:bottom w:val="single" w:sz="4" w:space="0" w:color="auto"/>
              <w:right w:val="single" w:sz="4" w:space="0" w:color="auto"/>
            </w:tcBorders>
            <w:shd w:val="clear" w:color="000000" w:fill="ddebf7"/>
            <w:noWrap/>
            <w:vAlign w:val="center"/>
            <w:hideMark/>
          </w:tcPr>
          <w:p>
            <w:pPr>
              <w:pStyle w:val="style0"/>
              <w:spacing w:before="0"/>
              <w:jc w:val="center"/>
              <w:rPr>
                <w:color w:val="000000"/>
                <w:sz w:val="20"/>
                <w:szCs w:val="20"/>
                <w:lang w:eastAsia="fr-FR"/>
              </w:rPr>
            </w:pPr>
            <w:r>
              <w:rPr>
                <w:color w:val="000000"/>
                <w:sz w:val="20"/>
                <w:szCs w:val="20"/>
                <w:lang w:eastAsia="fr-FR"/>
              </w:rPr>
              <w:t xml:space="preserve"> 4 220 585,20   </w:t>
            </w:r>
          </w:p>
        </w:tc>
        <w:tc>
          <w:tcPr>
            <w:tcW w:w="1417" w:type="dxa"/>
            <w:tcBorders>
              <w:top w:val="nil"/>
              <w:left w:val="nil"/>
              <w:bottom w:val="single" w:sz="4" w:space="0" w:color="auto"/>
              <w:right w:val="single" w:sz="4" w:space="0" w:color="auto"/>
            </w:tcBorders>
            <w:shd w:val="clear" w:color="000000" w:fill="ddebf7"/>
            <w:noWrap/>
            <w:vAlign w:val="center"/>
            <w:hideMark/>
          </w:tcPr>
          <w:p>
            <w:pPr>
              <w:pStyle w:val="style0"/>
              <w:spacing w:before="0"/>
              <w:jc w:val="center"/>
              <w:rPr>
                <w:color w:val="000000"/>
                <w:sz w:val="20"/>
                <w:szCs w:val="20"/>
                <w:lang w:eastAsia="fr-FR"/>
              </w:rPr>
            </w:pPr>
            <w:r>
              <w:rPr>
                <w:color w:val="000000"/>
                <w:sz w:val="20"/>
                <w:szCs w:val="20"/>
                <w:lang w:eastAsia="fr-FR"/>
              </w:rPr>
              <w:t xml:space="preserve"> 2 388 804,52   </w:t>
            </w:r>
          </w:p>
        </w:tc>
        <w:tc>
          <w:tcPr>
            <w:tcW w:w="1276" w:type="dxa"/>
            <w:tcBorders>
              <w:top w:val="nil"/>
              <w:left w:val="nil"/>
              <w:bottom w:val="single" w:sz="4" w:space="0" w:color="auto"/>
              <w:right w:val="single" w:sz="4" w:space="0" w:color="auto"/>
            </w:tcBorders>
            <w:shd w:val="clear" w:color="000000" w:fill="ddebf7"/>
            <w:noWrap/>
            <w:vAlign w:val="center"/>
            <w:hideMark/>
          </w:tcPr>
          <w:p>
            <w:pPr>
              <w:pStyle w:val="style0"/>
              <w:spacing w:before="0"/>
              <w:jc w:val="center"/>
              <w:rPr>
                <w:color w:val="000000"/>
                <w:sz w:val="20"/>
                <w:szCs w:val="20"/>
                <w:lang w:eastAsia="fr-FR"/>
              </w:rPr>
            </w:pPr>
            <w:r>
              <w:rPr>
                <w:color w:val="000000"/>
                <w:sz w:val="20"/>
                <w:szCs w:val="20"/>
                <w:lang w:eastAsia="fr-FR"/>
              </w:rPr>
              <w:t xml:space="preserve"> 2 713 837,72   </w:t>
            </w:r>
          </w:p>
        </w:tc>
        <w:tc>
          <w:tcPr>
            <w:tcW w:w="1701" w:type="dxa"/>
            <w:tcBorders>
              <w:top w:val="nil"/>
              <w:left w:val="nil"/>
              <w:bottom w:val="single" w:sz="4" w:space="0" w:color="auto"/>
              <w:right w:val="single" w:sz="4" w:space="0" w:color="auto"/>
            </w:tcBorders>
            <w:shd w:val="clear" w:color="000000" w:fill="ddebf7"/>
            <w:noWrap/>
            <w:vAlign w:val="center"/>
            <w:hideMark/>
          </w:tcPr>
          <w:p>
            <w:pPr>
              <w:pStyle w:val="style0"/>
              <w:spacing w:before="0"/>
              <w:jc w:val="center"/>
              <w:rPr>
                <w:color w:val="000000"/>
                <w:sz w:val="20"/>
                <w:szCs w:val="20"/>
                <w:lang w:eastAsia="fr-FR"/>
              </w:rPr>
            </w:pPr>
            <w:r>
              <w:rPr>
                <w:color w:val="000000"/>
                <w:sz w:val="20"/>
                <w:szCs w:val="20"/>
                <w:lang w:eastAsia="fr-FR"/>
              </w:rPr>
              <w:t xml:space="preserve"> 3 088 423,10   </w:t>
            </w:r>
          </w:p>
        </w:tc>
        <w:tc>
          <w:tcPr>
            <w:tcW w:w="1253" w:type="dxa"/>
            <w:tcBorders>
              <w:top w:val="nil"/>
              <w:left w:val="nil"/>
              <w:bottom w:val="single" w:sz="4" w:space="0" w:color="auto"/>
              <w:right w:val="single" w:sz="4" w:space="0" w:color="auto"/>
            </w:tcBorders>
            <w:shd w:val="clear" w:color="000000" w:fill="ddebf7"/>
            <w:noWrap/>
            <w:vAlign w:val="center"/>
            <w:hideMark/>
          </w:tcPr>
          <w:p>
            <w:pPr>
              <w:pStyle w:val="style0"/>
              <w:spacing w:before="0"/>
              <w:jc w:val="center"/>
              <w:rPr>
                <w:color w:val="000000"/>
                <w:sz w:val="20"/>
                <w:szCs w:val="20"/>
                <w:lang w:eastAsia="fr-FR"/>
              </w:rPr>
            </w:pPr>
            <w:r>
              <w:rPr>
                <w:color w:val="000000"/>
                <w:sz w:val="20"/>
                <w:szCs w:val="20"/>
                <w:lang w:eastAsia="fr-FR"/>
              </w:rPr>
              <w:t xml:space="preserve"> 2 930 045,70   </w:t>
            </w:r>
          </w:p>
        </w:tc>
        <w:tc>
          <w:tcPr>
            <w:tcW w:w="1370" w:type="dxa"/>
            <w:tcBorders>
              <w:top w:val="nil"/>
              <w:left w:val="nil"/>
              <w:bottom w:val="single" w:sz="4" w:space="0" w:color="auto"/>
              <w:right w:val="single" w:sz="4" w:space="0" w:color="auto"/>
            </w:tcBorders>
            <w:shd w:val="clear" w:color="000000" w:fill="92d050"/>
            <w:noWrap/>
            <w:vAlign w:val="center"/>
            <w:hideMark/>
          </w:tcPr>
          <w:p>
            <w:pPr>
              <w:pStyle w:val="style0"/>
              <w:spacing w:before="0"/>
              <w:jc w:val="center"/>
              <w:rPr>
                <w:color w:val="000000"/>
                <w:sz w:val="20"/>
                <w:szCs w:val="20"/>
                <w:lang w:eastAsia="fr-FR"/>
              </w:rPr>
            </w:pPr>
            <w:r>
              <w:rPr>
                <w:color w:val="000000"/>
                <w:sz w:val="20"/>
                <w:szCs w:val="20"/>
                <w:lang w:eastAsia="fr-FR"/>
              </w:rPr>
              <w:t xml:space="preserve"> 15 341 696,24   </w:t>
            </w:r>
          </w:p>
        </w:tc>
      </w:tr>
      <w:tr>
        <w:tblPrEx/>
        <w:trPr>
          <w:trHeight w:val="361" w:hRule="atLeast"/>
        </w:trPr>
        <w:tc>
          <w:tcPr>
            <w:tcW w:w="1913" w:type="dxa"/>
            <w:tcBorders>
              <w:top w:val="nil"/>
              <w:left w:val="single" w:sz="4" w:space="0" w:color="auto"/>
              <w:bottom w:val="single" w:sz="4" w:space="0" w:color="auto"/>
              <w:right w:val="single" w:sz="4" w:space="0" w:color="auto"/>
            </w:tcBorders>
            <w:shd w:val="clear" w:color="ddebf7" w:fill="ddebf7"/>
            <w:noWrap/>
            <w:vAlign w:val="center"/>
            <w:hideMark/>
          </w:tcPr>
          <w:p>
            <w:pPr>
              <w:pStyle w:val="style0"/>
              <w:spacing w:before="0"/>
              <w:jc w:val="center"/>
              <w:rPr>
                <w:b/>
                <w:bCs/>
                <w:color w:val="000000"/>
                <w:sz w:val="20"/>
                <w:szCs w:val="20"/>
                <w:lang w:eastAsia="fr-FR"/>
              </w:rPr>
            </w:pPr>
            <w:r>
              <w:rPr>
                <w:b/>
                <w:bCs/>
                <w:color w:val="000000"/>
                <w:sz w:val="20"/>
                <w:szCs w:val="20"/>
                <w:lang w:eastAsia="fr-FR"/>
              </w:rPr>
              <w:t>En tonnes</w:t>
            </w:r>
          </w:p>
        </w:tc>
        <w:tc>
          <w:tcPr>
            <w:tcW w:w="1276" w:type="dxa"/>
            <w:tcBorders>
              <w:top w:val="nil"/>
              <w:left w:val="nil"/>
              <w:bottom w:val="single" w:sz="4" w:space="0" w:color="auto"/>
              <w:right w:val="single" w:sz="4" w:space="0" w:color="auto"/>
            </w:tcBorders>
            <w:shd w:val="clear" w:color="000000" w:fill="ddebf7"/>
            <w:noWrap/>
            <w:vAlign w:val="center"/>
            <w:hideMark/>
          </w:tcPr>
          <w:p>
            <w:pPr>
              <w:pStyle w:val="style0"/>
              <w:spacing w:before="0"/>
              <w:jc w:val="center"/>
              <w:rPr>
                <w:color w:val="000000"/>
                <w:sz w:val="20"/>
                <w:szCs w:val="20"/>
                <w:lang w:eastAsia="fr-FR"/>
              </w:rPr>
            </w:pPr>
            <w:r>
              <w:rPr>
                <w:color w:val="000000"/>
                <w:sz w:val="20"/>
                <w:szCs w:val="20"/>
                <w:lang w:eastAsia="fr-FR"/>
              </w:rPr>
              <w:t xml:space="preserve"> 4 220,59   </w:t>
            </w:r>
          </w:p>
        </w:tc>
        <w:tc>
          <w:tcPr>
            <w:tcW w:w="1417" w:type="dxa"/>
            <w:tcBorders>
              <w:top w:val="nil"/>
              <w:left w:val="nil"/>
              <w:bottom w:val="single" w:sz="4" w:space="0" w:color="auto"/>
              <w:right w:val="single" w:sz="4" w:space="0" w:color="auto"/>
            </w:tcBorders>
            <w:shd w:val="clear" w:color="000000" w:fill="ddebf7"/>
            <w:noWrap/>
            <w:vAlign w:val="center"/>
            <w:hideMark/>
          </w:tcPr>
          <w:p>
            <w:pPr>
              <w:pStyle w:val="style0"/>
              <w:spacing w:before="0"/>
              <w:jc w:val="center"/>
              <w:rPr>
                <w:color w:val="000000"/>
                <w:sz w:val="20"/>
                <w:szCs w:val="20"/>
                <w:lang w:eastAsia="fr-FR"/>
              </w:rPr>
            </w:pPr>
            <w:r>
              <w:rPr>
                <w:color w:val="000000"/>
                <w:sz w:val="20"/>
                <w:szCs w:val="20"/>
                <w:lang w:eastAsia="fr-FR"/>
              </w:rPr>
              <w:t xml:space="preserve"> 2 388,80   </w:t>
            </w:r>
          </w:p>
        </w:tc>
        <w:tc>
          <w:tcPr>
            <w:tcW w:w="1276" w:type="dxa"/>
            <w:tcBorders>
              <w:top w:val="nil"/>
              <w:left w:val="nil"/>
              <w:bottom w:val="single" w:sz="4" w:space="0" w:color="auto"/>
              <w:right w:val="single" w:sz="4" w:space="0" w:color="auto"/>
            </w:tcBorders>
            <w:shd w:val="clear" w:color="000000" w:fill="ddebf7"/>
            <w:noWrap/>
            <w:vAlign w:val="center"/>
            <w:hideMark/>
          </w:tcPr>
          <w:p>
            <w:pPr>
              <w:pStyle w:val="style0"/>
              <w:spacing w:before="0"/>
              <w:jc w:val="center"/>
              <w:rPr>
                <w:color w:val="000000"/>
                <w:sz w:val="20"/>
                <w:szCs w:val="20"/>
                <w:lang w:eastAsia="fr-FR"/>
              </w:rPr>
            </w:pPr>
            <w:r>
              <w:rPr>
                <w:color w:val="000000"/>
                <w:sz w:val="20"/>
                <w:szCs w:val="20"/>
                <w:lang w:eastAsia="fr-FR"/>
              </w:rPr>
              <w:t xml:space="preserve"> 2 713,84   </w:t>
            </w:r>
          </w:p>
        </w:tc>
        <w:tc>
          <w:tcPr>
            <w:tcW w:w="1701" w:type="dxa"/>
            <w:tcBorders>
              <w:top w:val="nil"/>
              <w:left w:val="nil"/>
              <w:bottom w:val="single" w:sz="4" w:space="0" w:color="auto"/>
              <w:right w:val="single" w:sz="4" w:space="0" w:color="auto"/>
            </w:tcBorders>
            <w:shd w:val="clear" w:color="000000" w:fill="ddebf7"/>
            <w:noWrap/>
            <w:vAlign w:val="center"/>
            <w:hideMark/>
          </w:tcPr>
          <w:p>
            <w:pPr>
              <w:pStyle w:val="style0"/>
              <w:spacing w:before="0"/>
              <w:jc w:val="center"/>
              <w:rPr>
                <w:color w:val="000000"/>
                <w:sz w:val="20"/>
                <w:szCs w:val="20"/>
                <w:lang w:eastAsia="fr-FR"/>
              </w:rPr>
            </w:pPr>
            <w:r>
              <w:rPr>
                <w:color w:val="000000"/>
                <w:sz w:val="20"/>
                <w:szCs w:val="20"/>
                <w:lang w:eastAsia="fr-FR"/>
              </w:rPr>
              <w:t xml:space="preserve"> 3 088,42   </w:t>
            </w:r>
          </w:p>
        </w:tc>
        <w:tc>
          <w:tcPr>
            <w:tcW w:w="1253" w:type="dxa"/>
            <w:tcBorders>
              <w:top w:val="nil"/>
              <w:left w:val="nil"/>
              <w:bottom w:val="single" w:sz="4" w:space="0" w:color="auto"/>
              <w:right w:val="single" w:sz="4" w:space="0" w:color="auto"/>
            </w:tcBorders>
            <w:shd w:val="clear" w:color="000000" w:fill="ddebf7"/>
            <w:noWrap/>
            <w:vAlign w:val="center"/>
            <w:hideMark/>
          </w:tcPr>
          <w:p>
            <w:pPr>
              <w:pStyle w:val="style0"/>
              <w:spacing w:before="0"/>
              <w:jc w:val="center"/>
              <w:rPr>
                <w:color w:val="000000"/>
                <w:sz w:val="20"/>
                <w:szCs w:val="20"/>
                <w:lang w:eastAsia="fr-FR"/>
              </w:rPr>
            </w:pPr>
            <w:r>
              <w:rPr>
                <w:color w:val="000000"/>
                <w:sz w:val="20"/>
                <w:szCs w:val="20"/>
                <w:lang w:eastAsia="fr-FR"/>
              </w:rPr>
              <w:t xml:space="preserve"> 2 930,05   </w:t>
            </w:r>
          </w:p>
        </w:tc>
        <w:tc>
          <w:tcPr>
            <w:tcW w:w="1370" w:type="dxa"/>
            <w:tcBorders>
              <w:top w:val="nil"/>
              <w:left w:val="nil"/>
              <w:bottom w:val="single" w:sz="4" w:space="0" w:color="auto"/>
              <w:right w:val="single" w:sz="4" w:space="0" w:color="auto"/>
            </w:tcBorders>
            <w:shd w:val="clear" w:color="000000" w:fill="92d050"/>
            <w:noWrap/>
            <w:vAlign w:val="center"/>
            <w:hideMark/>
          </w:tcPr>
          <w:p>
            <w:pPr>
              <w:pStyle w:val="style0"/>
              <w:spacing w:before="0"/>
              <w:jc w:val="center"/>
              <w:rPr>
                <w:color w:val="000000"/>
                <w:sz w:val="20"/>
                <w:szCs w:val="20"/>
                <w:lang w:eastAsia="fr-FR"/>
              </w:rPr>
            </w:pPr>
            <w:r>
              <w:rPr>
                <w:color w:val="000000"/>
                <w:sz w:val="20"/>
                <w:szCs w:val="20"/>
                <w:lang w:eastAsia="fr-FR"/>
              </w:rPr>
              <w:t xml:space="preserve"> 15 341,70   </w:t>
            </w:r>
          </w:p>
        </w:tc>
      </w:tr>
    </w:tbl>
    <w:p>
      <w:pPr>
        <w:pStyle w:val="style0"/>
        <w:spacing w:before="0"/>
        <w:rPr/>
      </w:pPr>
      <w:r>
        <w:t>Source : DPVC, 2019</w:t>
      </w:r>
    </w:p>
    <w:bookmarkStart w:id="261" w:name="_Toc2831203"/>
    <w:p>
      <w:pPr>
        <w:pStyle w:val="style3"/>
        <w:numPr>
          <w:ilvl w:val="2"/>
          <w:numId w:val="21"/>
        </w:numPr>
        <w:rPr>
          <w:rStyle w:val="style4186"/>
          <w:b/>
          <w:sz w:val="23"/>
          <w:szCs w:val="23"/>
        </w:rPr>
      </w:pPr>
      <w:r>
        <w:t>Distribution et utilisation des pesticides au Burkina Faso</w:t>
      </w:r>
      <w:bookmarkEnd w:id="261"/>
      <w:r>
        <w:t xml:space="preserve"> </w:t>
      </w:r>
    </w:p>
    <w:p>
      <w:pPr>
        <w:pStyle w:val="style0"/>
        <w:rPr/>
      </w:pPr>
      <w:r>
        <w:t>En 1997, on estimait au Burkina Faso l’utilisation des pesticides à environ 2533 tonnes de produits formulés avec une valeur sur le marché de 12,7 milliards de FCFA et ce uniquement sur les cultures de coton, de la canne à sucre et par les services de protection des végétaux (Van Der Valk et Diarra, 2000). Le taux de croissance de l’utilisation des pesticides par an</w:t>
      </w:r>
      <w:r>
        <w:t>,</w:t>
      </w:r>
      <w:r>
        <w:t xml:space="preserve"> atteint 11% (Tarhy </w:t>
      </w:r>
      <w:r>
        <w:rPr>
          <w:i/>
        </w:rPr>
        <w:t>et al.,</w:t>
      </w:r>
      <w:r>
        <w:t xml:space="preserve"> 2000). Ce secteur de produits agrochimiques représente un chiffre d’affaire d’environ 18 milliards de francs CFA (FAOSTAT, 2010) et la culture du coton représente à elle seule</w:t>
      </w:r>
      <w:r>
        <w:t>,</w:t>
      </w:r>
      <w:r>
        <w:t xml:space="preserve"> plus de 80% de ce chiffre d’affaire. </w:t>
      </w:r>
    </w:p>
    <w:p>
      <w:pPr>
        <w:pStyle w:val="style0"/>
        <w:rPr/>
      </w:pPr>
    </w:p>
    <w:bookmarkStart w:id="262" w:name="_Toc412731869"/>
    <w:bookmarkStart w:id="263" w:name="_Toc412732253"/>
    <w:bookmarkStart w:id="264" w:name="_Toc418761668"/>
    <w:bookmarkStart w:id="265" w:name="_Toc2831204"/>
    <w:p>
      <w:pPr>
        <w:pStyle w:val="style3"/>
        <w:numPr>
          <w:ilvl w:val="2"/>
          <w:numId w:val="21"/>
        </w:numPr>
        <w:rPr/>
      </w:pPr>
      <w:r>
        <w:t>A</w:t>
      </w:r>
      <w:r>
        <w:t>cteurs intervenant</w:t>
      </w:r>
      <w:r>
        <w:t xml:space="preserve"> dans la gestion des pesticides</w:t>
      </w:r>
      <w:bookmarkEnd w:id="262"/>
      <w:bookmarkEnd w:id="263"/>
      <w:bookmarkEnd w:id="264"/>
      <w:bookmarkEnd w:id="265"/>
    </w:p>
    <w:p>
      <w:pPr>
        <w:pStyle w:val="style0"/>
        <w:rPr/>
      </w:pPr>
      <w:r>
        <w:t>Plusieurs acteurs interviennent dans la gestion des pesticides au Burkina Faso.</w:t>
      </w:r>
    </w:p>
    <w:p>
      <w:pPr>
        <w:pStyle w:val="style0"/>
        <w:rPr/>
      </w:pPr>
    </w:p>
    <w:p>
      <w:pPr>
        <w:pStyle w:val="style4"/>
        <w:numPr>
          <w:ilvl w:val="3"/>
          <w:numId w:val="21"/>
        </w:numPr>
        <w:rPr/>
      </w:pPr>
      <w:r>
        <w:t xml:space="preserve"> A</w:t>
      </w:r>
      <w:r>
        <w:t xml:space="preserve">cteurs Étatiques </w:t>
      </w:r>
    </w:p>
    <w:p>
      <w:pPr>
        <w:pStyle w:val="style0"/>
        <w:rPr>
          <w:sz w:val="22"/>
        </w:rPr>
      </w:pPr>
      <w:r>
        <w:t xml:space="preserve">Jusque vers 1996, l’État burkinabé à travers le Ministère </w:t>
      </w:r>
      <w:r>
        <w:t xml:space="preserve">en charge </w:t>
      </w:r>
      <w:r>
        <w:t xml:space="preserve">de l’Agriculture assurait les fonctions d’approvisionnement et de distribution des pesticides. A partir de 1996, l’État s’est désengagé des fonctions commerciales. Cependant, il reste le principal acteur de la réglementation des importations et de la vente de pesticides au Burkina Faso. L’État </w:t>
      </w:r>
      <w:r>
        <w:t xml:space="preserve">intervient également dans le secteur des pesticides avec les dons qu’il redistribue. La principale Société para Étatique intervenant sur le marché des pesticides est la Société Burkinabé des Fibres et Textiles (SOFITEX). </w:t>
      </w:r>
    </w:p>
    <w:p>
      <w:pPr>
        <w:pStyle w:val="style4"/>
        <w:numPr>
          <w:ilvl w:val="3"/>
          <w:numId w:val="21"/>
        </w:numPr>
        <w:rPr/>
      </w:pPr>
      <w:r>
        <w:t xml:space="preserve"> A</w:t>
      </w:r>
      <w:r>
        <w:t>cteurs privés</w:t>
      </w:r>
    </w:p>
    <w:p>
      <w:pPr>
        <w:pStyle w:val="style0"/>
        <w:rPr/>
      </w:pPr>
      <w:r>
        <w:t xml:space="preserve">Plusieurs </w:t>
      </w:r>
      <w:r>
        <w:t xml:space="preserve">firmes agropharmaceutiques regroupées au sein de CROPLIFE-Burkina (SAPHYTO, AFRIQUE PHYTO, AGRIDIS, LDC, SOPHYCOM, FASO CHEM, SOPAGRI, </w:t>
      </w:r>
      <w:r>
        <w:t>LCD,</w:t>
      </w:r>
      <w:r>
        <w:t xml:space="preserve"> SENEFURA SAHEL, MONSANTO, SUMITOMO, ALM, BAYER, BASF) se partagent le marché phytosanitaire, mais on y trouve plus d’une trentaine de distributeurs agréés mais aussi des distributeurs non agrées et ambulants (MIR Plus, 2013). Ces acteurs privés sont généralement représentés à Ouagadougou et Bobo-Dioulasso. Les principaux acteurs privés en ce qui concerne l’importation de pesticides au Burkina Faso sont la Société Africaine de Produits Phytosanitaires (SAPHYTO) et la SN-SOSUCO. Les ONGs contribuent également dans le secteur des pesticides en octroyant des crédits pour l’utilisation des pesticides dans les projets qu’elles supervisent.</w:t>
      </w:r>
    </w:p>
    <w:p>
      <w:pPr>
        <w:pStyle w:val="style0"/>
        <w:rPr/>
      </w:pPr>
      <w:r>
        <w:t xml:space="preserve">Dans le domaine de la santé animale, l’importation des médicaments et produits vétérinaires (insecticide, acaricide, nématicide …) est soumise à des procédures dont seuls les vétérinaires grossistes </w:t>
      </w:r>
      <w:r>
        <w:rPr>
          <w:sz w:val="22"/>
        </w:rPr>
        <w:t>(SOCOVET,</w:t>
      </w:r>
      <w:r>
        <w:rPr>
          <w:sz w:val="22"/>
        </w:rPr>
        <w:t xml:space="preserve"> </w:t>
      </w:r>
      <w:r>
        <w:rPr>
          <w:sz w:val="22"/>
        </w:rPr>
        <w:t>VETOPHARM, CIVA-Burkina, FASOVET,</w:t>
      </w:r>
      <w:r>
        <w:rPr>
          <w:sz w:val="22"/>
        </w:rPr>
        <w:t xml:space="preserve"> </w:t>
      </w:r>
      <w:r>
        <w:rPr>
          <w:sz w:val="22"/>
        </w:rPr>
        <w:t>AFI-MED,</w:t>
      </w:r>
      <w:r>
        <w:rPr>
          <w:sz w:val="22"/>
        </w:rPr>
        <w:t xml:space="preserve"> </w:t>
      </w:r>
      <w:r>
        <w:rPr>
          <w:sz w:val="22"/>
        </w:rPr>
        <w:t>MERIAL,</w:t>
      </w:r>
      <w:r>
        <w:rPr>
          <w:sz w:val="22"/>
        </w:rPr>
        <w:t xml:space="preserve"> </w:t>
      </w:r>
      <w:r>
        <w:rPr>
          <w:sz w:val="22"/>
        </w:rPr>
        <w:t>LAPROVET,</w:t>
      </w:r>
      <w:r>
        <w:rPr>
          <w:sz w:val="22"/>
        </w:rPr>
        <w:t xml:space="preserve"> </w:t>
      </w:r>
      <w:r>
        <w:rPr>
          <w:sz w:val="22"/>
        </w:rPr>
        <w:t>SVB, SODIVET,</w:t>
      </w:r>
      <w:r>
        <w:rPr>
          <w:sz w:val="22"/>
        </w:rPr>
        <w:t xml:space="preserve"> </w:t>
      </w:r>
      <w:r>
        <w:rPr>
          <w:sz w:val="22"/>
        </w:rPr>
        <w:t xml:space="preserve">PROPHYMA, SAGRICHEM, INZOVET) </w:t>
      </w:r>
      <w:r>
        <w:t>sont habilités actuellement selon la réglementation.</w:t>
      </w:r>
    </w:p>
    <w:p>
      <w:pPr>
        <w:pStyle w:val="style0"/>
        <w:rPr/>
      </w:pPr>
      <w:r>
        <w:t>Les cliniciens</w:t>
      </w:r>
      <w:r>
        <w:t xml:space="preserve"> (VETO ASSISTANCE, SIRBA VETO,</w:t>
      </w:r>
      <w:r>
        <w:t xml:space="preserve"> </w:t>
      </w:r>
      <w:r>
        <w:t>SOPELA , KAOURAL, PHARVET,</w:t>
      </w:r>
      <w:r>
        <w:t xml:space="preserve"> </w:t>
      </w:r>
      <w:r>
        <w:t>PROMAVET-B, SADEL,</w:t>
      </w:r>
      <w:r>
        <w:t xml:space="preserve"> </w:t>
      </w:r>
      <w:r>
        <w:t>ACTIVET, VETO SERVICES,</w:t>
      </w:r>
      <w:r>
        <w:t xml:space="preserve"> </w:t>
      </w:r>
      <w:r>
        <w:t>SOPREL,</w:t>
      </w:r>
      <w:r>
        <w:t xml:space="preserve"> </w:t>
      </w:r>
      <w:r>
        <w:t>VETO IMPACT,</w:t>
      </w:r>
      <w:r>
        <w:t xml:space="preserve"> </w:t>
      </w:r>
      <w:r>
        <w:t>LAPHAVET,</w:t>
      </w:r>
      <w:r>
        <w:t xml:space="preserve"> </w:t>
      </w:r>
      <w:r>
        <w:t>PROGRES, VETO ESPOIR, VETO CONSULT, ANIMALS HOSPITAL, KHALASSAL, PROMELPHA, NADIEDJA,</w:t>
      </w:r>
      <w:r>
        <w:t xml:space="preserve"> </w:t>
      </w:r>
      <w:r>
        <w:t xml:space="preserve">SOPHAVET, VETO EXPRESS, VETAGRI, DIPROVET, DIPHAVET, VEPRESTA, MEDIVET, PROPHAVET, COPROSA, BIOVET, VETO PLUS </w:t>
      </w:r>
      <w:r>
        <w:t>s’approvisionnent chez les grossistes pour l’utilisation.</w:t>
      </w:r>
    </w:p>
    <w:p>
      <w:pPr>
        <w:pStyle w:val="style0"/>
        <w:rPr/>
      </w:pPr>
    </w:p>
    <w:p>
      <w:pPr>
        <w:pStyle w:val="style4"/>
        <w:numPr>
          <w:ilvl w:val="3"/>
          <w:numId w:val="21"/>
        </w:numPr>
        <w:tabs>
          <w:tab w:val="center" w:leader="none" w:pos="4706"/>
        </w:tabs>
        <w:rPr/>
      </w:pPr>
      <w:r>
        <w:t xml:space="preserve"> </w:t>
      </w:r>
      <w:r>
        <w:t>Importations de pesticides</w:t>
      </w:r>
      <w:r>
        <w:tab/>
      </w:r>
    </w:p>
    <w:p>
      <w:pPr>
        <w:pStyle w:val="style0"/>
        <w:spacing w:before="0"/>
        <w:rPr/>
      </w:pPr>
      <w:r>
        <w:t>Les importations de pesticides du Burkina Faso sont surtout destinées à lutter contre les ennemis du coton, de la canne à sucre</w:t>
      </w:r>
      <w:r>
        <w:t>, des cultures vivrières</w:t>
      </w:r>
      <w:r>
        <w:t xml:space="preserve"> et des cultures maraîchères</w:t>
      </w:r>
      <w:r>
        <w:t xml:space="preserve"> et fruitières</w:t>
      </w:r>
      <w:r>
        <w:t xml:space="preserve">. </w:t>
      </w:r>
    </w:p>
    <w:p>
      <w:pPr>
        <w:pStyle w:val="style0"/>
        <w:spacing w:before="0"/>
        <w:rPr/>
      </w:pPr>
      <w:r>
        <w:t>L’origine de ces produits peut être établie de la façon suivante :</w:t>
      </w:r>
    </w:p>
    <w:p>
      <w:pPr>
        <w:pStyle w:val="style0"/>
        <w:spacing w:before="0"/>
        <w:rPr/>
      </w:pPr>
      <w:r>
        <w:rPr>
          <w:u w:val="single"/>
        </w:rPr>
        <w:t>Afrique</w:t>
      </w:r>
      <w:r>
        <w:t> :</w:t>
      </w:r>
      <w:r>
        <w:tab/>
      </w:r>
      <w:r>
        <w:t>Sénégal, Côte d’Ivoire, Mali, Afrique du Sud, Tunisie, Ghana, Nigeria…</w:t>
      </w:r>
    </w:p>
    <w:p>
      <w:pPr>
        <w:pStyle w:val="style0"/>
        <w:spacing w:before="0"/>
        <w:rPr/>
      </w:pPr>
      <w:r>
        <w:t xml:space="preserve">Europe : </w:t>
      </w:r>
      <w:r>
        <w:tab/>
      </w:r>
      <w:r>
        <w:t xml:space="preserve">France, Belgique, Grande Bretagne, Pays-Bas, Allemagne, Italie, Espagne et Danemark. </w:t>
      </w:r>
    </w:p>
    <w:p>
      <w:pPr>
        <w:pStyle w:val="style0"/>
        <w:spacing w:before="0"/>
        <w:rPr/>
      </w:pPr>
      <w:r>
        <w:rPr>
          <w:u w:val="single"/>
        </w:rPr>
        <w:t>Amérique</w:t>
      </w:r>
      <w:r>
        <w:t xml:space="preserve"> : </w:t>
      </w:r>
      <w:r>
        <w:tab/>
      </w:r>
      <w:r>
        <w:t>USA</w:t>
      </w:r>
    </w:p>
    <w:p>
      <w:pPr>
        <w:pStyle w:val="style0"/>
        <w:spacing w:before="0"/>
        <w:rPr>
          <w:szCs w:val="26"/>
        </w:rPr>
      </w:pPr>
      <w:r>
        <w:rPr>
          <w:u w:val="single"/>
        </w:rPr>
        <w:t>Autre</w:t>
      </w:r>
      <w:r>
        <w:t>s</w:t>
      </w:r>
      <w:r>
        <w:t xml:space="preserve"> :    Japon, Israël, Indonésie, Thaïlande, Chine, Liban et Turquie.</w:t>
      </w:r>
    </w:p>
    <w:p>
      <w:pPr>
        <w:pStyle w:val="style0"/>
        <w:spacing w:before="0"/>
        <w:rPr/>
      </w:pPr>
      <w:r>
        <w:t>La majorité des produits de pesticides recensés au Burkina Faso courant avril 2010 (</w:t>
      </w:r>
      <w:r>
        <w:t>IFDC</w:t>
      </w:r>
      <w:r>
        <w:t>, 201</w:t>
      </w:r>
      <w:r>
        <w:t>1</w:t>
      </w:r>
      <w:r>
        <w:t xml:space="preserve">), provenaient essentiellement de la Chine (47% des zones enquêtées), de la France (33% des zones enquêtées) et du Burkina Faso (20% des zones enquêtées). </w:t>
      </w:r>
    </w:p>
    <w:p>
      <w:pPr>
        <w:pStyle w:val="style0"/>
        <w:rPr/>
      </w:pPr>
    </w:p>
    <w:p>
      <w:pPr>
        <w:pStyle w:val="style4"/>
        <w:numPr>
          <w:ilvl w:val="3"/>
          <w:numId w:val="21"/>
        </w:numPr>
        <w:rPr/>
      </w:pPr>
      <w:r>
        <w:t xml:space="preserve"> </w:t>
      </w:r>
      <w:r>
        <w:t>Production</w:t>
      </w:r>
      <w:r>
        <w:t xml:space="preserve"> de pesticides</w:t>
      </w:r>
    </w:p>
    <w:p>
      <w:pPr>
        <w:pStyle w:val="style0"/>
        <w:rPr/>
      </w:pPr>
      <w:r>
        <w:t xml:space="preserve">L’offre du Burkina Faso en matière de pesticides est très faible et est surtout destinée au marché intérieur. La SAPHYTO est </w:t>
      </w:r>
      <w:r>
        <w:t>l’</w:t>
      </w:r>
      <w:r>
        <w:t>unité de formulation, qui importe les matières actives servant à la formulation des pesticides. Ces produits portent en grande partie sur des concentrés émulsifiables, des produits pour poudrage, les granulés et les produits d’usage domestique. La Société Louis Dreyfus Commodities (LDC)</w:t>
      </w:r>
      <w:r>
        <w:t xml:space="preserve"> qui </w:t>
      </w:r>
      <w:r>
        <w:t>dispose d’une unité industrielle</w:t>
      </w:r>
      <w:r>
        <w:t xml:space="preserve">, </w:t>
      </w:r>
      <w:r>
        <w:t xml:space="preserve">est considérée comme une unité industrielle de reconditionnement et non de formulation. </w:t>
      </w:r>
    </w:p>
    <w:p>
      <w:pPr>
        <w:pStyle w:val="style0"/>
        <w:rPr/>
      </w:pPr>
    </w:p>
    <w:p>
      <w:pPr>
        <w:pStyle w:val="style4"/>
        <w:numPr>
          <w:ilvl w:val="3"/>
          <w:numId w:val="21"/>
        </w:numPr>
        <w:rPr/>
      </w:pPr>
      <w:r>
        <w:t>Circuits de distribution des pesticides</w:t>
      </w:r>
    </w:p>
    <w:p>
      <w:pPr>
        <w:pStyle w:val="style5"/>
        <w:numPr>
          <w:ilvl w:val="4"/>
          <w:numId w:val="21"/>
        </w:numPr>
        <w:rPr/>
      </w:pPr>
      <w:r>
        <w:t xml:space="preserve">Ministère </w:t>
      </w:r>
      <w:r>
        <w:t xml:space="preserve">en charge </w:t>
      </w:r>
      <w:r>
        <w:t>de l’Agriculture</w:t>
      </w:r>
    </w:p>
    <w:p>
      <w:pPr>
        <w:pStyle w:val="style0"/>
        <w:rPr/>
      </w:pPr>
      <w:r>
        <w:t xml:space="preserve">La distribution locale de pesticides est assurée par un ensemble de réseaux inégalement répartis sur l’ensemble du territoire et parfois spécifiques à une filière donnée. Ces circuits sont basés sur une structuration des groupements villageois appuyés par les Directions </w:t>
      </w:r>
      <w:r>
        <w:t>Régionales</w:t>
      </w:r>
      <w:r>
        <w:t xml:space="preserve"> en charge</w:t>
      </w:r>
      <w:r>
        <w:t xml:space="preserve"> </w:t>
      </w:r>
      <w:r>
        <w:rPr>
          <w:bCs/>
        </w:rPr>
        <w:t>de l’Agriculture</w:t>
      </w:r>
      <w:r>
        <w:t xml:space="preserve">. Les principales sources d’approvisionnement </w:t>
      </w:r>
      <w:r>
        <w:t xml:space="preserve">en pesticides </w:t>
      </w:r>
      <w:r>
        <w:t xml:space="preserve">du Ministère </w:t>
      </w:r>
      <w:r>
        <w:t xml:space="preserve">en charge </w:t>
      </w:r>
      <w:r>
        <w:t>de l’Agriculture sont :</w:t>
      </w:r>
    </w:p>
    <w:p>
      <w:pPr>
        <w:pStyle w:val="style0"/>
        <w:numPr>
          <w:ilvl w:val="0"/>
          <w:numId w:val="20"/>
        </w:numPr>
        <w:spacing w:lineRule="auto" w:line="276"/>
        <w:ind w:left="0" w:firstLine="357"/>
        <w:rPr>
          <w:rFonts w:cs="Garamond"/>
          <w:color w:val="000000"/>
        </w:rPr>
      </w:pPr>
      <w:r>
        <w:rPr>
          <w:rFonts w:cs="Garamond"/>
          <w:color w:val="000000"/>
        </w:rPr>
        <w:t>SAPHYTO au niveau national ;</w:t>
      </w:r>
    </w:p>
    <w:p>
      <w:pPr>
        <w:pStyle w:val="style0"/>
        <w:numPr>
          <w:ilvl w:val="0"/>
          <w:numId w:val="20"/>
        </w:numPr>
        <w:spacing w:lineRule="auto" w:line="276"/>
        <w:ind w:left="0" w:firstLine="357"/>
        <w:rPr>
          <w:rFonts w:cs="Garamond"/>
          <w:color w:val="000000"/>
        </w:rPr>
      </w:pPr>
      <w:r>
        <w:rPr>
          <w:rFonts w:cs="Garamond"/>
          <w:color w:val="000000"/>
        </w:rPr>
        <w:t xml:space="preserve">SUMITOMO, ALM et BAYER au niveau International. </w:t>
      </w:r>
    </w:p>
    <w:p>
      <w:pPr>
        <w:pStyle w:val="style0"/>
        <w:spacing w:lineRule="auto" w:line="276"/>
        <w:rPr>
          <w:rFonts w:cs="Garamond"/>
          <w:color w:val="000000"/>
        </w:rPr>
      </w:pPr>
    </w:p>
    <w:p>
      <w:pPr>
        <w:pStyle w:val="style5"/>
        <w:numPr>
          <w:ilvl w:val="4"/>
          <w:numId w:val="21"/>
        </w:numPr>
        <w:rPr/>
      </w:pPr>
      <w:r>
        <w:t>Société des Fibres et Textiles (</w:t>
      </w:r>
      <w:r>
        <w:t>SOFITEX</w:t>
      </w:r>
      <w:r>
        <w:t>)</w:t>
      </w:r>
    </w:p>
    <w:p>
      <w:pPr>
        <w:pStyle w:val="style0"/>
        <w:rPr/>
      </w:pPr>
      <w:r>
        <w:t>Depuis la relance de la production cotonnière en 1996, la SOFITEX assure la distribution locale de</w:t>
      </w:r>
      <w:r>
        <w:t>s</w:t>
      </w:r>
      <w:r>
        <w:t xml:space="preserve"> pesticides. Ce réseau n’approvisionne que les zones de production cotonnière à travers les groupements de producteurs de coton dans les différents villages où ils sont constitués. Cependant, les pesticides spécifiques au coton, par</w:t>
      </w:r>
      <w:r>
        <w:t xml:space="preserve"> le biais de</w:t>
      </w:r>
      <w:r>
        <w:t xml:space="preserve"> ce circuit se retrouvent sur les marchés locaux et sont utilisés sur d’autres cultures, notamment la culture maraîchère. Les principales sources d’approvisionnement de la SOFITEX sont :</w:t>
      </w:r>
    </w:p>
    <w:p>
      <w:pPr>
        <w:pStyle w:val="style0"/>
        <w:numPr>
          <w:ilvl w:val="0"/>
          <w:numId w:val="100"/>
        </w:numPr>
        <w:spacing w:lineRule="auto" w:line="276"/>
        <w:ind w:left="425" w:hanging="357"/>
        <w:rPr>
          <w:rFonts w:cs="Garamond"/>
          <w:color w:val="000000"/>
          <w:szCs w:val="26"/>
        </w:rPr>
      </w:pPr>
      <w:r>
        <w:rPr>
          <w:rFonts w:cs="Garamond"/>
          <w:color w:val="000000"/>
          <w:szCs w:val="26"/>
        </w:rPr>
        <w:t xml:space="preserve">au plan national : SAPHYTO, LCD, SENEFURA SAHEL, </w:t>
      </w:r>
      <w:r>
        <w:rPr>
          <w:rFonts w:cs="Garamond"/>
          <w:bCs/>
          <w:color w:val="000000"/>
          <w:szCs w:val="26"/>
        </w:rPr>
        <w:t>FASOFERT, PROPHYMA, DTE, ADAMA…</w:t>
      </w:r>
    </w:p>
    <w:p>
      <w:pPr>
        <w:pStyle w:val="style0"/>
        <w:numPr>
          <w:ilvl w:val="0"/>
          <w:numId w:val="100"/>
        </w:numPr>
        <w:spacing w:lineRule="auto" w:line="276"/>
        <w:ind w:left="425" w:hanging="357"/>
        <w:rPr>
          <w:rFonts w:cs="Garamond"/>
          <w:color w:val="000000"/>
          <w:szCs w:val="26"/>
        </w:rPr>
      </w:pPr>
      <w:r>
        <w:rPr>
          <w:rFonts w:cs="Garamond"/>
          <w:color w:val="000000"/>
          <w:szCs w:val="26"/>
        </w:rPr>
        <w:t>au niveau international : SYNGENTA, HYDROCHEM, ALM, BAYER, SIVEX</w:t>
      </w:r>
    </w:p>
    <w:p>
      <w:pPr>
        <w:pStyle w:val="style0"/>
        <w:spacing w:lineRule="auto" w:line="276"/>
        <w:ind w:left="425"/>
        <w:rPr>
          <w:rFonts w:cs="Garamond"/>
          <w:color w:val="000000"/>
          <w:szCs w:val="26"/>
        </w:rPr>
      </w:pPr>
    </w:p>
    <w:p>
      <w:pPr>
        <w:pStyle w:val="style5"/>
        <w:numPr>
          <w:ilvl w:val="4"/>
          <w:numId w:val="21"/>
        </w:numPr>
        <w:rPr/>
      </w:pPr>
      <w:r>
        <w:t>Société Africaine de Produits Phytosanitaires</w:t>
      </w:r>
      <w:r>
        <w:t xml:space="preserve"> </w:t>
      </w:r>
      <w:r>
        <w:t>(</w:t>
      </w:r>
      <w:r>
        <w:t>SAPHYTO</w:t>
      </w:r>
      <w:r>
        <w:t>)</w:t>
      </w:r>
    </w:p>
    <w:p>
      <w:pPr>
        <w:pStyle w:val="style0"/>
        <w:rPr/>
      </w:pPr>
      <w:r>
        <w:t>Elle approvisionne les grossistes en pesticides. Les principales sources d’approvisionnement de la SAPHYTO sur le plan international sont ARYSTA LIFESCIENCE ; DUPONT DE NEMOURS ; SPIA ; SYNGENTA.</w:t>
      </w:r>
    </w:p>
    <w:p>
      <w:pPr>
        <w:pStyle w:val="style0"/>
        <w:rPr/>
      </w:pPr>
      <w:r>
        <w:t xml:space="preserve">Sur le plan national, la SAPHYTO n’a que des clients grossistes dont les principaux sont la SOFITEX, </w:t>
      </w:r>
      <w:r>
        <w:t xml:space="preserve">la </w:t>
      </w:r>
      <w:r>
        <w:t xml:space="preserve">SOCOMA, </w:t>
      </w:r>
      <w:r>
        <w:t xml:space="preserve">le </w:t>
      </w:r>
      <w:r>
        <w:t>FASOC</w:t>
      </w:r>
      <w:r>
        <w:t>O</w:t>
      </w:r>
      <w:r>
        <w:t xml:space="preserve">TON, l’Union National des Producteurs de Coton (UNPC), </w:t>
      </w:r>
      <w:r>
        <w:t>la SN-</w:t>
      </w:r>
      <w:r>
        <w:t>SOSUCO et les distributeurs locaux.</w:t>
      </w:r>
      <w:r>
        <w:t xml:space="preserve"> A côté de ces grossistes, il y a également le secteur privé.</w:t>
      </w:r>
    </w:p>
    <w:p>
      <w:pPr>
        <w:pStyle w:val="style0"/>
        <w:rPr/>
      </w:pPr>
    </w:p>
    <w:p>
      <w:pPr>
        <w:pStyle w:val="style5"/>
        <w:numPr>
          <w:ilvl w:val="4"/>
          <w:numId w:val="21"/>
        </w:numPr>
        <w:rPr/>
      </w:pPr>
      <w:r>
        <w:t>Nouvelle Société Sucrière de la Comoé</w:t>
      </w:r>
      <w:r>
        <w:t xml:space="preserve"> </w:t>
      </w:r>
      <w:r>
        <w:t>(</w:t>
      </w:r>
      <w:r>
        <w:t>SN-SOSUCO</w:t>
      </w:r>
      <w:r>
        <w:t>)</w:t>
      </w:r>
    </w:p>
    <w:p>
      <w:pPr>
        <w:pStyle w:val="style0"/>
        <w:rPr/>
      </w:pPr>
      <w:r>
        <w:t>La production de la canne à sucre est spécifique à la région de Banfora. La SN-SOSUCO distribue dans cette zone les pesticides nécessaires à la production de la canne à sucre. Ce réseau est propre à cette société et est très limité dans l’espace. La SN-SOSUCO s’approvisionne principalement auprès de fournisseurs nationaux dont les principa</w:t>
      </w:r>
      <w:r>
        <w:t>ux</w:t>
      </w:r>
      <w:r>
        <w:t xml:space="preserve"> sont : </w:t>
      </w:r>
      <w:r>
        <w:t>LCD</w:t>
      </w:r>
      <w:r>
        <w:t> ; SAPHYTO ; AGRIDIS ; SENEFURA SAHEL.</w:t>
      </w:r>
    </w:p>
    <w:p>
      <w:pPr>
        <w:pStyle w:val="style5"/>
        <w:numPr>
          <w:ilvl w:val="4"/>
          <w:numId w:val="21"/>
        </w:numPr>
        <w:rPr/>
      </w:pPr>
      <w:r>
        <w:t>Organisations de producteurs</w:t>
      </w:r>
    </w:p>
    <w:p>
      <w:pPr>
        <w:pStyle w:val="style0"/>
        <w:rPr/>
      </w:pPr>
      <w:r>
        <w:t xml:space="preserve">Plusieurs unions d’organisations de producteurs approvisionnent leurs membres en pesticides généralement pour les cultures maraîchères. C’est le cas par exemple de la </w:t>
      </w:r>
      <w:r>
        <w:t>Fédération Nationale des Groupements Naam (</w:t>
      </w:r>
      <w:r>
        <w:t>FNGN</w:t>
      </w:r>
      <w:r>
        <w:t>)</w:t>
      </w:r>
      <w:r>
        <w:t xml:space="preserve"> au Yatenga. Ces structures s’approvisionnent auprès de grossistes ou de demi-grossistes dans les villes généralement avec l’appui d’ONG.</w:t>
      </w:r>
    </w:p>
    <w:p>
      <w:pPr>
        <w:pStyle w:val="style0"/>
        <w:rPr/>
      </w:pPr>
    </w:p>
    <w:p>
      <w:pPr>
        <w:pStyle w:val="style5"/>
        <w:numPr>
          <w:ilvl w:val="4"/>
          <w:numId w:val="21"/>
        </w:numPr>
        <w:rPr/>
      </w:pPr>
      <w:r>
        <w:t>Autres circuits</w:t>
      </w:r>
    </w:p>
    <w:p>
      <w:pPr>
        <w:pStyle w:val="style0"/>
        <w:rPr/>
      </w:pPr>
      <w:r>
        <w:t>Ces circuits sont généralement spécifiques à chaque localité et ils sont disséminés sur l’ensemble du territoire. Les vendeurs de produits phytosanitaires réalisent une marge commerciale plus élevée que ceux des autres intrants agricoles. Les commerçants locaux ou les responsables d’organisations de producteurs impliqués dans ces circuits, sont souvent la principale source d’information des producteurs</w:t>
      </w:r>
      <w:r>
        <w:t> ;</w:t>
      </w:r>
      <w:r>
        <w:t xml:space="preserve"> </w:t>
      </w:r>
      <w:r>
        <w:t>ce qui contribue à la distorsion de l’information. De même, les détaillants s’approvisionnent souvent sur des circuits parallèles dont la qualité des produits est douteuse. Cependant, ils jouent un rôle déterminant, car ils constituent la principale source d’approvisionnement des producteurs ayant de petites superficies et peu organisés. Ces circuits échappent généralement au contrôle de qualité et à la réglementation.</w:t>
      </w:r>
    </w:p>
    <w:p>
      <w:pPr>
        <w:pStyle w:val="style0"/>
        <w:rPr/>
      </w:pPr>
      <w:r>
        <w:t>Les entraves à la performance du circuit de distribution des pesticides au Burkina Faso sont principalement :</w:t>
      </w:r>
    </w:p>
    <w:p>
      <w:pPr>
        <w:pStyle w:val="style0"/>
        <w:numPr>
          <w:ilvl w:val="0"/>
          <w:numId w:val="45"/>
        </w:numPr>
        <w:spacing w:lineRule="auto" w:line="276"/>
        <w:ind w:left="0" w:firstLine="357"/>
        <w:rPr/>
      </w:pPr>
      <w:r>
        <w:t>la faible application des textes réglementaires existants ;</w:t>
      </w:r>
    </w:p>
    <w:p>
      <w:pPr>
        <w:pStyle w:val="style0"/>
        <w:numPr>
          <w:ilvl w:val="0"/>
          <w:numId w:val="45"/>
        </w:numPr>
        <w:spacing w:lineRule="auto" w:line="276"/>
        <w:ind w:left="0" w:firstLine="357"/>
        <w:rPr/>
      </w:pPr>
      <w:r>
        <w:t>le faible niveau technique des acteurs de ce marché ;</w:t>
      </w:r>
    </w:p>
    <w:p>
      <w:pPr>
        <w:pStyle w:val="style0"/>
        <w:numPr>
          <w:ilvl w:val="0"/>
          <w:numId w:val="45"/>
        </w:numPr>
        <w:spacing w:lineRule="auto" w:line="276"/>
        <w:ind w:left="0" w:firstLine="357"/>
        <w:rPr/>
      </w:pPr>
      <w:r>
        <w:t>l’enclavement intérieur et extérieur du pays ;</w:t>
      </w:r>
    </w:p>
    <w:p>
      <w:pPr>
        <w:pStyle w:val="style0"/>
        <w:numPr>
          <w:ilvl w:val="0"/>
          <w:numId w:val="45"/>
        </w:numPr>
        <w:spacing w:lineRule="auto" w:line="276"/>
        <w:ind w:left="0" w:firstLine="357"/>
        <w:rPr/>
      </w:pPr>
      <w:r>
        <w:t>l’insuffisance du contrôle de qualité sur les pesticides ;</w:t>
      </w:r>
    </w:p>
    <w:p>
      <w:pPr>
        <w:pStyle w:val="style0"/>
        <w:numPr>
          <w:ilvl w:val="0"/>
          <w:numId w:val="45"/>
        </w:numPr>
        <w:spacing w:lineRule="auto" w:line="276"/>
        <w:ind w:left="0" w:firstLine="357"/>
        <w:rPr>
          <w:szCs w:val="26"/>
        </w:rPr>
      </w:pPr>
      <w:r>
        <w:t>la fiscalité élevée.</w:t>
      </w:r>
    </w:p>
    <w:p>
      <w:pPr>
        <w:pStyle w:val="style0"/>
        <w:rPr/>
      </w:pPr>
    </w:p>
    <w:p>
      <w:pPr>
        <w:pStyle w:val="style4"/>
        <w:numPr>
          <w:ilvl w:val="2"/>
          <w:numId w:val="21"/>
        </w:numPr>
        <w:rPr/>
      </w:pPr>
      <w:r>
        <w:t>Mode d’application des produits au Burkina Faso</w:t>
      </w:r>
    </w:p>
    <w:p>
      <w:pPr>
        <w:pStyle w:val="style0"/>
        <w:rPr>
          <w:rFonts w:cs="Arial"/>
          <w:color w:val="ff0000"/>
        </w:rPr>
      </w:pPr>
      <w:r>
        <w:rPr>
          <w:rFonts w:cs="Arial"/>
        </w:rPr>
        <w:t>Bien que des brigadiers phytosanitaires existent, très souvent, ce sont l</w:t>
      </w:r>
      <w:r>
        <w:rPr>
          <w:rFonts w:cs="Arial"/>
        </w:rPr>
        <w:t xml:space="preserve">es agriculteurs eux-mêmes </w:t>
      </w:r>
      <w:r>
        <w:rPr>
          <w:rFonts w:cs="Arial"/>
        </w:rPr>
        <w:t xml:space="preserve">qui </w:t>
      </w:r>
      <w:r>
        <w:rPr>
          <w:rFonts w:cs="Arial"/>
        </w:rPr>
        <w:t>effectuent la pulvérisation des produits phytosanitaires mais très peu seulement ont reçu une formation adéquate.</w:t>
      </w:r>
      <w:r>
        <w:t xml:space="preserve"> Plusieurs études et travaux ont mis en exergue le non-respect des Bonnes Pratiques Agricoles (BPA) par les producteurs (Lendres, 1992 ; Domo, 1996 ; Toé </w:t>
      </w:r>
      <w:r>
        <w:rPr>
          <w:i/>
        </w:rPr>
        <w:t>et al</w:t>
      </w:r>
      <w:r>
        <w:t>., 2000 ; Toé</w:t>
      </w:r>
      <w:r>
        <w:rPr>
          <w:i/>
        </w:rPr>
        <w:t xml:space="preserve"> et al</w:t>
      </w:r>
      <w:r>
        <w:t>., 2002 ; ARFA, 2004 ; Paré et Toé, 2011). Les faits suivants permettent d'être inquiets :</w:t>
      </w:r>
    </w:p>
    <w:p>
      <w:pPr>
        <w:pStyle w:val="style179"/>
        <w:numPr>
          <w:ilvl w:val="0"/>
          <w:numId w:val="24"/>
        </w:numPr>
        <w:spacing w:before="0"/>
        <w:ind w:left="697" w:hanging="357"/>
        <w:rPr/>
      </w:pPr>
      <w:r>
        <w:t>les doses recommandées sont loin d'être respectées ;</w:t>
      </w:r>
    </w:p>
    <w:p>
      <w:pPr>
        <w:pStyle w:val="style179"/>
        <w:numPr>
          <w:ilvl w:val="0"/>
          <w:numId w:val="24"/>
        </w:numPr>
        <w:spacing w:before="0"/>
        <w:ind w:left="697" w:hanging="357"/>
        <w:rPr/>
      </w:pPr>
      <w:r>
        <w:t>les délais d’attente avant la récolte (DAR) sont méconnus ;</w:t>
      </w:r>
    </w:p>
    <w:p>
      <w:pPr>
        <w:pStyle w:val="style179"/>
        <w:numPr>
          <w:ilvl w:val="0"/>
          <w:numId w:val="24"/>
        </w:numPr>
        <w:spacing w:before="0"/>
        <w:ind w:left="697" w:hanging="357"/>
        <w:rPr/>
      </w:pPr>
      <w:r>
        <w:t>il est courant que les exportateurs de produits maraîchers soient confrontés à un dépassement de Limites maximales de résidus (LMR) admissibles;</w:t>
      </w:r>
    </w:p>
    <w:p>
      <w:pPr>
        <w:pStyle w:val="style179"/>
        <w:numPr>
          <w:ilvl w:val="0"/>
          <w:numId w:val="24"/>
        </w:numPr>
        <w:spacing w:before="0"/>
        <w:ind w:left="697" w:hanging="357"/>
        <w:rPr/>
      </w:pPr>
      <w:r>
        <w:t>il n'y a aucun établissement de LMR au niveau national ;</w:t>
      </w:r>
    </w:p>
    <w:p>
      <w:pPr>
        <w:pStyle w:val="style179"/>
        <w:numPr>
          <w:ilvl w:val="0"/>
          <w:numId w:val="24"/>
        </w:numPr>
        <w:spacing w:before="0"/>
        <w:ind w:left="697" w:hanging="357"/>
        <w:rPr/>
      </w:pPr>
      <w:r>
        <w:t>il n'y a pas assez de données fiables sur les résidus de pesticides dans les eaux et les sols bien que les écologies des sites de culture soient des sols légers propices au lessivage avec des risques de contamination des eaux souterraines et des eaux de surface ;</w:t>
      </w:r>
    </w:p>
    <w:p>
      <w:pPr>
        <w:pStyle w:val="style179"/>
        <w:numPr>
          <w:ilvl w:val="0"/>
          <w:numId w:val="24"/>
        </w:numPr>
        <w:spacing w:before="0"/>
        <w:ind w:left="697" w:hanging="357"/>
        <w:rPr/>
      </w:pPr>
      <w:r>
        <w:t>il n'y a pas assez de données sur les résidus de pesticides dans l'eau potable.</w:t>
      </w:r>
    </w:p>
    <w:p>
      <w:pPr>
        <w:pStyle w:val="style0"/>
        <w:rPr/>
      </w:pPr>
      <w:r>
        <w:t>Si des mesures urgentes et efficaces ne sont pas prises, l’utilisation des pesticides va entraîner des conséquences dommageables pour la santé humaine et l’environnement. Consciente de l'importance du respect des BPA et d’une gestion sécurisée des pesticides, la mise en œuvre effective de ces BPA dans le contexte agricole du Burkina Faso</w:t>
      </w:r>
      <w:r>
        <w:t xml:space="preserve"> demeure plus qu’une priorité</w:t>
      </w:r>
      <w:r>
        <w:t xml:space="preserve">. </w:t>
      </w:r>
    </w:p>
    <w:p>
      <w:pPr>
        <w:pStyle w:val="style0"/>
        <w:rPr/>
      </w:pPr>
    </w:p>
    <w:p>
      <w:pPr>
        <w:pStyle w:val="style4"/>
        <w:numPr>
          <w:ilvl w:val="2"/>
          <w:numId w:val="21"/>
        </w:numPr>
        <w:rPr/>
      </w:pPr>
      <w:r>
        <w:t>Dispositions d’élimination des pesticides obsolètes</w:t>
      </w:r>
    </w:p>
    <w:p>
      <w:pPr>
        <w:pStyle w:val="style0"/>
        <w:spacing w:lineRule="auto" w:line="276"/>
        <w:rPr>
          <w:lang w:eastAsia="fr-FR"/>
        </w:rPr>
      </w:pPr>
      <w:r>
        <w:rPr>
          <w:sz w:val="23"/>
          <w:szCs w:val="23"/>
        </w:rPr>
        <w:t>L</w:t>
      </w:r>
      <w:r>
        <w:rPr>
          <w:sz w:val="23"/>
          <w:szCs w:val="23"/>
        </w:rPr>
        <w:t xml:space="preserve">a </w:t>
      </w:r>
      <w:r>
        <w:rPr>
          <w:lang w:eastAsia="fr-FR"/>
        </w:rPr>
        <w:t>S</w:t>
      </w:r>
      <w:r>
        <w:rPr>
          <w:lang w:eastAsia="fr-FR"/>
        </w:rPr>
        <w:t>A</w:t>
      </w:r>
      <w:r>
        <w:rPr>
          <w:lang w:eastAsia="fr-FR"/>
        </w:rPr>
        <w:t>PHYTO travail</w:t>
      </w:r>
      <w:r>
        <w:rPr>
          <w:lang w:eastAsia="fr-FR"/>
        </w:rPr>
        <w:t>le</w:t>
      </w:r>
      <w:r>
        <w:rPr>
          <w:lang w:eastAsia="fr-FR"/>
        </w:rPr>
        <w:t xml:space="preserve"> à la mise en place d’un incinérateur à Bobo Dioulasso, capable de détruire les pesticides et les emballages vides. Si ce projet venait à voir le jour, il faciliterait ainsi une bonne gestion. Cependant, un mécanisme de collecte et de stockage adéquat des emballage vides de pesticides devrait être mis en place. </w:t>
      </w:r>
    </w:p>
    <w:p>
      <w:pPr>
        <w:pStyle w:val="style0"/>
        <w:rPr>
          <w:rFonts w:cs="Arial"/>
        </w:rPr>
      </w:pPr>
      <w:r>
        <w:rPr>
          <w:rFonts w:cs="Arial"/>
        </w:rPr>
        <w:t>A ce jour, la SAPHYTO</w:t>
      </w:r>
      <w:r>
        <w:t xml:space="preserve"> dispose d’une</w:t>
      </w:r>
      <w:r>
        <w:t xml:space="preserve"> station d’épuration (STEP) </w:t>
      </w:r>
      <w:r>
        <w:t xml:space="preserve">pour le prétraitement des effluents. Les boues issues de ce prétraitement sont stockées. </w:t>
      </w:r>
      <w:r>
        <w:rPr>
          <w:rFonts w:cs="Arial"/>
        </w:rPr>
        <w:t>Il</w:t>
      </w:r>
      <w:r>
        <w:rPr>
          <w:rFonts w:cs="Arial"/>
        </w:rPr>
        <w:t xml:space="preserve"> est plus que nécessaire que des</w:t>
      </w:r>
      <w:r>
        <w:rPr>
          <w:rFonts w:cs="Arial"/>
        </w:rPr>
        <w:t xml:space="preserve"> structures d’élimination des pesticides périmés soient disponibles pour les pays de la sous-région.</w:t>
      </w:r>
    </w:p>
    <w:p>
      <w:pPr>
        <w:pStyle w:val="style0"/>
        <w:rPr>
          <w:b/>
        </w:rPr>
      </w:pPr>
      <w:r>
        <w:rPr>
          <w:rFonts w:cs="Arial"/>
        </w:rPr>
        <w:t>Pour la gestion des emballages vides, le Burkina Faso dispose d’un centre de décontamination de fûts vides de pesticides lui permettant de récupérer certains contenants pour la plantation d’arbres ou à usage de poubelles.</w:t>
      </w:r>
      <w:r>
        <w:rPr>
          <w:rFonts w:cs="Arial"/>
        </w:rPr>
        <w:t xml:space="preserve"> Ce centre n’est cependant pas fonctionnel. </w:t>
      </w:r>
    </w:p>
    <w:p>
      <w:pPr>
        <w:pStyle w:val="style0"/>
        <w:rPr/>
      </w:pPr>
      <w:r>
        <w:t>En 1998, la FAO évaluait la quantité de pesticides périmés au Burkina Faso entre 50 et 500 tonnes (FAO, w 7918 F/1/7 98/300). Un travail d’inventaire (Ou</w:t>
      </w:r>
      <w:r>
        <w:t>é</w:t>
      </w:r>
      <w:r>
        <w:t xml:space="preserve">draogo et Doamba, 2001) effectué principalement dans les Directions Régionales de l’Agriculture ainsi que dans les principales régions cotonnières, révèle la présence de quantités énormes de pesticides périmés datant de plusieurs années. Les plus grandes quantités de pesticides périmés, indésirables et/ou interdits au Burkina Faso se retrouvent à la SOFITEX, </w:t>
      </w:r>
      <w:r>
        <w:t>à</w:t>
      </w:r>
      <w:r>
        <w:t xml:space="preserve"> </w:t>
      </w:r>
      <w:r>
        <w:t xml:space="preserve">la SAPHYTO </w:t>
      </w:r>
      <w:r>
        <w:t xml:space="preserve">et </w:t>
      </w:r>
      <w:r>
        <w:t xml:space="preserve">à la DPVC. Ces pesticides périmés sont dans leur forte majorité constitués d’insecticides organophosphorés et de pyréthrinoïdes de synthèse. </w:t>
      </w:r>
    </w:p>
    <w:p>
      <w:pPr>
        <w:pStyle w:val="style0"/>
        <w:rPr/>
      </w:pPr>
      <w:r>
        <w:t xml:space="preserve">Dans une étude menée sur </w:t>
      </w:r>
      <w:r>
        <w:rPr>
          <w:bCs/>
          <w:color w:val="000000"/>
        </w:rPr>
        <w:t xml:space="preserve">la </w:t>
      </w:r>
      <w:r>
        <w:rPr>
          <w:bCs/>
        </w:rPr>
        <w:t>qualité</w:t>
      </w:r>
      <w:r>
        <w:rPr>
          <w:bCs/>
          <w:color w:val="000000"/>
        </w:rPr>
        <w:t xml:space="preserve"> des pesticides mis sur le marché au </w:t>
      </w:r>
      <w:r>
        <w:rPr>
          <w:bCs/>
        </w:rPr>
        <w:t>Burkina</w:t>
      </w:r>
      <w:r>
        <w:rPr>
          <w:bCs/>
        </w:rPr>
        <w:t xml:space="preserve"> </w:t>
      </w:r>
      <w:r>
        <w:rPr>
          <w:bCs/>
        </w:rPr>
        <w:t>Faso</w:t>
      </w:r>
      <w:r>
        <w:rPr>
          <w:bCs/>
        </w:rPr>
        <w:t xml:space="preserve"> </w:t>
      </w:r>
      <w:r>
        <w:t>en 2010, et consolidé en 2011 (</w:t>
      </w:r>
      <w:r>
        <w:t>IFDC</w:t>
      </w:r>
      <w:r>
        <w:t>, 2011) le taux de pesticides périmés, en prenant en compte les dates de fabrication et ou de péremption, était évalué à 42,58 %. Cependant, comme le précisent les mêmes auteurs, les mauvaises conditions de stockage peuvent avoir altéré la qualité des produits et des fraudes tendant à reformuler d’anciens stocks invendus pour les revendre comme de nouveaux produits dans des emballages exist</w:t>
      </w:r>
      <w:r>
        <w:t>a</w:t>
      </w:r>
      <w:r>
        <w:t>nt</w:t>
      </w:r>
      <w:r>
        <w:t>s.</w:t>
      </w:r>
    </w:p>
    <w:p>
      <w:pPr>
        <w:pStyle w:val="style0"/>
        <w:rPr>
          <w:lang w:eastAsia="fr-FR"/>
        </w:rPr>
      </w:pPr>
      <w:r>
        <w:t xml:space="preserve">Dans le cadre du </w:t>
      </w:r>
      <w:r>
        <w:rPr>
          <w:shd w:val="clear" w:color="auto" w:fill="ffffff"/>
          <w:lang w:eastAsia="fr-FR"/>
        </w:rPr>
        <w:t>projet</w:t>
      </w:r>
      <w:r>
        <w:rPr>
          <w:color w:val="545454"/>
          <w:shd w:val="clear" w:color="auto" w:fill="ffffff"/>
          <w:lang w:eastAsia="fr-FR"/>
        </w:rPr>
        <w:t> d'</w:t>
      </w:r>
      <w:r>
        <w:rPr>
          <w:shd w:val="clear" w:color="auto" w:fill="ffffff"/>
          <w:lang w:eastAsia="fr-FR"/>
        </w:rPr>
        <w:t>élimination</w:t>
      </w:r>
      <w:r>
        <w:rPr>
          <w:color w:val="545454"/>
          <w:shd w:val="clear" w:color="auto" w:fill="ffffff"/>
          <w:lang w:eastAsia="fr-FR"/>
        </w:rPr>
        <w:t> et de prévention des </w:t>
      </w:r>
      <w:r>
        <w:rPr>
          <w:shd w:val="clear" w:color="auto" w:fill="ffffff"/>
          <w:lang w:eastAsia="fr-FR"/>
        </w:rPr>
        <w:t>pesticides obsolètes</w:t>
      </w:r>
      <w:r>
        <w:rPr>
          <w:color w:val="545454"/>
          <w:shd w:val="clear" w:color="auto" w:fill="ffffff"/>
          <w:lang w:eastAsia="fr-FR"/>
        </w:rPr>
        <w:t> </w:t>
      </w:r>
      <w:r>
        <w:rPr>
          <w:lang w:eastAsia="fr-FR"/>
        </w:rPr>
        <w:t>(PEPPO)</w:t>
      </w:r>
      <w:r>
        <w:t>, la FAO appui</w:t>
      </w:r>
      <w:r>
        <w:t>e</w:t>
      </w:r>
      <w:r>
        <w:t xml:space="preserve"> la DGPV pour une </w:t>
      </w:r>
      <w:r>
        <w:t>élimination écologique des pesticides obsolètes et dé</w:t>
      </w:r>
      <w:r>
        <w:t xml:space="preserve">chets assimilés, y compris </w:t>
      </w:r>
      <w:r>
        <w:t>les emballages vides</w:t>
      </w:r>
      <w:r>
        <w:t xml:space="preserve"> de pesticides. Ce projet, </w:t>
      </w:r>
      <w:r>
        <w:t>a</w:t>
      </w:r>
      <w:r>
        <w:t xml:space="preserve"> facilité l’inventaire des produits obsolètes, dont le rapport devrait être validé courant premier trimestre 2019 selon la DPVC. </w:t>
      </w:r>
    </w:p>
    <w:bookmarkStart w:id="266" w:name="_Toc2831205"/>
    <w:p>
      <w:pPr>
        <w:pStyle w:val="style2"/>
        <w:numPr>
          <w:ilvl w:val="1"/>
          <w:numId w:val="21"/>
        </w:numPr>
        <w:rPr>
          <w:bCs/>
        </w:rPr>
      </w:pPr>
      <w:r>
        <w:rPr>
          <w:bCs/>
        </w:rPr>
        <w:t xml:space="preserve">Utilisation </w:t>
      </w:r>
      <w:r>
        <w:t>des pesticides d</w:t>
      </w:r>
      <w:r>
        <w:t>ans les zones d’interventions du</w:t>
      </w:r>
      <w:r>
        <w:t xml:space="preserve"> P</w:t>
      </w:r>
      <w:r>
        <w:t>DCA</w:t>
      </w:r>
      <w:bookmarkEnd w:id="266"/>
    </w:p>
    <w:p>
      <w:pPr>
        <w:pStyle w:val="style0"/>
        <w:rPr/>
      </w:pPr>
      <w:r>
        <w:t xml:space="preserve">Dans le but d’évaluer les pratiques agricoles dans l’utilisation de pesticides et de la gestion des pestes dans </w:t>
      </w:r>
      <w:r>
        <w:t xml:space="preserve">les </w:t>
      </w:r>
      <w:r>
        <w:t>zones</w:t>
      </w:r>
      <w:r>
        <w:t xml:space="preserve"> du programme, </w:t>
      </w:r>
      <w:r>
        <w:t>il a été</w:t>
      </w:r>
      <w:r>
        <w:t xml:space="preserve"> procédé par des entretiens avec les parties prenantes dans la gestion des pestes et l’utilisation des pesticides. Dans ce qui suit, </w:t>
      </w:r>
      <w:r>
        <w:t xml:space="preserve">il y est </w:t>
      </w:r>
      <w:r>
        <w:t xml:space="preserve"> présenté </w:t>
      </w:r>
      <w:r>
        <w:t xml:space="preserve">les résultats et les besoins en renforcement des capacités. </w:t>
      </w:r>
    </w:p>
    <w:p>
      <w:pPr>
        <w:pStyle w:val="style0"/>
        <w:rPr/>
      </w:pPr>
      <w:r>
        <w:t>Les zones concernées par le pro</w:t>
      </w:r>
      <w:r>
        <w:t xml:space="preserve">gramme </w:t>
      </w:r>
      <w:r>
        <w:t>bénéficient déjà pour la plupart de certains projet</w:t>
      </w:r>
      <w:r>
        <w:t>s</w:t>
      </w:r>
      <w:r>
        <w:t xml:space="preserve"> et programme</w:t>
      </w:r>
      <w:r>
        <w:t>s</w:t>
      </w:r>
      <w:r>
        <w:t xml:space="preserve"> dans le domaine agricole</w:t>
      </w:r>
      <w:r>
        <w:t>, dont certain</w:t>
      </w:r>
      <w:r>
        <w:t>s</w:t>
      </w:r>
      <w:r>
        <w:t xml:space="preserve"> avec l’appui de la Banque mondiale</w:t>
      </w:r>
      <w:r>
        <w:t xml:space="preserve">. Ainsi, dans le cadre du volet renforcement des capacités de </w:t>
      </w:r>
      <w:r>
        <w:t>ces</w:t>
      </w:r>
      <w:r>
        <w:t xml:space="preserve"> programme</w:t>
      </w:r>
      <w:r>
        <w:t>s</w:t>
      </w:r>
      <w:r>
        <w:t xml:space="preserve">, notamment le </w:t>
      </w:r>
      <w:r>
        <w:t>P</w:t>
      </w:r>
      <w:r>
        <w:t>TAAO</w:t>
      </w:r>
      <w:r>
        <w:t xml:space="preserve">, le </w:t>
      </w:r>
      <w:r>
        <w:t xml:space="preserve">PAPSA, le PARIIS, l’AMVS certaines formations avec des modules portant sur la gestion des pesticides ont été menées. Ainsi, lors de nos visites sur le terrain dans la cadre de l’élaboration du présent PGP, certains producteurs ont affirmé avoir reçu des formations/information sur la gestion des pesticides. La DPVC a </w:t>
      </w:r>
      <w:r>
        <w:t xml:space="preserve">elle aussi </w:t>
      </w:r>
      <w:r>
        <w:t>confirmé avoir travaillé avec certains projets pour la formation</w:t>
      </w:r>
      <w:r>
        <w:t xml:space="preserve"> et la</w:t>
      </w:r>
      <w:r>
        <w:t xml:space="preserve"> sensibilisation des producteurs et des acteurs étatiques dans la gestion des pesticides. </w:t>
      </w:r>
    </w:p>
    <w:p>
      <w:pPr>
        <w:pStyle w:val="style0"/>
        <w:rPr/>
      </w:pPr>
      <w:r>
        <w:t xml:space="preserve">Ces formations sont un atout majeur pour la mise en œuvre du PGP. En sus, la mise en place des </w:t>
      </w:r>
      <w:r>
        <w:t>comités régionaux de toxicovigilance des pesticides (</w:t>
      </w:r>
      <w:r>
        <w:t>CRTP</w:t>
      </w:r>
      <w:r>
        <w:t>)</w:t>
      </w:r>
      <w:r>
        <w:t xml:space="preserve">, avec des démembrements au niveau provincial et communal, contribue à une bonne transmission du message et à la sensibilisation. </w:t>
      </w:r>
      <w:r>
        <w:t xml:space="preserve">Chaque CRTP est présidé par le Secrétaire Général de la Région. </w:t>
      </w:r>
    </w:p>
    <w:p>
      <w:pPr>
        <w:pStyle w:val="style0"/>
        <w:rPr/>
      </w:pPr>
      <w:r>
        <w:t>Les services techniques, pour la plupart, se plaignent de l’utilisation de plus en plus non contrôlé</w:t>
      </w:r>
      <w:r>
        <w:t>e</w:t>
      </w:r>
      <w:r>
        <w:t xml:space="preserve"> d’herbicides </w:t>
      </w:r>
      <w:r>
        <w:t>systémiques pour venir à bout des mauvaises herbes dans les champs</w:t>
      </w:r>
      <w:r>
        <w:t xml:space="preserve">. </w:t>
      </w:r>
      <w:r>
        <w:t>Cela engendre la dégradation du couvert végétal et des conflits avec les éleveurs qui se plaignent de morts d’animaux qu’ils attribuent aux herbicides.</w:t>
      </w:r>
    </w:p>
    <w:p>
      <w:pPr>
        <w:pStyle w:val="style0"/>
        <w:spacing w:lineRule="auto" w:line="276"/>
        <w:rPr>
          <w:sz w:val="23"/>
          <w:szCs w:val="23"/>
        </w:rPr>
      </w:pPr>
    </w:p>
    <w:tbl>
      <w:tblPr>
        <w:tblStyle w:val="style15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4385"/>
      </w:tblGrid>
      <w:tr>
        <w:trPr/>
        <w:tc>
          <w:tcPr>
            <w:tcW w:w="2579" w:type="pct"/>
            <w:tcBorders/>
          </w:tcPr>
          <w:p>
            <w:pPr>
              <w:pStyle w:val="style0"/>
              <w:spacing w:lineRule="auto" w:line="276"/>
              <w:rPr>
                <w:noProof/>
                <w:lang w:eastAsia="fr-FR"/>
              </w:rPr>
            </w:pPr>
            <w:r>
              <w:rPr>
                <w:sz w:val="20"/>
                <w:szCs w:val="23"/>
              </w:rPr>
              <w:t>Photo 5 : Parcelle d’oignon à Dourou</w:t>
            </w:r>
          </w:p>
        </w:tc>
        <w:tc>
          <w:tcPr>
            <w:tcW w:w="2421" w:type="pct"/>
            <w:tcBorders/>
          </w:tcPr>
          <w:p>
            <w:pPr>
              <w:pStyle w:val="style0"/>
              <w:spacing w:lineRule="auto" w:line="276"/>
              <w:rPr>
                <w:noProof/>
                <w:lang w:eastAsia="fr-FR"/>
              </w:rPr>
            </w:pPr>
            <w:r>
              <w:rPr>
                <w:sz w:val="20"/>
              </w:rPr>
              <w:t>Photo 6 : Parcelle de culture de Banane Dourou,</w:t>
            </w:r>
          </w:p>
        </w:tc>
      </w:tr>
      <w:tr>
        <w:tblPrEx/>
        <w:trPr/>
        <w:tc>
          <w:tcPr>
            <w:tcW w:w="2579" w:type="pct"/>
            <w:tcBorders/>
          </w:tcPr>
          <w:p>
            <w:pPr>
              <w:pStyle w:val="style0"/>
              <w:spacing w:lineRule="auto" w:line="276"/>
              <w:rPr>
                <w:sz w:val="23"/>
                <w:szCs w:val="23"/>
              </w:rPr>
            </w:pPr>
            <w:r>
              <w:rPr>
                <w:noProof/>
                <w:lang w:eastAsia="fr-FR"/>
              </w:rPr>
              <w:drawing>
                <wp:inline distT="0" distR="0" distL="0" distB="0">
                  <wp:extent cx="2903397" cy="1728000"/>
                  <wp:effectExtent l="0" t="0" r="0" b="0"/>
                  <wp:docPr id="1050" name="Image 8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 89"/>
                          <pic:cNvPicPr/>
                        </pic:nvPicPr>
                        <pic:blipFill>
                          <a:blip r:embed="rId27" cstate="print"/>
                          <a:srcRect l="0" t="0" r="0" b="0"/>
                          <a:stretch/>
                        </pic:blipFill>
                        <pic:spPr>
                          <a:xfrm rot="0">
                            <a:off x="0" y="0"/>
                            <a:ext cx="2903397" cy="1728000"/>
                          </a:xfrm>
                          <a:prstGeom prst="rect"/>
                          <a:ln>
                            <a:noFill/>
                          </a:ln>
                        </pic:spPr>
                      </pic:pic>
                    </a:graphicData>
                  </a:graphic>
                </wp:inline>
              </w:drawing>
            </w:r>
          </w:p>
        </w:tc>
        <w:tc>
          <w:tcPr>
            <w:tcW w:w="2421" w:type="pct"/>
            <w:tcBorders/>
          </w:tcPr>
          <w:p>
            <w:pPr>
              <w:pStyle w:val="style0"/>
              <w:spacing w:lineRule="auto" w:line="276"/>
              <w:rPr>
                <w:sz w:val="23"/>
                <w:szCs w:val="23"/>
              </w:rPr>
            </w:pPr>
            <w:r>
              <w:rPr>
                <w:noProof/>
                <w:lang w:eastAsia="fr-FR"/>
              </w:rPr>
              <w:drawing>
                <wp:inline distT="0" distR="0" distL="0" distB="0">
                  <wp:extent cx="2707640" cy="1708150"/>
                  <wp:effectExtent l="0" t="0" r="0" b="6350"/>
                  <wp:docPr id="1051" name="Image 8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 87"/>
                          <pic:cNvPicPr/>
                        </pic:nvPicPr>
                        <pic:blipFill>
                          <a:blip r:embed="rId28" cstate="print"/>
                          <a:srcRect l="0" t="0" r="0" b="0"/>
                          <a:stretch/>
                        </pic:blipFill>
                        <pic:spPr>
                          <a:xfrm rot="0">
                            <a:off x="0" y="0"/>
                            <a:ext cx="2707640" cy="1708150"/>
                          </a:xfrm>
                          <a:prstGeom prst="rect"/>
                          <a:ln>
                            <a:noFill/>
                          </a:ln>
                        </pic:spPr>
                      </pic:pic>
                    </a:graphicData>
                  </a:graphic>
                </wp:inline>
              </w:drawing>
            </w:r>
          </w:p>
        </w:tc>
      </w:tr>
      <w:tr>
        <w:tblPrEx/>
        <w:trPr>
          <w:trHeight w:val="651" w:hRule="atLeast"/>
        </w:trPr>
        <w:tc>
          <w:tcPr>
            <w:tcW w:w="5000" w:type="pct"/>
            <w:gridSpan w:val="2"/>
            <w:tcBorders/>
          </w:tcPr>
          <w:p>
            <w:pPr>
              <w:pStyle w:val="style0"/>
              <w:spacing w:lineRule="auto" w:line="276"/>
              <w:rPr>
                <w:sz w:val="23"/>
              </w:rPr>
            </w:pPr>
            <w:r>
              <w:rPr>
                <w:sz w:val="20"/>
                <w:szCs w:val="23"/>
              </w:rPr>
              <w:t>Source : Données de l’étude</w:t>
            </w:r>
            <w:r>
              <w:rPr>
                <w:sz w:val="20"/>
                <w:szCs w:val="23"/>
              </w:rPr>
              <w:t>, Janvier 2019</w:t>
            </w:r>
            <w:r>
              <w:rPr>
                <w:sz w:val="20"/>
                <w:szCs w:val="23"/>
              </w:rPr>
              <w:t xml:space="preserve">                          Source : Données de l’étude, Janvier 2019</w:t>
            </w:r>
          </w:p>
        </w:tc>
      </w:tr>
    </w:tbl>
    <w:p>
      <w:pPr>
        <w:pStyle w:val="style4"/>
        <w:numPr>
          <w:ilvl w:val="2"/>
          <w:numId w:val="21"/>
        </w:numPr>
        <w:rPr/>
      </w:pPr>
      <w:r>
        <w:t xml:space="preserve">Les magasins et boutiques de vente de pesticides </w:t>
      </w:r>
    </w:p>
    <w:p>
      <w:pPr>
        <w:pStyle w:val="style0"/>
        <w:rPr/>
      </w:pPr>
      <w:r>
        <w:t xml:space="preserve">Les services en charge de la gestion des pesticides </w:t>
      </w:r>
      <w:r>
        <w:t xml:space="preserve">s’appuient sur les membres des </w:t>
      </w:r>
      <w:r>
        <w:t>CRTP</w:t>
      </w:r>
      <w:r>
        <w:t xml:space="preserve"> qui se retrouvent au niveau village, combiné</w:t>
      </w:r>
      <w:r>
        <w:t>s</w:t>
      </w:r>
      <w:r>
        <w:t xml:space="preserve"> </w:t>
      </w:r>
      <w:r>
        <w:t xml:space="preserve">à l’application </w:t>
      </w:r>
      <w:r>
        <w:t>des textes</w:t>
      </w:r>
      <w:r>
        <w:t xml:space="preserve"> avec des répressions à l’encontre des contrevenants. Cela a contribué à sensibiliser les acteurs (détaillants, grossistes et utilisateurs etc.) et à réduire le nombre de v</w:t>
      </w:r>
      <w:r>
        <w:t>endeurs non agréé</w:t>
      </w:r>
      <w:r>
        <w:t>s. La plupart de vendeurs n’ont pas reçu des formations adéquates. Les efforts en cours par l</w:t>
      </w:r>
      <w:r>
        <w:t>a</w:t>
      </w:r>
      <w:r>
        <w:t xml:space="preserve"> DPVC, devraient être appuyés par le P</w:t>
      </w:r>
      <w:r>
        <w:t>DCA</w:t>
      </w:r>
      <w:r>
        <w:t xml:space="preserve"> afin de parvenir à une gestion sécurisée des pesticides. </w:t>
      </w:r>
    </w:p>
    <w:p>
      <w:pPr>
        <w:pStyle w:val="style0"/>
        <w:rPr/>
      </w:pPr>
      <w:r>
        <w:t>De l’avis des services régionaux en charge de l’agricultu</w:t>
      </w:r>
      <w:r>
        <w:t>re, il existe des vendeurs agréé</w:t>
      </w:r>
      <w:r>
        <w:t xml:space="preserve">s. </w:t>
      </w:r>
      <w:r>
        <w:t>Certains</w:t>
      </w:r>
      <w:r>
        <w:t xml:space="preserve"> parmi eux ont pu être</w:t>
      </w:r>
      <w:r>
        <w:t xml:space="preserve"> </w:t>
      </w:r>
      <w:r>
        <w:t>rencontr</w:t>
      </w:r>
      <w:r>
        <w:t>és</w:t>
      </w:r>
      <w:r>
        <w:t xml:space="preserve"> </w:t>
      </w:r>
      <w:r>
        <w:t xml:space="preserve">à </w:t>
      </w:r>
      <w:r>
        <w:t xml:space="preserve">Yako (Photo </w:t>
      </w:r>
      <w:r>
        <w:t>7</w:t>
      </w:r>
      <w:r>
        <w:t>)</w:t>
      </w:r>
      <w:r>
        <w:t>. Cependant, de l’avis des vendeurs et des producteurs, les produits homologués coutent chers, et le marché est inondé avec des produits à provenances d</w:t>
      </w:r>
      <w:r>
        <w:t>outeuses</w:t>
      </w:r>
      <w:r>
        <w:t xml:space="preserve">. Ces pratiques néfastes devraient être combattues dans le cadre du </w:t>
      </w:r>
      <w:r>
        <w:t>PDCA</w:t>
      </w:r>
      <w:r>
        <w:t xml:space="preserve">. </w:t>
      </w:r>
      <w:r>
        <w:t xml:space="preserve">Il y’a </w:t>
      </w:r>
      <w:r>
        <w:t>cependant des vendeurs non agréé</w:t>
      </w:r>
      <w:r>
        <w:t>s (Photo 8)</w:t>
      </w:r>
      <w:r>
        <w:t>.</w:t>
      </w:r>
    </w:p>
    <w:p>
      <w:pPr>
        <w:pStyle w:val="style0"/>
        <w:spacing w:lineRule="auto" w:line="276"/>
        <w:jc w:val="center"/>
        <w:rPr>
          <w:sz w:val="23"/>
          <w:szCs w:val="23"/>
        </w:rPr>
      </w:pPr>
    </w:p>
    <w:p>
      <w:pPr>
        <w:pStyle w:val="style0"/>
        <w:spacing w:lineRule="auto" w:line="276"/>
        <w:jc w:val="center"/>
        <w:rPr>
          <w:sz w:val="23"/>
          <w:szCs w:val="23"/>
        </w:rPr>
      </w:pPr>
      <w:r>
        <w:rPr>
          <w:b/>
          <w:sz w:val="20"/>
        </w:rPr>
        <w:t xml:space="preserve">Photo 7 : </w:t>
      </w:r>
      <w:r>
        <w:rPr>
          <w:sz w:val="20"/>
        </w:rPr>
        <w:t>Vue d’une boutique de vente de pesticides homologués (Yako)</w:t>
      </w:r>
    </w:p>
    <w:p>
      <w:pPr>
        <w:pStyle w:val="style0"/>
        <w:jc w:val="center"/>
        <w:rPr/>
      </w:pPr>
      <w:r>
        <w:rPr>
          <w:noProof/>
          <w:lang w:eastAsia="fr-FR"/>
        </w:rPr>
        <w:drawing>
          <wp:inline distT="0" distR="0" distL="0" distB="0">
            <wp:extent cx="1790700" cy="2959100"/>
            <wp:effectExtent l="0" t="0" r="12700" b="12700"/>
            <wp:docPr id="1052" name="Imag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 7"/>
                    <pic:cNvPicPr/>
                  </pic:nvPicPr>
                  <pic:blipFill>
                    <a:blip r:embed="rId29" cstate="print"/>
                    <a:srcRect l="0" t="0" r="0" b="0"/>
                    <a:stretch/>
                  </pic:blipFill>
                  <pic:spPr>
                    <a:xfrm rot="0">
                      <a:off x="0" y="0"/>
                      <a:ext cx="1790700" cy="2959100"/>
                    </a:xfrm>
                    <a:prstGeom prst="rect"/>
                    <a:ln>
                      <a:noFill/>
                    </a:ln>
                  </pic:spPr>
                </pic:pic>
              </a:graphicData>
            </a:graphic>
          </wp:inline>
        </w:drawing>
      </w:r>
      <w:r>
        <w:rPr>
          <w:snapToGrid w:val="false"/>
          <w:color w:val="000000"/>
          <w:w w:val="0"/>
          <w:sz w:val="0"/>
          <w:szCs w:val="0"/>
          <w:u w:color="000000"/>
          <w:bdr w:val="none" w:sz="0" w:space="0" w:color="000000"/>
          <w:shd w:val="clear" w:color="000000" w:fill="000000"/>
        </w:rPr>
        <w:t xml:space="preserve"> </w:t>
      </w:r>
      <w:r>
        <w:rPr>
          <w:noProof/>
          <w:lang w:eastAsia="fr-FR"/>
        </w:rPr>
        <w:drawing>
          <wp:inline distT="0" distR="0" distL="0" distB="0">
            <wp:extent cx="1765300" cy="2959100"/>
            <wp:effectExtent l="0" t="0" r="12700" b="12700"/>
            <wp:docPr id="1053" name="Imag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Image 8"/>
                    <pic:cNvPicPr/>
                  </pic:nvPicPr>
                  <pic:blipFill>
                    <a:blip r:embed="rId30" cstate="print"/>
                    <a:srcRect l="0" t="0" r="0" b="0"/>
                    <a:stretch/>
                  </pic:blipFill>
                  <pic:spPr>
                    <a:xfrm rot="0">
                      <a:off x="0" y="0"/>
                      <a:ext cx="1765300" cy="2959100"/>
                    </a:xfrm>
                    <a:prstGeom prst="rect"/>
                    <a:ln>
                      <a:noFill/>
                    </a:ln>
                  </pic:spPr>
                </pic:pic>
              </a:graphicData>
            </a:graphic>
          </wp:inline>
        </w:drawing>
      </w:r>
    </w:p>
    <w:p>
      <w:pPr>
        <w:pStyle w:val="style0"/>
        <w:ind w:left="1360" w:firstLine="170"/>
        <w:rPr>
          <w:sz w:val="20"/>
        </w:rPr>
      </w:pPr>
      <w:r>
        <w:rPr>
          <w:b/>
          <w:sz w:val="20"/>
        </w:rPr>
        <w:t xml:space="preserve">  </w:t>
      </w:r>
      <w:r>
        <w:rPr>
          <w:b/>
          <w:sz w:val="20"/>
        </w:rPr>
        <w:t>Source : Données de l’étude</w:t>
      </w:r>
      <w:r>
        <w:rPr>
          <w:sz w:val="20"/>
        </w:rPr>
        <w:t>, Janvier 2019</w:t>
      </w:r>
    </w:p>
    <w:p>
      <w:pPr>
        <w:pStyle w:val="style0"/>
        <w:rPr>
          <w:b/>
        </w:rPr>
      </w:pPr>
    </w:p>
    <w:p>
      <w:pPr>
        <w:pStyle w:val="style0"/>
        <w:jc w:val="center"/>
        <w:rPr>
          <w:b/>
        </w:rPr>
      </w:pPr>
      <w:r>
        <w:rPr>
          <w:b/>
          <w:sz w:val="20"/>
        </w:rPr>
        <w:t xml:space="preserve">Photo 8 : </w:t>
      </w:r>
      <w:r>
        <w:rPr>
          <w:sz w:val="20"/>
        </w:rPr>
        <w:t>Vue d’une boutique de vente de pesticides non homologués (Yako)</w:t>
      </w:r>
    </w:p>
    <w:p>
      <w:pPr>
        <w:pStyle w:val="style0"/>
        <w:jc w:val="center"/>
        <w:rPr/>
      </w:pPr>
      <w:r>
        <w:rPr>
          <w:noProof/>
          <w:lang w:eastAsia="fr-FR"/>
        </w:rPr>
        <w:drawing>
          <wp:inline distT="0" distR="0" distL="0" distB="0">
            <wp:extent cx="4165599" cy="2489200"/>
            <wp:effectExtent l="0" t="0" r="0" b="0"/>
            <wp:docPr id="1054" name="Imag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Image 9"/>
                    <pic:cNvPicPr/>
                  </pic:nvPicPr>
                  <pic:blipFill>
                    <a:blip r:embed="rId31" cstate="print"/>
                    <a:srcRect l="0" t="0" r="0" b="0"/>
                    <a:stretch/>
                  </pic:blipFill>
                  <pic:spPr>
                    <a:xfrm rot="0">
                      <a:off x="0" y="0"/>
                      <a:ext cx="4165599" cy="2489200"/>
                    </a:xfrm>
                    <a:prstGeom prst="rect"/>
                    <a:ln>
                      <a:noFill/>
                    </a:ln>
                  </pic:spPr>
                </pic:pic>
              </a:graphicData>
            </a:graphic>
          </wp:inline>
        </w:drawing>
      </w:r>
    </w:p>
    <w:p>
      <w:pPr>
        <w:pStyle w:val="style0"/>
        <w:spacing w:lineRule="auto" w:line="276"/>
        <w:rPr>
          <w:sz w:val="23"/>
          <w:szCs w:val="23"/>
        </w:rPr>
      </w:pPr>
      <w:r>
        <w:rPr>
          <w:b/>
          <w:sz w:val="20"/>
        </w:rPr>
        <w:tab/>
      </w:r>
      <w:r>
        <w:rPr>
          <w:b/>
          <w:sz w:val="20"/>
        </w:rPr>
        <w:tab/>
      </w:r>
      <w:r>
        <w:rPr>
          <w:b/>
          <w:sz w:val="20"/>
        </w:rPr>
        <w:tab/>
      </w:r>
      <w:r>
        <w:rPr>
          <w:b/>
          <w:sz w:val="20"/>
        </w:rPr>
        <w:tab/>
      </w:r>
      <w:r>
        <w:rPr>
          <w:b/>
          <w:sz w:val="20"/>
        </w:rPr>
        <w:tab/>
      </w:r>
      <w:r>
        <w:rPr>
          <w:b/>
          <w:sz w:val="20"/>
        </w:rPr>
        <w:tab/>
      </w:r>
      <w:r>
        <w:rPr>
          <w:b/>
          <w:sz w:val="20"/>
        </w:rPr>
        <w:tab/>
      </w:r>
      <w:r>
        <w:rPr>
          <w:b/>
          <w:sz w:val="20"/>
        </w:rPr>
        <w:t xml:space="preserve">                         </w:t>
      </w:r>
      <w:r>
        <w:rPr>
          <w:b/>
          <w:sz w:val="20"/>
        </w:rPr>
        <w:t>Source : Données de l’étude</w:t>
      </w:r>
      <w:r>
        <w:rPr>
          <w:sz w:val="20"/>
        </w:rPr>
        <w:t>, Janvier 2019</w:t>
      </w:r>
    </w:p>
    <w:p>
      <w:pPr>
        <w:pStyle w:val="style0"/>
        <w:rPr/>
      </w:pPr>
      <w:r>
        <w:t xml:space="preserve">La liste des pesticides rencontrés sur le terrain est donnée dans le tableau 13. Il ressort de ce tableau, que la plupart </w:t>
      </w:r>
      <w:r>
        <w:t>des pesticides rencontrés</w:t>
      </w:r>
      <w:r>
        <w:t xml:space="preserve"> sont homologués. Beaucoup sont cependant de la classe de toxicité </w:t>
      </w:r>
      <w:r>
        <w:t>2 de l’</w:t>
      </w:r>
      <w:r>
        <w:t>OMS, ce qui devrait être utilisé par des traiteurs bien formés avec un suivi sanitaire. Sachant que la plupart des producteurs n’ont reçu aucune formati</w:t>
      </w:r>
      <w:r>
        <w:t>on, et qu’ils ne sont pas suivis</w:t>
      </w:r>
      <w:r>
        <w:t xml:space="preserve">, l’utilisation de ces produits par </w:t>
      </w:r>
      <w:r>
        <w:t>les</w:t>
      </w:r>
      <w:r>
        <w:t xml:space="preserve"> producteurs </w:t>
      </w:r>
      <w:r>
        <w:t>eux-mêmes,</w:t>
      </w:r>
      <w:r>
        <w:t xml:space="preserve"> présente de grand</w:t>
      </w:r>
      <w:r>
        <w:t>s</w:t>
      </w:r>
      <w:r>
        <w:t xml:space="preserve"> risque</w:t>
      </w:r>
      <w:r>
        <w:t>s</w:t>
      </w:r>
      <w:r>
        <w:t xml:space="preserve"> pour leur santé, pour l’environnement, mais aussi pour la santé des consommateurs. </w:t>
      </w:r>
    </w:p>
    <w:p>
      <w:pPr>
        <w:pStyle w:val="style0"/>
        <w:rPr/>
      </w:pPr>
      <w:r>
        <w:t xml:space="preserve">Deux produits rencontrés ne sont pas homologués et deux autres sont périmés (date de péremption dépassée). </w:t>
      </w:r>
    </w:p>
    <w:p>
      <w:pPr>
        <w:pStyle w:val="style0"/>
        <w:spacing w:lineRule="auto" w:line="276"/>
        <w:rPr>
          <w:sz w:val="23"/>
          <w:szCs w:val="23"/>
        </w:rPr>
        <w:sectPr>
          <w:pgSz w:w="11906" w:h="16838" w:orient="portrait"/>
          <w:pgMar w:top="1417" w:right="1417" w:bottom="1417" w:left="1417" w:header="708" w:footer="708" w:gutter="0"/>
          <w:pgBorders w:zOrder="front" w:display="allPages" w:offsetFrom="page">
            <w:top w:val="single" w:sz="4" w:space="24" w:color="ffffff"/>
          </w:pgBorders>
          <w:cols w:space="708"/>
          <w:docGrid w:linePitch="360"/>
        </w:sectPr>
      </w:pPr>
    </w:p>
    <w:bookmarkStart w:id="267" w:name="_Toc260220"/>
    <w:p>
      <w:pPr>
        <w:pStyle w:val="style0"/>
        <w:spacing w:lineRule="auto" w:line="276"/>
        <w:rPr>
          <w:b/>
          <w:sz w:val="23"/>
          <w:szCs w:val="23"/>
        </w:rPr>
      </w:pPr>
      <w:r>
        <w:rPr>
          <w:sz w:val="20"/>
          <w:szCs w:val="20"/>
        </w:rPr>
        <w:t xml:space="preserve">Tableau </w:t>
      </w:r>
      <w:r>
        <w:rPr>
          <w:sz w:val="20"/>
          <w:szCs w:val="20"/>
        </w:rPr>
        <w:fldChar w:fldCharType="begin"/>
      </w:r>
      <w:r>
        <w:rPr>
          <w:sz w:val="20"/>
          <w:szCs w:val="20"/>
        </w:rPr>
        <w:instrText xml:space="preserve"> </w:instrText>
      </w:r>
      <w:r>
        <w:rPr>
          <w:sz w:val="20"/>
          <w:szCs w:val="20"/>
        </w:rPr>
        <w:instrText>SEQ</w:instrText>
      </w:r>
      <w:r>
        <w:rPr>
          <w:sz w:val="20"/>
          <w:szCs w:val="20"/>
        </w:rPr>
        <w:instrText xml:space="preserve"> Tableau \* ARABIC </w:instrText>
      </w:r>
      <w:r>
        <w:rPr>
          <w:sz w:val="20"/>
          <w:szCs w:val="20"/>
        </w:rPr>
        <w:fldChar w:fldCharType="separate"/>
      </w:r>
      <w:r>
        <w:rPr>
          <w:noProof/>
          <w:sz w:val="20"/>
          <w:szCs w:val="20"/>
        </w:rPr>
        <w:t>13</w:t>
      </w:r>
      <w:r>
        <w:rPr>
          <w:sz w:val="20"/>
          <w:szCs w:val="20"/>
        </w:rPr>
        <w:fldChar w:fldCharType="end"/>
      </w:r>
      <w:r>
        <w:rPr>
          <w:rFonts w:eastAsia="Calibri"/>
          <w:i/>
          <w:iCs/>
          <w:color w:val="1f497d"/>
          <w:sz w:val="20"/>
          <w:szCs w:val="20"/>
        </w:rPr>
        <w:t> :</w:t>
      </w:r>
      <w:r>
        <w:rPr>
          <w:rFonts w:eastAsia="Calibri"/>
          <w:i/>
          <w:iCs/>
          <w:color w:val="1f497d"/>
          <w:sz w:val="20"/>
          <w:szCs w:val="20"/>
        </w:rPr>
        <w:t>Pesticides rencontrés sur le terrain</w:t>
      </w:r>
      <w:bookmarkEnd w:id="267"/>
      <w:r>
        <w:rPr>
          <w:rFonts w:eastAsia="Calibri"/>
          <w:i/>
          <w:iCs/>
          <w:color w:val="1f497d"/>
          <w:sz w:val="20"/>
          <w:szCs w:val="20"/>
        </w:rPr>
        <w:t xml:space="preserve"> </w:t>
      </w:r>
    </w:p>
    <w:tbl>
      <w:tblPr>
        <w:tblW w:w="1360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1350"/>
        <w:gridCol w:w="3161"/>
        <w:gridCol w:w="2392"/>
        <w:gridCol w:w="1965"/>
        <w:gridCol w:w="1119"/>
        <w:gridCol w:w="1323"/>
      </w:tblGrid>
      <w:tr>
        <w:trPr/>
        <w:tc>
          <w:tcPr>
            <w:tcW w:w="2293" w:type="dxa"/>
            <w:tcBorders/>
            <w:shd w:val="clear" w:color="auto" w:fill="auto"/>
          </w:tcPr>
          <w:p>
            <w:pPr>
              <w:pStyle w:val="style0"/>
              <w:spacing w:before="0"/>
              <w:rPr>
                <w:sz w:val="20"/>
              </w:rPr>
            </w:pPr>
            <w:r>
              <w:rPr>
                <w:sz w:val="20"/>
              </w:rPr>
              <w:t xml:space="preserve">Nom commercial </w:t>
            </w:r>
          </w:p>
        </w:tc>
        <w:tc>
          <w:tcPr>
            <w:tcW w:w="1350" w:type="dxa"/>
            <w:tcBorders/>
            <w:shd w:val="clear" w:color="auto" w:fill="auto"/>
          </w:tcPr>
          <w:p>
            <w:pPr>
              <w:pStyle w:val="style0"/>
              <w:spacing w:before="0"/>
              <w:rPr>
                <w:sz w:val="20"/>
              </w:rPr>
            </w:pPr>
            <w:r>
              <w:rPr>
                <w:sz w:val="20"/>
              </w:rPr>
              <w:t>Type de formulation</w:t>
            </w:r>
          </w:p>
        </w:tc>
        <w:tc>
          <w:tcPr>
            <w:tcW w:w="3161" w:type="dxa"/>
            <w:tcBorders/>
            <w:shd w:val="clear" w:color="auto" w:fill="auto"/>
          </w:tcPr>
          <w:p>
            <w:pPr>
              <w:pStyle w:val="style0"/>
              <w:spacing w:before="0"/>
              <w:rPr>
                <w:sz w:val="20"/>
              </w:rPr>
            </w:pPr>
            <w:r>
              <w:rPr>
                <w:sz w:val="20"/>
              </w:rPr>
              <w:t>Nom et concentration substance active</w:t>
            </w:r>
          </w:p>
        </w:tc>
        <w:tc>
          <w:tcPr>
            <w:tcW w:w="2392" w:type="dxa"/>
            <w:tcBorders/>
            <w:shd w:val="clear" w:color="auto" w:fill="auto"/>
          </w:tcPr>
          <w:p>
            <w:pPr>
              <w:pStyle w:val="style0"/>
              <w:spacing w:before="0"/>
              <w:rPr>
                <w:sz w:val="20"/>
              </w:rPr>
            </w:pPr>
            <w:r>
              <w:rPr>
                <w:sz w:val="20"/>
              </w:rPr>
              <w:t>Domaine d’utilisation</w:t>
            </w:r>
          </w:p>
        </w:tc>
        <w:tc>
          <w:tcPr>
            <w:tcW w:w="1965" w:type="dxa"/>
            <w:tcBorders/>
            <w:shd w:val="clear" w:color="auto" w:fill="auto"/>
          </w:tcPr>
          <w:p>
            <w:pPr>
              <w:pStyle w:val="style0"/>
              <w:spacing w:before="0"/>
              <w:rPr>
                <w:sz w:val="20"/>
              </w:rPr>
            </w:pPr>
            <w:r>
              <w:rPr>
                <w:sz w:val="20"/>
              </w:rPr>
              <w:t>Etat d’homologation</w:t>
            </w:r>
          </w:p>
        </w:tc>
        <w:tc>
          <w:tcPr>
            <w:tcW w:w="1119" w:type="dxa"/>
            <w:tcBorders/>
            <w:shd w:val="clear" w:color="auto" w:fill="auto"/>
          </w:tcPr>
          <w:p>
            <w:pPr>
              <w:pStyle w:val="style0"/>
              <w:spacing w:before="0"/>
              <w:rPr>
                <w:sz w:val="20"/>
              </w:rPr>
            </w:pPr>
            <w:r>
              <w:rPr>
                <w:sz w:val="20"/>
              </w:rPr>
              <w:t>classe toxicité</w:t>
            </w:r>
          </w:p>
        </w:tc>
        <w:tc>
          <w:tcPr>
            <w:tcW w:w="1323" w:type="dxa"/>
            <w:tcBorders/>
            <w:shd w:val="clear" w:color="auto" w:fill="auto"/>
          </w:tcPr>
          <w:p>
            <w:pPr>
              <w:pStyle w:val="style0"/>
              <w:spacing w:before="0"/>
              <w:rPr>
                <w:sz w:val="20"/>
              </w:rPr>
            </w:pPr>
            <w:r>
              <w:rPr>
                <w:sz w:val="20"/>
              </w:rPr>
              <w:t xml:space="preserve">Date </w:t>
            </w:r>
          </w:p>
          <w:p>
            <w:pPr>
              <w:pStyle w:val="style0"/>
              <w:spacing w:before="0"/>
              <w:rPr>
                <w:sz w:val="20"/>
              </w:rPr>
            </w:pPr>
            <w:r>
              <w:rPr>
                <w:sz w:val="20"/>
              </w:rPr>
              <w:t xml:space="preserve">Péremption </w:t>
            </w:r>
          </w:p>
        </w:tc>
      </w:tr>
      <w:tr>
        <w:tblPrEx/>
        <w:trPr/>
        <w:tc>
          <w:tcPr>
            <w:tcW w:w="2293" w:type="dxa"/>
            <w:tcBorders/>
            <w:shd w:val="clear" w:color="auto" w:fill="auto"/>
          </w:tcPr>
          <w:p>
            <w:pPr>
              <w:pStyle w:val="style0"/>
              <w:spacing w:before="0"/>
              <w:rPr>
                <w:sz w:val="20"/>
              </w:rPr>
            </w:pPr>
            <w:r>
              <w:rPr>
                <w:sz w:val="20"/>
              </w:rPr>
              <w:t>Kalach 360 SL</w:t>
            </w:r>
          </w:p>
        </w:tc>
        <w:tc>
          <w:tcPr>
            <w:tcW w:w="1350" w:type="dxa"/>
            <w:tcBorders/>
            <w:shd w:val="clear" w:color="auto" w:fill="auto"/>
          </w:tcPr>
          <w:p>
            <w:pPr>
              <w:pStyle w:val="style0"/>
              <w:spacing w:before="0"/>
              <w:rPr>
                <w:sz w:val="20"/>
              </w:rPr>
            </w:pPr>
            <w:r>
              <w:rPr>
                <w:sz w:val="20"/>
              </w:rPr>
              <w:t xml:space="preserve">Ec </w:t>
            </w:r>
          </w:p>
        </w:tc>
        <w:tc>
          <w:tcPr>
            <w:tcW w:w="3161" w:type="dxa"/>
            <w:tcBorders/>
            <w:shd w:val="clear" w:color="auto" w:fill="auto"/>
          </w:tcPr>
          <w:p>
            <w:pPr>
              <w:pStyle w:val="style0"/>
              <w:spacing w:before="0"/>
              <w:rPr>
                <w:sz w:val="20"/>
              </w:rPr>
            </w:pPr>
            <w:r>
              <w:rPr>
                <w:sz w:val="20"/>
              </w:rPr>
              <w:t>Glyphosate 360 SL</w:t>
            </w:r>
          </w:p>
        </w:tc>
        <w:tc>
          <w:tcPr>
            <w:tcW w:w="2392" w:type="dxa"/>
            <w:tcBorders/>
            <w:shd w:val="clear" w:color="auto" w:fill="auto"/>
          </w:tcPr>
          <w:p>
            <w:pPr>
              <w:pStyle w:val="style0"/>
              <w:spacing w:before="0"/>
              <w:rPr>
                <w:sz w:val="20"/>
              </w:rPr>
            </w:pPr>
            <w:r>
              <w:rPr>
                <w:sz w:val="20"/>
              </w:rPr>
              <w:t>Herbicide Total</w:t>
            </w:r>
          </w:p>
        </w:tc>
        <w:tc>
          <w:tcPr>
            <w:tcW w:w="1965" w:type="dxa"/>
            <w:tcBorders/>
            <w:shd w:val="clear" w:color="auto" w:fill="auto"/>
          </w:tcPr>
          <w:p>
            <w:pPr>
              <w:pStyle w:val="style0"/>
              <w:spacing w:before="0"/>
              <w:rPr>
                <w:sz w:val="20"/>
              </w:rPr>
            </w:pPr>
            <w:r>
              <w:rPr>
                <w:sz w:val="20"/>
              </w:rPr>
              <w:t xml:space="preserve">Homologué </w:t>
            </w:r>
          </w:p>
        </w:tc>
        <w:tc>
          <w:tcPr>
            <w:tcW w:w="1119" w:type="dxa"/>
            <w:tcBorders/>
            <w:shd w:val="clear" w:color="auto" w:fill="auto"/>
          </w:tcPr>
          <w:p>
            <w:pPr>
              <w:pStyle w:val="style0"/>
              <w:spacing w:before="0"/>
              <w:rPr>
                <w:sz w:val="20"/>
              </w:rPr>
            </w:pPr>
            <w:r>
              <w:rPr>
                <w:sz w:val="20"/>
              </w:rPr>
              <w:t>3</w:t>
            </w:r>
          </w:p>
        </w:tc>
        <w:tc>
          <w:tcPr>
            <w:tcW w:w="1323" w:type="dxa"/>
            <w:tcBorders/>
            <w:shd w:val="clear" w:color="auto" w:fill="auto"/>
          </w:tcPr>
          <w:p>
            <w:pPr>
              <w:pStyle w:val="style0"/>
              <w:spacing w:before="0"/>
              <w:rPr>
                <w:sz w:val="20"/>
              </w:rPr>
            </w:pPr>
            <w:r>
              <w:rPr>
                <w:sz w:val="20"/>
              </w:rPr>
              <w:t>2022</w:t>
            </w:r>
          </w:p>
        </w:tc>
      </w:tr>
      <w:tr>
        <w:tblPrEx/>
        <w:trPr/>
        <w:tc>
          <w:tcPr>
            <w:tcW w:w="2293" w:type="dxa"/>
            <w:tcBorders/>
            <w:shd w:val="clear" w:color="auto" w:fill="auto"/>
          </w:tcPr>
          <w:p>
            <w:pPr>
              <w:pStyle w:val="style0"/>
              <w:spacing w:before="0"/>
              <w:rPr>
                <w:sz w:val="20"/>
              </w:rPr>
            </w:pPr>
            <w:r>
              <w:rPr>
                <w:sz w:val="20"/>
              </w:rPr>
              <w:t>Glyphader 360 SL</w:t>
            </w:r>
          </w:p>
        </w:tc>
        <w:tc>
          <w:tcPr>
            <w:tcW w:w="1350" w:type="dxa"/>
            <w:tcBorders/>
            <w:shd w:val="clear" w:color="auto" w:fill="auto"/>
          </w:tcPr>
          <w:p>
            <w:pPr>
              <w:pStyle w:val="style0"/>
              <w:spacing w:before="0"/>
              <w:rPr>
                <w:sz w:val="20"/>
              </w:rPr>
            </w:pPr>
            <w:r>
              <w:rPr>
                <w:sz w:val="20"/>
              </w:rPr>
              <w:t xml:space="preserve">Ec </w:t>
            </w:r>
          </w:p>
        </w:tc>
        <w:tc>
          <w:tcPr>
            <w:tcW w:w="3161" w:type="dxa"/>
            <w:tcBorders/>
            <w:shd w:val="clear" w:color="auto" w:fill="auto"/>
          </w:tcPr>
          <w:p>
            <w:pPr>
              <w:pStyle w:val="style0"/>
              <w:spacing w:before="0"/>
              <w:rPr>
                <w:sz w:val="20"/>
              </w:rPr>
            </w:pPr>
            <w:r>
              <w:rPr>
                <w:sz w:val="20"/>
              </w:rPr>
              <w:t>Glyphosate  360g/l</w:t>
            </w:r>
          </w:p>
        </w:tc>
        <w:tc>
          <w:tcPr>
            <w:tcW w:w="2392" w:type="dxa"/>
            <w:tcBorders/>
            <w:shd w:val="clear" w:color="auto" w:fill="auto"/>
          </w:tcPr>
          <w:p>
            <w:pPr>
              <w:pStyle w:val="style0"/>
              <w:spacing w:before="0"/>
              <w:rPr>
                <w:sz w:val="20"/>
              </w:rPr>
            </w:pPr>
            <w:r>
              <w:rPr>
                <w:sz w:val="20"/>
              </w:rPr>
              <w:t>Herbicide systémique</w:t>
            </w:r>
          </w:p>
        </w:tc>
        <w:tc>
          <w:tcPr>
            <w:tcW w:w="1965" w:type="dxa"/>
            <w:tcBorders/>
            <w:shd w:val="clear" w:color="auto" w:fill="auto"/>
          </w:tcPr>
          <w:p>
            <w:pPr>
              <w:pStyle w:val="style0"/>
              <w:spacing w:before="0"/>
              <w:rPr>
                <w:sz w:val="20"/>
              </w:rPr>
            </w:pPr>
            <w:r>
              <w:rPr>
                <w:sz w:val="20"/>
              </w:rPr>
              <w:t>Homologué</w:t>
            </w:r>
          </w:p>
        </w:tc>
        <w:tc>
          <w:tcPr>
            <w:tcW w:w="1119" w:type="dxa"/>
            <w:tcBorders/>
            <w:shd w:val="clear" w:color="auto" w:fill="auto"/>
          </w:tcPr>
          <w:p>
            <w:pPr>
              <w:pStyle w:val="style0"/>
              <w:spacing w:before="0"/>
              <w:rPr>
                <w:sz w:val="20"/>
              </w:rPr>
            </w:pPr>
            <w:r>
              <w:rPr>
                <w:sz w:val="20"/>
              </w:rPr>
              <w:t>2</w:t>
            </w:r>
          </w:p>
        </w:tc>
        <w:tc>
          <w:tcPr>
            <w:tcW w:w="1323" w:type="dxa"/>
            <w:tcBorders/>
            <w:shd w:val="clear" w:color="auto" w:fill="auto"/>
          </w:tcPr>
          <w:p>
            <w:pPr>
              <w:pStyle w:val="style0"/>
              <w:spacing w:before="0"/>
              <w:rPr>
                <w:sz w:val="20"/>
              </w:rPr>
            </w:pPr>
            <w:r>
              <w:rPr>
                <w:sz w:val="20"/>
              </w:rPr>
              <w:t>2020</w:t>
            </w:r>
          </w:p>
        </w:tc>
      </w:tr>
      <w:tr>
        <w:tblPrEx/>
        <w:trPr/>
        <w:tc>
          <w:tcPr>
            <w:tcW w:w="2293" w:type="dxa"/>
            <w:tcBorders/>
            <w:shd w:val="clear" w:color="auto" w:fill="auto"/>
          </w:tcPr>
          <w:p>
            <w:pPr>
              <w:pStyle w:val="style0"/>
              <w:spacing w:before="0"/>
              <w:rPr>
                <w:sz w:val="20"/>
              </w:rPr>
            </w:pPr>
            <w:r>
              <w:rPr>
                <w:sz w:val="20"/>
              </w:rPr>
              <w:t>Aligator 400 EC</w:t>
            </w:r>
          </w:p>
        </w:tc>
        <w:tc>
          <w:tcPr>
            <w:tcW w:w="1350" w:type="dxa"/>
            <w:tcBorders/>
            <w:shd w:val="clear" w:color="auto" w:fill="auto"/>
          </w:tcPr>
          <w:p>
            <w:pPr>
              <w:pStyle w:val="style0"/>
              <w:spacing w:before="0"/>
              <w:rPr>
                <w:sz w:val="20"/>
              </w:rPr>
            </w:pPr>
            <w:r>
              <w:rPr>
                <w:sz w:val="20"/>
              </w:rPr>
              <w:t>Ec</w:t>
            </w:r>
          </w:p>
        </w:tc>
        <w:tc>
          <w:tcPr>
            <w:tcW w:w="3161" w:type="dxa"/>
            <w:tcBorders/>
            <w:shd w:val="clear" w:color="auto" w:fill="auto"/>
          </w:tcPr>
          <w:p>
            <w:pPr>
              <w:pStyle w:val="style0"/>
              <w:spacing w:before="0"/>
              <w:rPr>
                <w:sz w:val="20"/>
              </w:rPr>
            </w:pPr>
            <w:r>
              <w:rPr>
                <w:sz w:val="20"/>
              </w:rPr>
              <w:t>pendimethadine</w:t>
            </w:r>
          </w:p>
        </w:tc>
        <w:tc>
          <w:tcPr>
            <w:tcW w:w="2392" w:type="dxa"/>
            <w:tcBorders/>
            <w:shd w:val="clear" w:color="auto" w:fill="auto"/>
          </w:tcPr>
          <w:p>
            <w:pPr>
              <w:pStyle w:val="style0"/>
              <w:spacing w:before="0"/>
              <w:rPr>
                <w:sz w:val="20"/>
              </w:rPr>
            </w:pPr>
            <w:r>
              <w:rPr>
                <w:sz w:val="20"/>
              </w:rPr>
              <w:t>Herbicide prélevé</w:t>
            </w:r>
          </w:p>
        </w:tc>
        <w:tc>
          <w:tcPr>
            <w:tcW w:w="1965" w:type="dxa"/>
            <w:tcBorders/>
            <w:shd w:val="clear" w:color="auto" w:fill="auto"/>
          </w:tcPr>
          <w:p>
            <w:pPr>
              <w:pStyle w:val="style0"/>
              <w:spacing w:before="0"/>
              <w:rPr>
                <w:sz w:val="20"/>
              </w:rPr>
            </w:pPr>
            <w:r>
              <w:rPr>
                <w:sz w:val="20"/>
              </w:rPr>
              <w:t>Homologué</w:t>
            </w:r>
          </w:p>
        </w:tc>
        <w:tc>
          <w:tcPr>
            <w:tcW w:w="1119" w:type="dxa"/>
            <w:tcBorders/>
            <w:shd w:val="clear" w:color="auto" w:fill="auto"/>
          </w:tcPr>
          <w:p>
            <w:pPr>
              <w:pStyle w:val="style0"/>
              <w:spacing w:before="0"/>
              <w:rPr>
                <w:sz w:val="20"/>
              </w:rPr>
            </w:pPr>
            <w:r>
              <w:rPr>
                <w:sz w:val="20"/>
              </w:rPr>
              <w:t>3</w:t>
            </w:r>
          </w:p>
        </w:tc>
        <w:tc>
          <w:tcPr>
            <w:tcW w:w="1323" w:type="dxa"/>
            <w:tcBorders/>
            <w:shd w:val="clear" w:color="auto" w:fill="auto"/>
          </w:tcPr>
          <w:p>
            <w:pPr>
              <w:pStyle w:val="style0"/>
              <w:spacing w:before="0"/>
              <w:rPr>
                <w:sz w:val="20"/>
              </w:rPr>
            </w:pPr>
            <w:r>
              <w:rPr>
                <w:sz w:val="20"/>
              </w:rPr>
              <w:t>2019</w:t>
            </w:r>
          </w:p>
        </w:tc>
      </w:tr>
      <w:tr>
        <w:tblPrEx/>
        <w:trPr/>
        <w:tc>
          <w:tcPr>
            <w:tcW w:w="2293" w:type="dxa"/>
            <w:tcBorders/>
            <w:shd w:val="clear" w:color="auto" w:fill="auto"/>
          </w:tcPr>
          <w:p>
            <w:pPr>
              <w:pStyle w:val="style0"/>
              <w:spacing w:before="0"/>
              <w:rPr>
                <w:sz w:val="20"/>
              </w:rPr>
            </w:pPr>
            <w:r>
              <w:rPr>
                <w:sz w:val="20"/>
              </w:rPr>
              <w:t>Caima B19</w:t>
            </w:r>
          </w:p>
        </w:tc>
        <w:tc>
          <w:tcPr>
            <w:tcW w:w="1350" w:type="dxa"/>
            <w:tcBorders/>
            <w:shd w:val="clear" w:color="auto" w:fill="auto"/>
          </w:tcPr>
          <w:p>
            <w:pPr>
              <w:pStyle w:val="style0"/>
              <w:spacing w:before="0"/>
              <w:rPr>
                <w:sz w:val="20"/>
              </w:rPr>
            </w:pPr>
            <w:r>
              <w:rPr>
                <w:sz w:val="20"/>
              </w:rPr>
              <w:t>Ec</w:t>
            </w:r>
          </w:p>
        </w:tc>
        <w:tc>
          <w:tcPr>
            <w:tcW w:w="3161" w:type="dxa"/>
            <w:tcBorders/>
            <w:shd w:val="clear" w:color="auto" w:fill="auto"/>
          </w:tcPr>
          <w:p>
            <w:pPr>
              <w:pStyle w:val="style0"/>
              <w:spacing w:before="0"/>
              <w:rPr>
                <w:sz w:val="20"/>
              </w:rPr>
            </w:pPr>
            <w:r>
              <w:rPr>
                <w:sz w:val="20"/>
              </w:rPr>
              <w:t>Emamectine  Benzoate 19,2g/l</w:t>
            </w:r>
          </w:p>
        </w:tc>
        <w:tc>
          <w:tcPr>
            <w:tcW w:w="2392" w:type="dxa"/>
            <w:tcBorders/>
            <w:shd w:val="clear" w:color="auto" w:fill="auto"/>
          </w:tcPr>
          <w:p>
            <w:pPr>
              <w:pStyle w:val="style0"/>
              <w:spacing w:before="0"/>
              <w:rPr>
                <w:sz w:val="20"/>
              </w:rPr>
            </w:pPr>
            <w:r>
              <w:rPr>
                <w:sz w:val="20"/>
              </w:rPr>
              <w:t>I</w:t>
            </w:r>
            <w:r>
              <w:rPr>
                <w:sz w:val="20"/>
              </w:rPr>
              <w:t>nsecticide</w:t>
            </w:r>
          </w:p>
        </w:tc>
        <w:tc>
          <w:tcPr>
            <w:tcW w:w="1965" w:type="dxa"/>
            <w:tcBorders/>
            <w:shd w:val="clear" w:color="auto" w:fill="auto"/>
          </w:tcPr>
          <w:p>
            <w:pPr>
              <w:pStyle w:val="style0"/>
              <w:spacing w:before="0"/>
              <w:rPr>
                <w:sz w:val="20"/>
              </w:rPr>
            </w:pPr>
            <w:r>
              <w:rPr>
                <w:sz w:val="20"/>
              </w:rPr>
              <w:t>Homologué</w:t>
            </w:r>
          </w:p>
        </w:tc>
        <w:tc>
          <w:tcPr>
            <w:tcW w:w="1119" w:type="dxa"/>
            <w:tcBorders/>
            <w:shd w:val="clear" w:color="auto" w:fill="auto"/>
          </w:tcPr>
          <w:p>
            <w:pPr>
              <w:pStyle w:val="style0"/>
              <w:spacing w:before="0"/>
              <w:rPr>
                <w:sz w:val="20"/>
              </w:rPr>
            </w:pPr>
            <w:r>
              <w:rPr>
                <w:sz w:val="20"/>
              </w:rPr>
              <w:t>2</w:t>
            </w:r>
          </w:p>
        </w:tc>
        <w:tc>
          <w:tcPr>
            <w:tcW w:w="1323" w:type="dxa"/>
            <w:tcBorders/>
            <w:shd w:val="clear" w:color="auto" w:fill="auto"/>
          </w:tcPr>
          <w:p>
            <w:pPr>
              <w:pStyle w:val="style0"/>
              <w:spacing w:before="0"/>
              <w:rPr>
                <w:sz w:val="20"/>
              </w:rPr>
            </w:pPr>
            <w:r>
              <w:rPr>
                <w:sz w:val="20"/>
              </w:rPr>
              <w:t>2022</w:t>
            </w:r>
          </w:p>
        </w:tc>
      </w:tr>
      <w:tr>
        <w:tblPrEx/>
        <w:trPr/>
        <w:tc>
          <w:tcPr>
            <w:tcW w:w="2293" w:type="dxa"/>
            <w:tcBorders>
              <w:bottom w:val="single" w:sz="4" w:space="0" w:color="auto"/>
            </w:tcBorders>
            <w:shd w:val="clear" w:color="auto" w:fill="auto"/>
          </w:tcPr>
          <w:p>
            <w:pPr>
              <w:pStyle w:val="style0"/>
              <w:spacing w:before="0"/>
              <w:rPr>
                <w:sz w:val="20"/>
              </w:rPr>
            </w:pPr>
            <w:r>
              <w:rPr>
                <w:sz w:val="20"/>
              </w:rPr>
              <w:t xml:space="preserve"> Titan </w:t>
            </w:r>
          </w:p>
        </w:tc>
        <w:tc>
          <w:tcPr>
            <w:tcW w:w="1350" w:type="dxa"/>
            <w:tcBorders>
              <w:bottom w:val="single" w:sz="4" w:space="0" w:color="auto"/>
            </w:tcBorders>
            <w:shd w:val="clear" w:color="auto" w:fill="auto"/>
          </w:tcPr>
          <w:p>
            <w:pPr>
              <w:pStyle w:val="style0"/>
              <w:spacing w:before="0"/>
              <w:rPr>
                <w:sz w:val="20"/>
              </w:rPr>
            </w:pPr>
            <w:r>
              <w:rPr>
                <w:sz w:val="20"/>
              </w:rPr>
              <w:t>Ec</w:t>
            </w:r>
          </w:p>
        </w:tc>
        <w:tc>
          <w:tcPr>
            <w:tcW w:w="3161" w:type="dxa"/>
            <w:tcBorders>
              <w:bottom w:val="single" w:sz="4" w:space="0" w:color="auto"/>
            </w:tcBorders>
            <w:shd w:val="clear" w:color="auto" w:fill="auto"/>
          </w:tcPr>
          <w:p>
            <w:pPr>
              <w:pStyle w:val="style0"/>
              <w:spacing w:before="0"/>
              <w:rPr>
                <w:sz w:val="20"/>
              </w:rPr>
            </w:pPr>
            <w:r>
              <w:rPr>
                <w:sz w:val="20"/>
              </w:rPr>
              <w:t>Acetamipride EC  25g/l</w:t>
            </w:r>
          </w:p>
        </w:tc>
        <w:tc>
          <w:tcPr>
            <w:tcW w:w="2392" w:type="dxa"/>
            <w:tcBorders>
              <w:bottom w:val="single" w:sz="4" w:space="0" w:color="auto"/>
            </w:tcBorders>
            <w:shd w:val="clear" w:color="auto" w:fill="auto"/>
          </w:tcPr>
          <w:p>
            <w:pPr>
              <w:pStyle w:val="style0"/>
              <w:spacing w:before="0"/>
              <w:rPr>
                <w:sz w:val="20"/>
              </w:rPr>
            </w:pPr>
            <w:r>
              <w:rPr>
                <w:sz w:val="20"/>
              </w:rPr>
              <w:t>Insecticide systémique</w:t>
            </w:r>
          </w:p>
        </w:tc>
        <w:tc>
          <w:tcPr>
            <w:tcW w:w="1965" w:type="dxa"/>
            <w:tcBorders>
              <w:bottom w:val="single" w:sz="4" w:space="0" w:color="auto"/>
            </w:tcBorders>
            <w:shd w:val="clear" w:color="auto" w:fill="auto"/>
          </w:tcPr>
          <w:p>
            <w:pPr>
              <w:pStyle w:val="style0"/>
              <w:spacing w:before="0"/>
              <w:rPr>
                <w:sz w:val="20"/>
              </w:rPr>
            </w:pPr>
            <w:r>
              <w:rPr>
                <w:sz w:val="20"/>
              </w:rPr>
              <w:t>Homologué</w:t>
            </w:r>
          </w:p>
        </w:tc>
        <w:tc>
          <w:tcPr>
            <w:tcW w:w="1119" w:type="dxa"/>
            <w:tcBorders>
              <w:bottom w:val="single" w:sz="4" w:space="0" w:color="auto"/>
            </w:tcBorders>
            <w:shd w:val="clear" w:color="auto" w:fill="auto"/>
          </w:tcPr>
          <w:p>
            <w:pPr>
              <w:pStyle w:val="style0"/>
              <w:spacing w:before="0"/>
              <w:rPr>
                <w:sz w:val="20"/>
              </w:rPr>
            </w:pPr>
            <w:r>
              <w:rPr>
                <w:sz w:val="20"/>
              </w:rPr>
              <w:t>2</w:t>
            </w:r>
          </w:p>
        </w:tc>
        <w:tc>
          <w:tcPr>
            <w:tcW w:w="1323" w:type="dxa"/>
            <w:tcBorders>
              <w:bottom w:val="single" w:sz="4" w:space="0" w:color="auto"/>
            </w:tcBorders>
            <w:shd w:val="clear" w:color="auto" w:fill="auto"/>
          </w:tcPr>
          <w:p>
            <w:pPr>
              <w:pStyle w:val="style0"/>
              <w:spacing w:before="0"/>
              <w:rPr>
                <w:sz w:val="20"/>
              </w:rPr>
            </w:pPr>
            <w:r>
              <w:rPr>
                <w:sz w:val="20"/>
              </w:rPr>
              <w:t>2022</w:t>
            </w:r>
          </w:p>
        </w:tc>
      </w:tr>
      <w:tr>
        <w:tblPrEx/>
        <w:trPr/>
        <w:tc>
          <w:tcPr>
            <w:tcW w:w="2293" w:type="dxa"/>
            <w:tcBorders/>
            <w:shd w:val="pct20" w:color="auto" w:fill="ff0000"/>
          </w:tcPr>
          <w:p>
            <w:pPr>
              <w:pStyle w:val="style0"/>
              <w:spacing w:before="0"/>
              <w:rPr>
                <w:sz w:val="20"/>
              </w:rPr>
            </w:pPr>
            <w:r>
              <w:rPr>
                <w:sz w:val="20"/>
              </w:rPr>
              <w:t>Acarius</w:t>
            </w:r>
          </w:p>
        </w:tc>
        <w:tc>
          <w:tcPr>
            <w:tcW w:w="1350" w:type="dxa"/>
            <w:tcBorders/>
            <w:shd w:val="pct20" w:color="auto" w:fill="ff0000"/>
          </w:tcPr>
          <w:p>
            <w:pPr>
              <w:pStyle w:val="style0"/>
              <w:spacing w:before="0"/>
              <w:rPr>
                <w:sz w:val="20"/>
              </w:rPr>
            </w:pPr>
            <w:r>
              <w:rPr>
                <w:sz w:val="20"/>
              </w:rPr>
              <w:t>Ec</w:t>
            </w:r>
          </w:p>
        </w:tc>
        <w:tc>
          <w:tcPr>
            <w:tcW w:w="3161" w:type="dxa"/>
            <w:tcBorders/>
            <w:shd w:val="pct20" w:color="auto" w:fill="ff0000"/>
          </w:tcPr>
          <w:p>
            <w:pPr>
              <w:pStyle w:val="style0"/>
              <w:spacing w:before="0"/>
              <w:rPr>
                <w:sz w:val="20"/>
              </w:rPr>
            </w:pPr>
            <w:r>
              <w:rPr>
                <w:sz w:val="20"/>
              </w:rPr>
              <w:t>Abamectine 18g/l</w:t>
            </w:r>
          </w:p>
        </w:tc>
        <w:tc>
          <w:tcPr>
            <w:tcW w:w="2392" w:type="dxa"/>
            <w:tcBorders/>
            <w:shd w:val="pct20" w:color="auto" w:fill="ff0000"/>
          </w:tcPr>
          <w:p>
            <w:pPr>
              <w:pStyle w:val="style0"/>
              <w:spacing w:before="0"/>
              <w:rPr>
                <w:sz w:val="20"/>
              </w:rPr>
            </w:pPr>
            <w:r>
              <w:rPr>
                <w:sz w:val="20"/>
              </w:rPr>
              <w:t>Insecticide acaricide</w:t>
            </w:r>
          </w:p>
        </w:tc>
        <w:tc>
          <w:tcPr>
            <w:tcW w:w="1965" w:type="dxa"/>
            <w:tcBorders/>
            <w:shd w:val="pct20" w:color="auto" w:fill="ff0000"/>
          </w:tcPr>
          <w:p>
            <w:pPr>
              <w:pStyle w:val="style0"/>
              <w:spacing w:before="0"/>
              <w:rPr>
                <w:sz w:val="20"/>
              </w:rPr>
            </w:pPr>
            <w:r>
              <w:rPr>
                <w:sz w:val="20"/>
              </w:rPr>
              <w:t>Homologué</w:t>
            </w:r>
          </w:p>
        </w:tc>
        <w:tc>
          <w:tcPr>
            <w:tcW w:w="1119" w:type="dxa"/>
            <w:tcBorders/>
            <w:shd w:val="pct20" w:color="auto" w:fill="ff0000"/>
          </w:tcPr>
          <w:p>
            <w:pPr>
              <w:pStyle w:val="style0"/>
              <w:spacing w:before="0"/>
              <w:rPr>
                <w:sz w:val="20"/>
              </w:rPr>
            </w:pPr>
            <w:r>
              <w:rPr>
                <w:sz w:val="20"/>
              </w:rPr>
              <w:t>2</w:t>
            </w:r>
          </w:p>
        </w:tc>
        <w:tc>
          <w:tcPr>
            <w:tcW w:w="1323" w:type="dxa"/>
            <w:tcBorders/>
            <w:shd w:val="pct20" w:color="auto" w:fill="ff0000"/>
          </w:tcPr>
          <w:p>
            <w:pPr>
              <w:pStyle w:val="style0"/>
              <w:spacing w:before="0"/>
              <w:rPr>
                <w:sz w:val="20"/>
              </w:rPr>
            </w:pPr>
            <w:r>
              <w:rPr>
                <w:sz w:val="20"/>
              </w:rPr>
              <w:t>2018</w:t>
            </w:r>
          </w:p>
        </w:tc>
      </w:tr>
      <w:tr>
        <w:tblPrEx/>
        <w:trPr/>
        <w:tc>
          <w:tcPr>
            <w:tcW w:w="2293" w:type="dxa"/>
            <w:tcBorders/>
            <w:shd w:val="pct20" w:color="auto" w:fill="ff0000"/>
          </w:tcPr>
          <w:p>
            <w:pPr>
              <w:pStyle w:val="style0"/>
              <w:spacing w:before="0"/>
              <w:rPr>
                <w:sz w:val="20"/>
              </w:rPr>
            </w:pPr>
            <w:r>
              <w:rPr>
                <w:sz w:val="20"/>
              </w:rPr>
              <w:t>Gramoquat super</w:t>
            </w:r>
          </w:p>
        </w:tc>
        <w:tc>
          <w:tcPr>
            <w:tcW w:w="1350" w:type="dxa"/>
            <w:tcBorders/>
            <w:shd w:val="pct20" w:color="auto" w:fill="ff0000"/>
          </w:tcPr>
          <w:p>
            <w:pPr>
              <w:pStyle w:val="style0"/>
              <w:spacing w:before="0"/>
              <w:rPr>
                <w:sz w:val="20"/>
              </w:rPr>
            </w:pPr>
            <w:r>
              <w:rPr>
                <w:sz w:val="20"/>
              </w:rPr>
              <w:t>Ec</w:t>
            </w:r>
          </w:p>
        </w:tc>
        <w:tc>
          <w:tcPr>
            <w:tcW w:w="3161" w:type="dxa"/>
            <w:tcBorders/>
            <w:shd w:val="pct20" w:color="auto" w:fill="ff0000"/>
          </w:tcPr>
          <w:p>
            <w:pPr>
              <w:pStyle w:val="style0"/>
              <w:spacing w:before="0"/>
              <w:rPr>
                <w:sz w:val="20"/>
              </w:rPr>
            </w:pPr>
            <w:r>
              <w:rPr>
                <w:sz w:val="20"/>
              </w:rPr>
              <w:t>Paraquat chloride 200g/l</w:t>
            </w:r>
          </w:p>
        </w:tc>
        <w:tc>
          <w:tcPr>
            <w:tcW w:w="2392" w:type="dxa"/>
            <w:tcBorders/>
            <w:shd w:val="pct20" w:color="auto" w:fill="ff0000"/>
          </w:tcPr>
          <w:p>
            <w:pPr>
              <w:pStyle w:val="style0"/>
              <w:spacing w:before="0"/>
              <w:rPr>
                <w:sz w:val="20"/>
              </w:rPr>
            </w:pPr>
            <w:r>
              <w:rPr>
                <w:sz w:val="20"/>
              </w:rPr>
              <w:t>H</w:t>
            </w:r>
            <w:r>
              <w:rPr>
                <w:sz w:val="20"/>
              </w:rPr>
              <w:t>erbicide</w:t>
            </w:r>
          </w:p>
        </w:tc>
        <w:tc>
          <w:tcPr>
            <w:tcW w:w="1965" w:type="dxa"/>
            <w:tcBorders/>
            <w:shd w:val="pct20" w:color="auto" w:fill="ff0000"/>
          </w:tcPr>
          <w:p>
            <w:pPr>
              <w:pStyle w:val="style0"/>
              <w:spacing w:before="0"/>
              <w:rPr>
                <w:sz w:val="20"/>
              </w:rPr>
            </w:pPr>
            <w:r>
              <w:rPr>
                <w:sz w:val="20"/>
              </w:rPr>
              <w:t>Non Homologué</w:t>
            </w:r>
          </w:p>
        </w:tc>
        <w:tc>
          <w:tcPr>
            <w:tcW w:w="1119" w:type="dxa"/>
            <w:tcBorders/>
            <w:shd w:val="pct20" w:color="auto" w:fill="ff0000"/>
          </w:tcPr>
          <w:p>
            <w:pPr>
              <w:pStyle w:val="style0"/>
              <w:spacing w:before="0"/>
              <w:rPr>
                <w:sz w:val="20"/>
              </w:rPr>
            </w:pPr>
          </w:p>
        </w:tc>
        <w:tc>
          <w:tcPr>
            <w:tcW w:w="1323" w:type="dxa"/>
            <w:tcBorders/>
            <w:shd w:val="pct20" w:color="auto" w:fill="ff0000"/>
          </w:tcPr>
          <w:p>
            <w:pPr>
              <w:pStyle w:val="style0"/>
              <w:spacing w:before="0"/>
              <w:rPr>
                <w:sz w:val="20"/>
              </w:rPr>
            </w:pPr>
          </w:p>
        </w:tc>
      </w:tr>
      <w:tr>
        <w:tblPrEx/>
        <w:trPr/>
        <w:tc>
          <w:tcPr>
            <w:tcW w:w="2293" w:type="dxa"/>
            <w:tcBorders/>
            <w:shd w:val="clear" w:color="auto" w:fill="auto"/>
          </w:tcPr>
          <w:p>
            <w:pPr>
              <w:pStyle w:val="style0"/>
              <w:spacing w:before="0"/>
              <w:rPr>
                <w:sz w:val="20"/>
              </w:rPr>
            </w:pPr>
            <w:r>
              <w:rPr>
                <w:sz w:val="20"/>
              </w:rPr>
              <w:t xml:space="preserve">K. Optimal </w:t>
            </w:r>
          </w:p>
        </w:tc>
        <w:tc>
          <w:tcPr>
            <w:tcW w:w="1350" w:type="dxa"/>
            <w:tcBorders/>
            <w:shd w:val="clear" w:color="auto" w:fill="auto"/>
          </w:tcPr>
          <w:p>
            <w:pPr>
              <w:pStyle w:val="style0"/>
              <w:spacing w:before="0"/>
              <w:rPr>
                <w:sz w:val="20"/>
              </w:rPr>
            </w:pPr>
            <w:r>
              <w:rPr>
                <w:sz w:val="20"/>
              </w:rPr>
              <w:t>Ec</w:t>
            </w:r>
          </w:p>
        </w:tc>
        <w:tc>
          <w:tcPr>
            <w:tcW w:w="3161" w:type="dxa"/>
            <w:tcBorders/>
            <w:shd w:val="clear" w:color="auto" w:fill="auto"/>
          </w:tcPr>
          <w:p>
            <w:pPr>
              <w:pStyle w:val="style0"/>
              <w:spacing w:before="0"/>
              <w:rPr>
                <w:sz w:val="20"/>
              </w:rPr>
            </w:pPr>
            <w:r>
              <w:rPr>
                <w:sz w:val="20"/>
              </w:rPr>
              <w:t>Lamda-cyhalothrine 15g/l</w:t>
            </w:r>
          </w:p>
          <w:p>
            <w:pPr>
              <w:pStyle w:val="style0"/>
              <w:spacing w:before="0"/>
              <w:rPr>
                <w:sz w:val="20"/>
              </w:rPr>
            </w:pPr>
            <w:r>
              <w:rPr>
                <w:sz w:val="20"/>
              </w:rPr>
              <w:t>Acétamipride 20g/l</w:t>
            </w:r>
          </w:p>
        </w:tc>
        <w:tc>
          <w:tcPr>
            <w:tcW w:w="2392" w:type="dxa"/>
            <w:tcBorders/>
            <w:shd w:val="clear" w:color="auto" w:fill="auto"/>
          </w:tcPr>
          <w:p>
            <w:pPr>
              <w:pStyle w:val="style0"/>
              <w:spacing w:before="0"/>
              <w:rPr>
                <w:sz w:val="20"/>
              </w:rPr>
            </w:pPr>
            <w:r>
              <w:rPr>
                <w:sz w:val="20"/>
              </w:rPr>
              <w:t xml:space="preserve">insecticide </w:t>
            </w:r>
          </w:p>
        </w:tc>
        <w:tc>
          <w:tcPr>
            <w:tcW w:w="1965" w:type="dxa"/>
            <w:tcBorders/>
            <w:shd w:val="clear" w:color="auto" w:fill="auto"/>
          </w:tcPr>
          <w:p>
            <w:pPr>
              <w:pStyle w:val="style0"/>
              <w:spacing w:before="0"/>
              <w:rPr>
                <w:sz w:val="20"/>
              </w:rPr>
            </w:pPr>
            <w:r>
              <w:rPr>
                <w:sz w:val="20"/>
              </w:rPr>
              <w:t>Homologué</w:t>
            </w:r>
          </w:p>
        </w:tc>
        <w:tc>
          <w:tcPr>
            <w:tcW w:w="1119" w:type="dxa"/>
            <w:tcBorders/>
            <w:shd w:val="clear" w:color="auto" w:fill="auto"/>
          </w:tcPr>
          <w:p>
            <w:pPr>
              <w:pStyle w:val="style0"/>
              <w:spacing w:before="0"/>
              <w:rPr>
                <w:sz w:val="20"/>
              </w:rPr>
            </w:pPr>
            <w:r>
              <w:rPr>
                <w:sz w:val="20"/>
              </w:rPr>
              <w:t>2</w:t>
            </w:r>
          </w:p>
        </w:tc>
        <w:tc>
          <w:tcPr>
            <w:tcW w:w="1323" w:type="dxa"/>
            <w:tcBorders/>
            <w:shd w:val="clear" w:color="auto" w:fill="auto"/>
          </w:tcPr>
          <w:p>
            <w:pPr>
              <w:pStyle w:val="style0"/>
              <w:spacing w:before="0"/>
              <w:rPr>
                <w:sz w:val="20"/>
              </w:rPr>
            </w:pPr>
            <w:r>
              <w:rPr>
                <w:sz w:val="20"/>
              </w:rPr>
              <w:t>2020</w:t>
            </w:r>
          </w:p>
        </w:tc>
      </w:tr>
      <w:tr>
        <w:tblPrEx/>
        <w:trPr/>
        <w:tc>
          <w:tcPr>
            <w:tcW w:w="2293" w:type="dxa"/>
            <w:tcBorders/>
            <w:shd w:val="clear" w:color="auto" w:fill="auto"/>
          </w:tcPr>
          <w:p>
            <w:pPr>
              <w:pStyle w:val="style0"/>
              <w:spacing w:before="0"/>
              <w:rPr>
                <w:sz w:val="20"/>
              </w:rPr>
            </w:pPr>
            <w:r>
              <w:rPr>
                <w:sz w:val="20"/>
              </w:rPr>
              <w:t>Pacha 25 EC</w:t>
            </w:r>
          </w:p>
        </w:tc>
        <w:tc>
          <w:tcPr>
            <w:tcW w:w="1350" w:type="dxa"/>
            <w:tcBorders/>
            <w:shd w:val="clear" w:color="auto" w:fill="auto"/>
          </w:tcPr>
          <w:p>
            <w:pPr>
              <w:pStyle w:val="style0"/>
              <w:spacing w:before="0"/>
              <w:rPr>
                <w:sz w:val="20"/>
              </w:rPr>
            </w:pPr>
            <w:r>
              <w:rPr>
                <w:sz w:val="20"/>
              </w:rPr>
              <w:t>Ec</w:t>
            </w:r>
          </w:p>
        </w:tc>
        <w:tc>
          <w:tcPr>
            <w:tcW w:w="3161" w:type="dxa"/>
            <w:tcBorders/>
            <w:shd w:val="clear" w:color="auto" w:fill="auto"/>
          </w:tcPr>
          <w:p>
            <w:pPr>
              <w:pStyle w:val="style0"/>
              <w:spacing w:before="0"/>
              <w:rPr>
                <w:sz w:val="20"/>
              </w:rPr>
            </w:pPr>
            <w:r>
              <w:rPr>
                <w:sz w:val="20"/>
              </w:rPr>
              <w:t>Lamda –cyhalothrine 15g/l</w:t>
            </w:r>
          </w:p>
          <w:p>
            <w:pPr>
              <w:pStyle w:val="style0"/>
              <w:spacing w:before="0"/>
              <w:rPr>
                <w:sz w:val="20"/>
              </w:rPr>
            </w:pPr>
            <w:r>
              <w:rPr>
                <w:sz w:val="20"/>
              </w:rPr>
              <w:t>Acétamipride 10g/l</w:t>
            </w:r>
          </w:p>
        </w:tc>
        <w:tc>
          <w:tcPr>
            <w:tcW w:w="2392" w:type="dxa"/>
            <w:tcBorders/>
            <w:shd w:val="clear" w:color="auto" w:fill="auto"/>
          </w:tcPr>
          <w:p>
            <w:pPr>
              <w:pStyle w:val="style0"/>
              <w:spacing w:before="0"/>
              <w:rPr>
                <w:sz w:val="20"/>
              </w:rPr>
            </w:pPr>
            <w:r>
              <w:rPr>
                <w:sz w:val="20"/>
              </w:rPr>
              <w:t>I</w:t>
            </w:r>
            <w:r>
              <w:rPr>
                <w:sz w:val="20"/>
              </w:rPr>
              <w:t>nsecticide</w:t>
            </w:r>
          </w:p>
        </w:tc>
        <w:tc>
          <w:tcPr>
            <w:tcW w:w="1965" w:type="dxa"/>
            <w:tcBorders/>
            <w:shd w:val="clear" w:color="auto" w:fill="auto"/>
          </w:tcPr>
          <w:p>
            <w:pPr>
              <w:pStyle w:val="style0"/>
              <w:spacing w:before="0"/>
              <w:rPr>
                <w:sz w:val="20"/>
              </w:rPr>
            </w:pPr>
            <w:r>
              <w:rPr>
                <w:sz w:val="20"/>
              </w:rPr>
              <w:t>Homologué</w:t>
            </w:r>
          </w:p>
        </w:tc>
        <w:tc>
          <w:tcPr>
            <w:tcW w:w="1119" w:type="dxa"/>
            <w:tcBorders/>
            <w:shd w:val="clear" w:color="auto" w:fill="auto"/>
          </w:tcPr>
          <w:p>
            <w:pPr>
              <w:pStyle w:val="style0"/>
              <w:spacing w:before="0"/>
              <w:rPr>
                <w:sz w:val="20"/>
              </w:rPr>
            </w:pPr>
            <w:r>
              <w:rPr>
                <w:sz w:val="20"/>
              </w:rPr>
              <w:t>3</w:t>
            </w:r>
          </w:p>
        </w:tc>
        <w:tc>
          <w:tcPr>
            <w:tcW w:w="1323" w:type="dxa"/>
            <w:tcBorders/>
            <w:shd w:val="clear" w:color="auto" w:fill="auto"/>
          </w:tcPr>
          <w:p>
            <w:pPr>
              <w:pStyle w:val="style0"/>
              <w:spacing w:before="0"/>
              <w:rPr>
                <w:sz w:val="20"/>
              </w:rPr>
            </w:pPr>
            <w:r>
              <w:rPr>
                <w:sz w:val="20"/>
              </w:rPr>
              <w:t>2021</w:t>
            </w:r>
          </w:p>
        </w:tc>
      </w:tr>
      <w:tr>
        <w:tblPrEx/>
        <w:trPr/>
        <w:tc>
          <w:tcPr>
            <w:tcW w:w="2293" w:type="dxa"/>
            <w:tcBorders/>
            <w:shd w:val="clear" w:color="auto" w:fill="auto"/>
          </w:tcPr>
          <w:p>
            <w:pPr>
              <w:pStyle w:val="style0"/>
              <w:spacing w:before="0"/>
              <w:rPr>
                <w:sz w:val="20"/>
              </w:rPr>
            </w:pPr>
            <w:r>
              <w:rPr>
                <w:sz w:val="20"/>
              </w:rPr>
              <w:t>Protect DP</w:t>
            </w:r>
          </w:p>
        </w:tc>
        <w:tc>
          <w:tcPr>
            <w:tcW w:w="1350" w:type="dxa"/>
            <w:tcBorders/>
            <w:shd w:val="clear" w:color="auto" w:fill="auto"/>
          </w:tcPr>
          <w:p>
            <w:pPr>
              <w:pStyle w:val="style0"/>
              <w:spacing w:before="0"/>
              <w:rPr>
                <w:sz w:val="20"/>
              </w:rPr>
            </w:pPr>
            <w:r>
              <w:rPr>
                <w:sz w:val="20"/>
              </w:rPr>
              <w:t xml:space="preserve">Poudrage </w:t>
            </w:r>
          </w:p>
        </w:tc>
        <w:tc>
          <w:tcPr>
            <w:tcW w:w="3161" w:type="dxa"/>
            <w:tcBorders/>
            <w:shd w:val="clear" w:color="auto" w:fill="auto"/>
          </w:tcPr>
          <w:p>
            <w:pPr>
              <w:pStyle w:val="style0"/>
              <w:spacing w:before="0"/>
              <w:rPr>
                <w:sz w:val="20"/>
              </w:rPr>
            </w:pPr>
            <w:r>
              <w:rPr>
                <w:sz w:val="20"/>
              </w:rPr>
              <w:t>Deltaméthrine 1g/kg</w:t>
            </w:r>
          </w:p>
          <w:p>
            <w:pPr>
              <w:pStyle w:val="style0"/>
              <w:spacing w:before="0"/>
              <w:rPr>
                <w:sz w:val="20"/>
              </w:rPr>
            </w:pPr>
            <w:r>
              <w:rPr>
                <w:sz w:val="20"/>
              </w:rPr>
              <w:t>Pyrimiphos – méthyl 15g/kg</w:t>
            </w:r>
          </w:p>
        </w:tc>
        <w:tc>
          <w:tcPr>
            <w:tcW w:w="2392" w:type="dxa"/>
            <w:tcBorders/>
            <w:shd w:val="clear" w:color="auto" w:fill="auto"/>
          </w:tcPr>
          <w:p>
            <w:pPr>
              <w:pStyle w:val="style0"/>
              <w:spacing w:before="0"/>
              <w:rPr>
                <w:sz w:val="20"/>
              </w:rPr>
            </w:pPr>
            <w:r>
              <w:rPr>
                <w:sz w:val="20"/>
              </w:rPr>
              <w:t>I</w:t>
            </w:r>
            <w:r>
              <w:rPr>
                <w:sz w:val="20"/>
              </w:rPr>
              <w:t>nsecticide</w:t>
            </w:r>
          </w:p>
        </w:tc>
        <w:tc>
          <w:tcPr>
            <w:tcW w:w="1965" w:type="dxa"/>
            <w:tcBorders/>
            <w:shd w:val="clear" w:color="auto" w:fill="auto"/>
          </w:tcPr>
          <w:p>
            <w:pPr>
              <w:pStyle w:val="style0"/>
              <w:spacing w:before="0"/>
              <w:rPr>
                <w:sz w:val="20"/>
              </w:rPr>
            </w:pPr>
            <w:r>
              <w:rPr>
                <w:sz w:val="20"/>
              </w:rPr>
              <w:t>Homologué</w:t>
            </w:r>
          </w:p>
        </w:tc>
        <w:tc>
          <w:tcPr>
            <w:tcW w:w="1119" w:type="dxa"/>
            <w:tcBorders/>
            <w:shd w:val="clear" w:color="auto" w:fill="auto"/>
          </w:tcPr>
          <w:p>
            <w:pPr>
              <w:pStyle w:val="style0"/>
              <w:spacing w:before="0"/>
              <w:rPr>
                <w:sz w:val="20"/>
              </w:rPr>
            </w:pPr>
            <w:r>
              <w:rPr>
                <w:sz w:val="20"/>
              </w:rPr>
              <w:t>3</w:t>
            </w:r>
          </w:p>
        </w:tc>
        <w:tc>
          <w:tcPr>
            <w:tcW w:w="1323" w:type="dxa"/>
            <w:tcBorders/>
            <w:shd w:val="clear" w:color="auto" w:fill="auto"/>
          </w:tcPr>
          <w:p>
            <w:pPr>
              <w:pStyle w:val="style0"/>
              <w:spacing w:before="0"/>
              <w:rPr>
                <w:sz w:val="20"/>
              </w:rPr>
            </w:pPr>
            <w:r>
              <w:rPr>
                <w:sz w:val="20"/>
              </w:rPr>
              <w:t>2019</w:t>
            </w:r>
          </w:p>
        </w:tc>
      </w:tr>
      <w:tr>
        <w:tblPrEx/>
        <w:trPr/>
        <w:tc>
          <w:tcPr>
            <w:tcW w:w="2293" w:type="dxa"/>
            <w:tcBorders/>
            <w:shd w:val="clear" w:color="auto" w:fill="auto"/>
          </w:tcPr>
          <w:p>
            <w:pPr>
              <w:pStyle w:val="style0"/>
              <w:spacing w:before="0"/>
              <w:rPr>
                <w:sz w:val="20"/>
              </w:rPr>
            </w:pPr>
            <w:r>
              <w:rPr>
                <w:sz w:val="20"/>
              </w:rPr>
              <w:t xml:space="preserve">Pyrical 480 EC </w:t>
            </w:r>
          </w:p>
        </w:tc>
        <w:tc>
          <w:tcPr>
            <w:tcW w:w="1350" w:type="dxa"/>
            <w:tcBorders/>
            <w:shd w:val="clear" w:color="auto" w:fill="auto"/>
          </w:tcPr>
          <w:p>
            <w:pPr>
              <w:pStyle w:val="style0"/>
              <w:spacing w:before="0"/>
              <w:rPr>
                <w:sz w:val="20"/>
              </w:rPr>
            </w:pPr>
            <w:r>
              <w:rPr>
                <w:sz w:val="20"/>
              </w:rPr>
              <w:t>Ec</w:t>
            </w:r>
          </w:p>
        </w:tc>
        <w:tc>
          <w:tcPr>
            <w:tcW w:w="3161" w:type="dxa"/>
            <w:tcBorders/>
            <w:shd w:val="clear" w:color="auto" w:fill="auto"/>
          </w:tcPr>
          <w:p>
            <w:pPr>
              <w:pStyle w:val="style0"/>
              <w:spacing w:before="0"/>
              <w:rPr>
                <w:sz w:val="20"/>
              </w:rPr>
            </w:pPr>
            <w:r>
              <w:rPr>
                <w:sz w:val="20"/>
              </w:rPr>
              <w:t>Chlorpyriphos – éthyl 480g/l</w:t>
            </w:r>
          </w:p>
        </w:tc>
        <w:tc>
          <w:tcPr>
            <w:tcW w:w="2392" w:type="dxa"/>
            <w:tcBorders/>
            <w:shd w:val="clear" w:color="auto" w:fill="auto"/>
          </w:tcPr>
          <w:p>
            <w:pPr>
              <w:pStyle w:val="style0"/>
              <w:spacing w:before="0"/>
              <w:rPr>
                <w:sz w:val="20"/>
              </w:rPr>
            </w:pPr>
            <w:r>
              <w:rPr>
                <w:sz w:val="20"/>
              </w:rPr>
              <w:t>I</w:t>
            </w:r>
            <w:r>
              <w:rPr>
                <w:sz w:val="20"/>
              </w:rPr>
              <w:t>nsecticide</w:t>
            </w:r>
          </w:p>
        </w:tc>
        <w:tc>
          <w:tcPr>
            <w:tcW w:w="1965" w:type="dxa"/>
            <w:tcBorders/>
            <w:shd w:val="clear" w:color="auto" w:fill="auto"/>
          </w:tcPr>
          <w:p>
            <w:pPr>
              <w:pStyle w:val="style0"/>
              <w:spacing w:before="0"/>
              <w:rPr>
                <w:sz w:val="20"/>
              </w:rPr>
            </w:pPr>
            <w:r>
              <w:rPr>
                <w:sz w:val="20"/>
              </w:rPr>
              <w:t>Homologué</w:t>
            </w:r>
          </w:p>
        </w:tc>
        <w:tc>
          <w:tcPr>
            <w:tcW w:w="1119" w:type="dxa"/>
            <w:tcBorders/>
            <w:shd w:val="clear" w:color="auto" w:fill="auto"/>
          </w:tcPr>
          <w:p>
            <w:pPr>
              <w:pStyle w:val="style0"/>
              <w:spacing w:before="0"/>
              <w:rPr>
                <w:sz w:val="20"/>
              </w:rPr>
            </w:pPr>
            <w:r>
              <w:rPr>
                <w:sz w:val="20"/>
              </w:rPr>
              <w:t>2</w:t>
            </w:r>
          </w:p>
        </w:tc>
        <w:tc>
          <w:tcPr>
            <w:tcW w:w="1323" w:type="dxa"/>
            <w:tcBorders/>
            <w:shd w:val="clear" w:color="auto" w:fill="auto"/>
          </w:tcPr>
          <w:p>
            <w:pPr>
              <w:pStyle w:val="style0"/>
              <w:spacing w:before="0"/>
              <w:rPr>
                <w:sz w:val="20"/>
              </w:rPr>
            </w:pPr>
            <w:r>
              <w:rPr>
                <w:sz w:val="20"/>
              </w:rPr>
              <w:t>2019</w:t>
            </w:r>
          </w:p>
        </w:tc>
      </w:tr>
      <w:tr>
        <w:tblPrEx/>
        <w:trPr/>
        <w:tc>
          <w:tcPr>
            <w:tcW w:w="2293" w:type="dxa"/>
            <w:tcBorders>
              <w:bottom w:val="single" w:sz="4" w:space="0" w:color="auto"/>
            </w:tcBorders>
            <w:shd w:val="clear" w:color="auto" w:fill="auto"/>
          </w:tcPr>
          <w:p>
            <w:pPr>
              <w:pStyle w:val="style0"/>
              <w:spacing w:before="0"/>
              <w:rPr>
                <w:sz w:val="20"/>
              </w:rPr>
            </w:pPr>
            <w:r>
              <w:rPr>
                <w:sz w:val="20"/>
              </w:rPr>
              <w:t>Savahaler</w:t>
            </w:r>
          </w:p>
        </w:tc>
        <w:tc>
          <w:tcPr>
            <w:tcW w:w="1350" w:type="dxa"/>
            <w:tcBorders>
              <w:bottom w:val="single" w:sz="4" w:space="0" w:color="auto"/>
            </w:tcBorders>
            <w:shd w:val="clear" w:color="auto" w:fill="auto"/>
          </w:tcPr>
          <w:p>
            <w:pPr>
              <w:pStyle w:val="style0"/>
              <w:spacing w:before="0"/>
              <w:rPr>
                <w:sz w:val="20"/>
              </w:rPr>
            </w:pPr>
            <w:r>
              <w:rPr>
                <w:sz w:val="20"/>
              </w:rPr>
              <w:t>Ec</w:t>
            </w:r>
          </w:p>
        </w:tc>
        <w:tc>
          <w:tcPr>
            <w:tcW w:w="3161" w:type="dxa"/>
            <w:tcBorders>
              <w:bottom w:val="single" w:sz="4" w:space="0" w:color="auto"/>
            </w:tcBorders>
            <w:shd w:val="clear" w:color="auto" w:fill="auto"/>
          </w:tcPr>
          <w:p>
            <w:pPr>
              <w:pStyle w:val="style0"/>
              <w:spacing w:before="0"/>
              <w:rPr>
                <w:sz w:val="20"/>
              </w:rPr>
            </w:pPr>
            <w:r>
              <w:rPr>
                <w:sz w:val="20"/>
              </w:rPr>
              <w:t>Methamyl 250g/kg</w:t>
            </w:r>
          </w:p>
        </w:tc>
        <w:tc>
          <w:tcPr>
            <w:tcW w:w="2392" w:type="dxa"/>
            <w:tcBorders>
              <w:bottom w:val="single" w:sz="4" w:space="0" w:color="auto"/>
            </w:tcBorders>
            <w:shd w:val="clear" w:color="auto" w:fill="auto"/>
          </w:tcPr>
          <w:p>
            <w:pPr>
              <w:pStyle w:val="style0"/>
              <w:spacing w:before="0"/>
              <w:rPr>
                <w:sz w:val="20"/>
              </w:rPr>
            </w:pPr>
            <w:r>
              <w:rPr>
                <w:sz w:val="20"/>
              </w:rPr>
              <w:t>I</w:t>
            </w:r>
            <w:r>
              <w:rPr>
                <w:sz w:val="20"/>
              </w:rPr>
              <w:t>nsecticide</w:t>
            </w:r>
          </w:p>
        </w:tc>
        <w:tc>
          <w:tcPr>
            <w:tcW w:w="1965" w:type="dxa"/>
            <w:tcBorders>
              <w:bottom w:val="single" w:sz="4" w:space="0" w:color="auto"/>
            </w:tcBorders>
            <w:shd w:val="clear" w:color="auto" w:fill="auto"/>
          </w:tcPr>
          <w:p>
            <w:pPr>
              <w:pStyle w:val="style0"/>
              <w:spacing w:before="0"/>
              <w:rPr>
                <w:sz w:val="20"/>
              </w:rPr>
            </w:pPr>
            <w:r>
              <w:rPr>
                <w:sz w:val="20"/>
              </w:rPr>
              <w:t>Homologué</w:t>
            </w:r>
          </w:p>
        </w:tc>
        <w:tc>
          <w:tcPr>
            <w:tcW w:w="1119" w:type="dxa"/>
            <w:tcBorders>
              <w:bottom w:val="single" w:sz="4" w:space="0" w:color="auto"/>
            </w:tcBorders>
            <w:shd w:val="clear" w:color="auto" w:fill="auto"/>
          </w:tcPr>
          <w:p>
            <w:pPr>
              <w:pStyle w:val="style0"/>
              <w:spacing w:before="0"/>
              <w:rPr>
                <w:sz w:val="20"/>
              </w:rPr>
            </w:pPr>
            <w:r>
              <w:rPr>
                <w:sz w:val="20"/>
              </w:rPr>
              <w:t>2</w:t>
            </w:r>
          </w:p>
        </w:tc>
        <w:tc>
          <w:tcPr>
            <w:tcW w:w="1323" w:type="dxa"/>
            <w:tcBorders>
              <w:bottom w:val="single" w:sz="4" w:space="0" w:color="auto"/>
            </w:tcBorders>
            <w:shd w:val="clear" w:color="auto" w:fill="auto"/>
          </w:tcPr>
          <w:p>
            <w:pPr>
              <w:pStyle w:val="style0"/>
              <w:spacing w:before="0"/>
              <w:rPr>
                <w:sz w:val="20"/>
              </w:rPr>
            </w:pPr>
            <w:r>
              <w:rPr>
                <w:sz w:val="20"/>
              </w:rPr>
              <w:t>2019</w:t>
            </w:r>
          </w:p>
        </w:tc>
      </w:tr>
      <w:tr>
        <w:tblPrEx/>
        <w:trPr/>
        <w:tc>
          <w:tcPr>
            <w:tcW w:w="2293" w:type="dxa"/>
            <w:tcBorders/>
            <w:shd w:val="pct20" w:color="auto" w:fill="ff0000"/>
          </w:tcPr>
          <w:p>
            <w:pPr>
              <w:pStyle w:val="style0"/>
              <w:spacing w:before="0"/>
              <w:rPr>
                <w:sz w:val="20"/>
              </w:rPr>
            </w:pPr>
            <w:r>
              <w:rPr>
                <w:sz w:val="20"/>
              </w:rPr>
              <w:t>Bomec 18 EC</w:t>
            </w:r>
          </w:p>
        </w:tc>
        <w:tc>
          <w:tcPr>
            <w:tcW w:w="1350" w:type="dxa"/>
            <w:tcBorders/>
            <w:shd w:val="pct20" w:color="auto" w:fill="ff0000"/>
          </w:tcPr>
          <w:p>
            <w:pPr>
              <w:pStyle w:val="style0"/>
              <w:spacing w:before="0"/>
              <w:rPr>
                <w:sz w:val="20"/>
              </w:rPr>
            </w:pPr>
            <w:r>
              <w:rPr>
                <w:sz w:val="20"/>
              </w:rPr>
              <w:t>Ec</w:t>
            </w:r>
          </w:p>
        </w:tc>
        <w:tc>
          <w:tcPr>
            <w:tcW w:w="3161" w:type="dxa"/>
            <w:tcBorders/>
            <w:shd w:val="pct20" w:color="auto" w:fill="ff0000"/>
          </w:tcPr>
          <w:p>
            <w:pPr>
              <w:pStyle w:val="style0"/>
              <w:spacing w:before="0"/>
              <w:rPr>
                <w:sz w:val="20"/>
              </w:rPr>
            </w:pPr>
            <w:r>
              <w:rPr>
                <w:sz w:val="20"/>
              </w:rPr>
              <w:t>Abamectine 18g/l</w:t>
            </w:r>
          </w:p>
        </w:tc>
        <w:tc>
          <w:tcPr>
            <w:tcW w:w="2392" w:type="dxa"/>
            <w:tcBorders/>
            <w:shd w:val="pct20" w:color="auto" w:fill="ff0000"/>
          </w:tcPr>
          <w:p>
            <w:pPr>
              <w:pStyle w:val="style0"/>
              <w:spacing w:before="0"/>
              <w:rPr>
                <w:sz w:val="20"/>
              </w:rPr>
            </w:pPr>
            <w:r>
              <w:rPr>
                <w:sz w:val="20"/>
              </w:rPr>
              <w:t>Insecticide / acaricide</w:t>
            </w:r>
          </w:p>
        </w:tc>
        <w:tc>
          <w:tcPr>
            <w:tcW w:w="1965" w:type="dxa"/>
            <w:tcBorders/>
            <w:shd w:val="pct20" w:color="auto" w:fill="ff0000"/>
          </w:tcPr>
          <w:p>
            <w:pPr>
              <w:pStyle w:val="style0"/>
              <w:spacing w:before="0"/>
              <w:rPr>
                <w:sz w:val="20"/>
              </w:rPr>
            </w:pPr>
            <w:r>
              <w:rPr>
                <w:sz w:val="20"/>
              </w:rPr>
              <w:t>Homologué</w:t>
            </w:r>
          </w:p>
        </w:tc>
        <w:tc>
          <w:tcPr>
            <w:tcW w:w="1119" w:type="dxa"/>
            <w:tcBorders/>
            <w:shd w:val="pct20" w:color="auto" w:fill="ff0000"/>
          </w:tcPr>
          <w:p>
            <w:pPr>
              <w:pStyle w:val="style0"/>
              <w:spacing w:before="0"/>
              <w:rPr>
                <w:sz w:val="20"/>
              </w:rPr>
            </w:pPr>
            <w:r>
              <w:rPr>
                <w:sz w:val="20"/>
              </w:rPr>
              <w:t>2</w:t>
            </w:r>
          </w:p>
        </w:tc>
        <w:tc>
          <w:tcPr>
            <w:tcW w:w="1323" w:type="dxa"/>
            <w:tcBorders/>
            <w:shd w:val="pct20" w:color="auto" w:fill="ff0000"/>
          </w:tcPr>
          <w:p>
            <w:pPr>
              <w:pStyle w:val="style0"/>
              <w:spacing w:before="0"/>
              <w:rPr>
                <w:sz w:val="20"/>
              </w:rPr>
            </w:pPr>
            <w:r>
              <w:rPr>
                <w:sz w:val="20"/>
              </w:rPr>
              <w:t>2018</w:t>
            </w:r>
          </w:p>
        </w:tc>
      </w:tr>
      <w:tr>
        <w:tblPrEx/>
        <w:trPr/>
        <w:tc>
          <w:tcPr>
            <w:tcW w:w="2293" w:type="dxa"/>
            <w:tcBorders/>
            <w:shd w:val="clear" w:color="auto" w:fill="auto"/>
          </w:tcPr>
          <w:p>
            <w:pPr>
              <w:pStyle w:val="style0"/>
              <w:spacing w:before="0"/>
              <w:rPr>
                <w:sz w:val="20"/>
              </w:rPr>
            </w:pPr>
            <w:r>
              <w:rPr>
                <w:sz w:val="20"/>
              </w:rPr>
              <w:t xml:space="preserve">Samory </w:t>
            </w:r>
          </w:p>
        </w:tc>
        <w:tc>
          <w:tcPr>
            <w:tcW w:w="1350" w:type="dxa"/>
            <w:tcBorders/>
            <w:shd w:val="clear" w:color="auto" w:fill="auto"/>
          </w:tcPr>
          <w:p>
            <w:pPr>
              <w:pStyle w:val="style0"/>
              <w:spacing w:before="0"/>
              <w:rPr>
                <w:sz w:val="20"/>
              </w:rPr>
            </w:pPr>
            <w:r>
              <w:rPr>
                <w:sz w:val="20"/>
              </w:rPr>
              <w:t>Ec</w:t>
            </w:r>
          </w:p>
        </w:tc>
        <w:tc>
          <w:tcPr>
            <w:tcW w:w="3161" w:type="dxa"/>
            <w:tcBorders/>
            <w:shd w:val="clear" w:color="auto" w:fill="auto"/>
          </w:tcPr>
          <w:p>
            <w:pPr>
              <w:pStyle w:val="style0"/>
              <w:spacing w:before="0"/>
              <w:rPr>
                <w:sz w:val="20"/>
              </w:rPr>
            </w:pPr>
            <w:r>
              <w:rPr>
                <w:sz w:val="20"/>
              </w:rPr>
              <w:t>Bensulfuron-méthyl 100g/kg</w:t>
            </w:r>
          </w:p>
        </w:tc>
        <w:tc>
          <w:tcPr>
            <w:tcW w:w="2392" w:type="dxa"/>
            <w:tcBorders/>
            <w:shd w:val="clear" w:color="auto" w:fill="auto"/>
          </w:tcPr>
          <w:p>
            <w:pPr>
              <w:pStyle w:val="style0"/>
              <w:spacing w:before="0"/>
              <w:rPr>
                <w:sz w:val="20"/>
              </w:rPr>
            </w:pPr>
            <w:r>
              <w:rPr>
                <w:sz w:val="20"/>
              </w:rPr>
              <w:t xml:space="preserve">Herbicide </w:t>
            </w:r>
          </w:p>
        </w:tc>
        <w:tc>
          <w:tcPr>
            <w:tcW w:w="1965" w:type="dxa"/>
            <w:tcBorders/>
            <w:shd w:val="clear" w:color="auto" w:fill="auto"/>
          </w:tcPr>
          <w:p>
            <w:pPr>
              <w:pStyle w:val="style0"/>
              <w:spacing w:before="0"/>
              <w:rPr>
                <w:sz w:val="20"/>
              </w:rPr>
            </w:pPr>
            <w:r>
              <w:rPr>
                <w:sz w:val="20"/>
              </w:rPr>
              <w:t>Homologué</w:t>
            </w:r>
          </w:p>
        </w:tc>
        <w:tc>
          <w:tcPr>
            <w:tcW w:w="1119" w:type="dxa"/>
            <w:tcBorders/>
            <w:shd w:val="clear" w:color="auto" w:fill="auto"/>
          </w:tcPr>
          <w:p>
            <w:pPr>
              <w:pStyle w:val="style0"/>
              <w:spacing w:before="0"/>
              <w:rPr>
                <w:sz w:val="20"/>
              </w:rPr>
            </w:pPr>
            <w:r>
              <w:rPr>
                <w:sz w:val="20"/>
              </w:rPr>
              <w:t>3</w:t>
            </w:r>
          </w:p>
        </w:tc>
        <w:tc>
          <w:tcPr>
            <w:tcW w:w="1323" w:type="dxa"/>
            <w:tcBorders/>
            <w:shd w:val="clear" w:color="auto" w:fill="auto"/>
          </w:tcPr>
          <w:p>
            <w:pPr>
              <w:pStyle w:val="style0"/>
              <w:spacing w:before="0"/>
              <w:rPr>
                <w:sz w:val="20"/>
              </w:rPr>
            </w:pPr>
            <w:r>
              <w:rPr>
                <w:sz w:val="20"/>
              </w:rPr>
              <w:t>2020</w:t>
            </w:r>
          </w:p>
        </w:tc>
      </w:tr>
      <w:tr>
        <w:tblPrEx/>
        <w:trPr/>
        <w:tc>
          <w:tcPr>
            <w:tcW w:w="2293" w:type="dxa"/>
            <w:tcBorders/>
            <w:shd w:val="clear" w:color="auto" w:fill="auto"/>
          </w:tcPr>
          <w:p>
            <w:pPr>
              <w:pStyle w:val="style0"/>
              <w:spacing w:before="0"/>
              <w:rPr>
                <w:sz w:val="20"/>
              </w:rPr>
            </w:pPr>
            <w:r>
              <w:rPr>
                <w:sz w:val="20"/>
              </w:rPr>
              <w:t>Apron star 42 ws</w:t>
            </w:r>
          </w:p>
        </w:tc>
        <w:tc>
          <w:tcPr>
            <w:tcW w:w="1350" w:type="dxa"/>
            <w:tcBorders/>
            <w:shd w:val="clear" w:color="auto" w:fill="auto"/>
          </w:tcPr>
          <w:p>
            <w:pPr>
              <w:pStyle w:val="style0"/>
              <w:spacing w:before="0"/>
              <w:rPr>
                <w:sz w:val="20"/>
              </w:rPr>
            </w:pPr>
            <w:r>
              <w:rPr>
                <w:sz w:val="20"/>
              </w:rPr>
              <w:t>Poudrage</w:t>
            </w:r>
          </w:p>
        </w:tc>
        <w:tc>
          <w:tcPr>
            <w:tcW w:w="3161" w:type="dxa"/>
            <w:tcBorders/>
            <w:shd w:val="clear" w:color="auto" w:fill="auto"/>
          </w:tcPr>
          <w:p>
            <w:pPr>
              <w:pStyle w:val="style0"/>
              <w:spacing w:before="0"/>
              <w:rPr>
                <w:sz w:val="20"/>
                <w:lang w:val="en-US"/>
              </w:rPr>
            </w:pPr>
            <w:r>
              <w:rPr>
                <w:sz w:val="20"/>
                <w:lang w:val="en-US"/>
              </w:rPr>
              <w:t>Thiamethaxam 200g/kg</w:t>
            </w:r>
          </w:p>
          <w:p>
            <w:pPr>
              <w:pStyle w:val="style0"/>
              <w:spacing w:before="0"/>
              <w:rPr>
                <w:sz w:val="20"/>
                <w:lang w:val="en-US"/>
              </w:rPr>
            </w:pPr>
            <w:r>
              <w:rPr>
                <w:sz w:val="20"/>
                <w:lang w:val="en-US"/>
              </w:rPr>
              <w:t>Mefenoxam 200g/kg</w:t>
            </w:r>
          </w:p>
          <w:p>
            <w:pPr>
              <w:pStyle w:val="style0"/>
              <w:spacing w:before="0"/>
              <w:rPr>
                <w:sz w:val="20"/>
              </w:rPr>
            </w:pPr>
            <w:r>
              <w:rPr>
                <w:sz w:val="20"/>
              </w:rPr>
              <w:t>Difenoconazole 20g/kg</w:t>
            </w:r>
          </w:p>
        </w:tc>
        <w:tc>
          <w:tcPr>
            <w:tcW w:w="2392" w:type="dxa"/>
            <w:tcBorders/>
            <w:shd w:val="clear" w:color="auto" w:fill="auto"/>
          </w:tcPr>
          <w:p>
            <w:pPr>
              <w:pStyle w:val="style0"/>
              <w:spacing w:before="0"/>
              <w:rPr>
                <w:sz w:val="20"/>
              </w:rPr>
            </w:pPr>
            <w:r>
              <w:rPr>
                <w:sz w:val="20"/>
              </w:rPr>
              <w:t>Insecticide/fongicide</w:t>
            </w:r>
          </w:p>
        </w:tc>
        <w:tc>
          <w:tcPr>
            <w:tcW w:w="1965" w:type="dxa"/>
            <w:tcBorders/>
            <w:shd w:val="clear" w:color="auto" w:fill="auto"/>
          </w:tcPr>
          <w:p>
            <w:pPr>
              <w:pStyle w:val="style0"/>
              <w:spacing w:before="0"/>
              <w:rPr>
                <w:sz w:val="20"/>
              </w:rPr>
            </w:pPr>
            <w:r>
              <w:rPr>
                <w:sz w:val="20"/>
              </w:rPr>
              <w:t>Homologué</w:t>
            </w:r>
          </w:p>
        </w:tc>
        <w:tc>
          <w:tcPr>
            <w:tcW w:w="1119" w:type="dxa"/>
            <w:tcBorders/>
            <w:shd w:val="clear" w:color="auto" w:fill="auto"/>
          </w:tcPr>
          <w:p>
            <w:pPr>
              <w:pStyle w:val="style0"/>
              <w:spacing w:before="0"/>
              <w:rPr>
                <w:sz w:val="20"/>
              </w:rPr>
            </w:pPr>
            <w:r>
              <w:rPr>
                <w:sz w:val="20"/>
              </w:rPr>
              <w:t>3</w:t>
            </w:r>
          </w:p>
        </w:tc>
        <w:tc>
          <w:tcPr>
            <w:tcW w:w="1323" w:type="dxa"/>
            <w:tcBorders/>
            <w:shd w:val="clear" w:color="auto" w:fill="auto"/>
          </w:tcPr>
          <w:p>
            <w:pPr>
              <w:pStyle w:val="style0"/>
              <w:spacing w:before="0"/>
              <w:rPr>
                <w:sz w:val="20"/>
              </w:rPr>
            </w:pPr>
            <w:r>
              <w:rPr>
                <w:sz w:val="20"/>
              </w:rPr>
              <w:t>2020</w:t>
            </w:r>
          </w:p>
        </w:tc>
      </w:tr>
      <w:tr>
        <w:tblPrEx/>
        <w:trPr/>
        <w:tc>
          <w:tcPr>
            <w:tcW w:w="2293" w:type="dxa"/>
            <w:tcBorders/>
            <w:shd w:val="clear" w:color="auto" w:fill="auto"/>
          </w:tcPr>
          <w:p>
            <w:pPr>
              <w:pStyle w:val="style0"/>
              <w:spacing w:before="0"/>
              <w:rPr>
                <w:sz w:val="20"/>
              </w:rPr>
            </w:pPr>
            <w:r>
              <w:rPr>
                <w:sz w:val="20"/>
              </w:rPr>
              <w:t>Biok 16</w:t>
            </w:r>
          </w:p>
        </w:tc>
        <w:tc>
          <w:tcPr>
            <w:tcW w:w="1350" w:type="dxa"/>
            <w:tcBorders/>
            <w:shd w:val="clear" w:color="auto" w:fill="auto"/>
          </w:tcPr>
          <w:p>
            <w:pPr>
              <w:pStyle w:val="style0"/>
              <w:spacing w:before="0"/>
              <w:rPr>
                <w:sz w:val="20"/>
              </w:rPr>
            </w:pPr>
            <w:r>
              <w:rPr>
                <w:sz w:val="20"/>
              </w:rPr>
              <w:t>EC</w:t>
            </w:r>
          </w:p>
        </w:tc>
        <w:tc>
          <w:tcPr>
            <w:tcW w:w="3161" w:type="dxa"/>
            <w:tcBorders/>
            <w:shd w:val="clear" w:color="auto" w:fill="auto"/>
          </w:tcPr>
          <w:p>
            <w:pPr>
              <w:pStyle w:val="style0"/>
              <w:spacing w:before="0"/>
              <w:rPr>
                <w:sz w:val="20"/>
              </w:rPr>
            </w:pPr>
            <w:r>
              <w:rPr>
                <w:sz w:val="16"/>
              </w:rPr>
              <w:t>Bacillus thuringensis 16000 UI/mg</w:t>
            </w:r>
          </w:p>
        </w:tc>
        <w:tc>
          <w:tcPr>
            <w:tcW w:w="2392" w:type="dxa"/>
            <w:tcBorders/>
            <w:shd w:val="clear" w:color="auto" w:fill="auto"/>
          </w:tcPr>
          <w:p>
            <w:pPr>
              <w:pStyle w:val="style0"/>
              <w:spacing w:before="0"/>
              <w:rPr>
                <w:sz w:val="20"/>
              </w:rPr>
            </w:pPr>
            <w:r>
              <w:rPr>
                <w:sz w:val="20"/>
              </w:rPr>
              <w:t>Insecticide Biologique</w:t>
            </w:r>
          </w:p>
        </w:tc>
        <w:tc>
          <w:tcPr>
            <w:tcW w:w="1965" w:type="dxa"/>
            <w:tcBorders/>
            <w:shd w:val="clear" w:color="auto" w:fill="auto"/>
          </w:tcPr>
          <w:p>
            <w:pPr>
              <w:pStyle w:val="style0"/>
              <w:spacing w:before="0"/>
              <w:rPr>
                <w:sz w:val="20"/>
              </w:rPr>
            </w:pPr>
            <w:r>
              <w:rPr>
                <w:sz w:val="20"/>
              </w:rPr>
              <w:t>Homologué</w:t>
            </w:r>
          </w:p>
        </w:tc>
        <w:tc>
          <w:tcPr>
            <w:tcW w:w="1119" w:type="dxa"/>
            <w:tcBorders/>
            <w:shd w:val="clear" w:color="auto" w:fill="auto"/>
          </w:tcPr>
          <w:p>
            <w:pPr>
              <w:pStyle w:val="style0"/>
              <w:spacing w:before="0"/>
              <w:rPr>
                <w:sz w:val="20"/>
              </w:rPr>
            </w:pPr>
            <w:r>
              <w:rPr>
                <w:sz w:val="20"/>
              </w:rPr>
              <w:t>2</w:t>
            </w:r>
          </w:p>
        </w:tc>
        <w:tc>
          <w:tcPr>
            <w:tcW w:w="1323" w:type="dxa"/>
            <w:tcBorders/>
            <w:shd w:val="clear" w:color="auto" w:fill="auto"/>
          </w:tcPr>
          <w:p>
            <w:pPr>
              <w:pStyle w:val="style0"/>
              <w:spacing w:before="0"/>
              <w:rPr>
                <w:sz w:val="20"/>
              </w:rPr>
            </w:pPr>
            <w:r>
              <w:rPr>
                <w:sz w:val="20"/>
              </w:rPr>
              <w:t>2018</w:t>
            </w:r>
          </w:p>
        </w:tc>
      </w:tr>
      <w:tr>
        <w:tblPrEx/>
        <w:trPr/>
        <w:tc>
          <w:tcPr>
            <w:tcW w:w="2293" w:type="dxa"/>
            <w:tcBorders/>
            <w:shd w:val="clear" w:color="auto" w:fill="auto"/>
          </w:tcPr>
          <w:p>
            <w:pPr>
              <w:pStyle w:val="style0"/>
              <w:spacing w:before="0"/>
              <w:rPr>
                <w:sz w:val="20"/>
              </w:rPr>
            </w:pPr>
            <w:r>
              <w:rPr>
                <w:sz w:val="20"/>
              </w:rPr>
              <w:t>Ema super 56 DC</w:t>
            </w:r>
          </w:p>
        </w:tc>
        <w:tc>
          <w:tcPr>
            <w:tcW w:w="1350" w:type="dxa"/>
            <w:tcBorders/>
            <w:shd w:val="clear" w:color="auto" w:fill="auto"/>
          </w:tcPr>
          <w:p>
            <w:pPr>
              <w:pStyle w:val="style0"/>
              <w:spacing w:before="0"/>
              <w:rPr>
                <w:sz w:val="20"/>
              </w:rPr>
            </w:pPr>
            <w:r>
              <w:rPr>
                <w:sz w:val="20"/>
              </w:rPr>
              <w:t xml:space="preserve">Ec </w:t>
            </w:r>
          </w:p>
        </w:tc>
        <w:tc>
          <w:tcPr>
            <w:tcW w:w="3161" w:type="dxa"/>
            <w:tcBorders/>
            <w:shd w:val="clear" w:color="auto" w:fill="auto"/>
          </w:tcPr>
          <w:p>
            <w:pPr>
              <w:pStyle w:val="style0"/>
              <w:spacing w:before="0"/>
              <w:rPr>
                <w:sz w:val="20"/>
                <w:lang w:val="en-GB"/>
              </w:rPr>
            </w:pPr>
            <w:r>
              <w:rPr>
                <w:sz w:val="20"/>
                <w:lang w:val="en-GB"/>
              </w:rPr>
              <w:t>Emamectine benzoate 24g/l</w:t>
            </w:r>
          </w:p>
          <w:p>
            <w:pPr>
              <w:pStyle w:val="style0"/>
              <w:spacing w:before="0"/>
              <w:rPr>
                <w:sz w:val="20"/>
                <w:lang w:val="en-GB"/>
              </w:rPr>
            </w:pPr>
            <w:r>
              <w:rPr>
                <w:sz w:val="20"/>
                <w:lang w:val="en-GB"/>
              </w:rPr>
              <w:t>Acétamipride 32g/l</w:t>
            </w:r>
          </w:p>
        </w:tc>
        <w:tc>
          <w:tcPr>
            <w:tcW w:w="2392" w:type="dxa"/>
            <w:tcBorders/>
            <w:shd w:val="clear" w:color="auto" w:fill="auto"/>
          </w:tcPr>
          <w:p>
            <w:pPr>
              <w:pStyle w:val="style0"/>
              <w:spacing w:before="0"/>
              <w:rPr>
                <w:sz w:val="20"/>
              </w:rPr>
            </w:pPr>
            <w:r>
              <w:rPr>
                <w:sz w:val="20"/>
              </w:rPr>
              <w:t>Insecticide</w:t>
            </w:r>
          </w:p>
        </w:tc>
        <w:tc>
          <w:tcPr>
            <w:tcW w:w="1965" w:type="dxa"/>
            <w:tcBorders/>
            <w:shd w:val="clear" w:color="auto" w:fill="auto"/>
          </w:tcPr>
          <w:p>
            <w:pPr>
              <w:pStyle w:val="style0"/>
              <w:spacing w:before="0"/>
              <w:rPr>
                <w:sz w:val="20"/>
              </w:rPr>
            </w:pPr>
            <w:r>
              <w:rPr>
                <w:sz w:val="20"/>
              </w:rPr>
              <w:t>Homologué</w:t>
            </w:r>
          </w:p>
        </w:tc>
        <w:tc>
          <w:tcPr>
            <w:tcW w:w="1119" w:type="dxa"/>
            <w:tcBorders/>
            <w:shd w:val="clear" w:color="auto" w:fill="auto"/>
          </w:tcPr>
          <w:p>
            <w:pPr>
              <w:pStyle w:val="style0"/>
              <w:spacing w:before="0"/>
              <w:rPr>
                <w:sz w:val="20"/>
              </w:rPr>
            </w:pPr>
            <w:r>
              <w:rPr>
                <w:sz w:val="20"/>
              </w:rPr>
              <w:t>2</w:t>
            </w:r>
          </w:p>
        </w:tc>
        <w:tc>
          <w:tcPr>
            <w:tcW w:w="1323" w:type="dxa"/>
            <w:tcBorders/>
            <w:shd w:val="clear" w:color="auto" w:fill="auto"/>
          </w:tcPr>
          <w:p>
            <w:pPr>
              <w:pStyle w:val="style0"/>
              <w:spacing w:before="0"/>
              <w:rPr>
                <w:sz w:val="20"/>
              </w:rPr>
            </w:pPr>
            <w:r>
              <w:rPr>
                <w:sz w:val="20"/>
              </w:rPr>
              <w:t>2017</w:t>
            </w:r>
          </w:p>
        </w:tc>
      </w:tr>
      <w:tr>
        <w:tblPrEx/>
        <w:trPr/>
        <w:tc>
          <w:tcPr>
            <w:tcW w:w="2293" w:type="dxa"/>
            <w:tcBorders>
              <w:bottom w:val="single" w:sz="4" w:space="0" w:color="auto"/>
            </w:tcBorders>
            <w:shd w:val="clear" w:color="auto" w:fill="auto"/>
          </w:tcPr>
          <w:p>
            <w:pPr>
              <w:pStyle w:val="style0"/>
              <w:spacing w:before="0"/>
              <w:rPr>
                <w:sz w:val="20"/>
              </w:rPr>
            </w:pPr>
            <w:r>
              <w:rPr>
                <w:sz w:val="20"/>
              </w:rPr>
              <w:t>Emacot 019g/l</w:t>
            </w:r>
          </w:p>
        </w:tc>
        <w:tc>
          <w:tcPr>
            <w:tcW w:w="1350" w:type="dxa"/>
            <w:tcBorders>
              <w:bottom w:val="single" w:sz="4" w:space="0" w:color="auto"/>
            </w:tcBorders>
            <w:shd w:val="clear" w:color="auto" w:fill="auto"/>
          </w:tcPr>
          <w:p>
            <w:pPr>
              <w:pStyle w:val="style0"/>
              <w:spacing w:before="0"/>
              <w:rPr>
                <w:sz w:val="20"/>
              </w:rPr>
            </w:pPr>
            <w:r>
              <w:rPr>
                <w:sz w:val="20"/>
              </w:rPr>
              <w:t>EC</w:t>
            </w:r>
          </w:p>
        </w:tc>
        <w:tc>
          <w:tcPr>
            <w:tcW w:w="3161" w:type="dxa"/>
            <w:tcBorders>
              <w:bottom w:val="single" w:sz="4" w:space="0" w:color="auto"/>
            </w:tcBorders>
            <w:shd w:val="clear" w:color="auto" w:fill="auto"/>
          </w:tcPr>
          <w:p>
            <w:pPr>
              <w:pStyle w:val="style0"/>
              <w:spacing w:before="0"/>
              <w:rPr>
                <w:sz w:val="20"/>
              </w:rPr>
            </w:pPr>
            <w:r>
              <w:rPr>
                <w:sz w:val="20"/>
              </w:rPr>
              <w:t>Emamectine benzoate 19g/l</w:t>
            </w:r>
          </w:p>
        </w:tc>
        <w:tc>
          <w:tcPr>
            <w:tcW w:w="2392" w:type="dxa"/>
            <w:tcBorders>
              <w:bottom w:val="single" w:sz="4" w:space="0" w:color="auto"/>
            </w:tcBorders>
            <w:shd w:val="clear" w:color="auto" w:fill="auto"/>
          </w:tcPr>
          <w:p>
            <w:pPr>
              <w:pStyle w:val="style0"/>
              <w:spacing w:before="0"/>
              <w:rPr>
                <w:sz w:val="20"/>
              </w:rPr>
            </w:pPr>
            <w:r>
              <w:rPr>
                <w:sz w:val="20"/>
              </w:rPr>
              <w:t>Insecticide</w:t>
            </w:r>
          </w:p>
        </w:tc>
        <w:tc>
          <w:tcPr>
            <w:tcW w:w="1965" w:type="dxa"/>
            <w:tcBorders>
              <w:bottom w:val="single" w:sz="4" w:space="0" w:color="auto"/>
            </w:tcBorders>
            <w:shd w:val="clear" w:color="auto" w:fill="auto"/>
          </w:tcPr>
          <w:p>
            <w:pPr>
              <w:pStyle w:val="style0"/>
              <w:spacing w:before="0"/>
              <w:rPr>
                <w:sz w:val="20"/>
              </w:rPr>
            </w:pPr>
            <w:r>
              <w:rPr>
                <w:sz w:val="20"/>
              </w:rPr>
              <w:t>Homologué</w:t>
            </w:r>
          </w:p>
        </w:tc>
        <w:tc>
          <w:tcPr>
            <w:tcW w:w="1119" w:type="dxa"/>
            <w:tcBorders>
              <w:bottom w:val="single" w:sz="4" w:space="0" w:color="auto"/>
            </w:tcBorders>
            <w:shd w:val="clear" w:color="auto" w:fill="auto"/>
          </w:tcPr>
          <w:p>
            <w:pPr>
              <w:pStyle w:val="style0"/>
              <w:spacing w:before="0"/>
              <w:rPr>
                <w:sz w:val="20"/>
              </w:rPr>
            </w:pPr>
            <w:r>
              <w:rPr>
                <w:sz w:val="20"/>
              </w:rPr>
              <w:t>2</w:t>
            </w:r>
          </w:p>
        </w:tc>
        <w:tc>
          <w:tcPr>
            <w:tcW w:w="1323" w:type="dxa"/>
            <w:tcBorders>
              <w:bottom w:val="single" w:sz="4" w:space="0" w:color="auto"/>
            </w:tcBorders>
            <w:shd w:val="clear" w:color="auto" w:fill="auto"/>
          </w:tcPr>
          <w:p>
            <w:pPr>
              <w:pStyle w:val="style0"/>
              <w:spacing w:before="0"/>
              <w:rPr>
                <w:sz w:val="20"/>
              </w:rPr>
            </w:pPr>
            <w:r>
              <w:rPr>
                <w:sz w:val="20"/>
              </w:rPr>
              <w:t>2021</w:t>
            </w:r>
          </w:p>
        </w:tc>
      </w:tr>
      <w:tr>
        <w:tblPrEx/>
        <w:trPr/>
        <w:tc>
          <w:tcPr>
            <w:tcW w:w="2293" w:type="dxa"/>
            <w:tcBorders/>
            <w:shd w:val="pct20" w:color="auto" w:fill="ff0000"/>
          </w:tcPr>
          <w:p>
            <w:pPr>
              <w:pStyle w:val="style0"/>
              <w:spacing w:before="0"/>
              <w:rPr>
                <w:sz w:val="20"/>
              </w:rPr>
            </w:pPr>
            <w:r>
              <w:rPr>
                <w:sz w:val="20"/>
              </w:rPr>
              <w:t>Duel 186 EC</w:t>
            </w:r>
          </w:p>
        </w:tc>
        <w:tc>
          <w:tcPr>
            <w:tcW w:w="1350" w:type="dxa"/>
            <w:tcBorders/>
            <w:shd w:val="pct20" w:color="auto" w:fill="ff0000"/>
          </w:tcPr>
          <w:p>
            <w:pPr>
              <w:pStyle w:val="style0"/>
              <w:spacing w:before="0"/>
              <w:rPr>
                <w:sz w:val="20"/>
              </w:rPr>
            </w:pPr>
            <w:r>
              <w:rPr>
                <w:sz w:val="20"/>
              </w:rPr>
              <w:t>EC</w:t>
            </w:r>
          </w:p>
        </w:tc>
        <w:tc>
          <w:tcPr>
            <w:tcW w:w="3161" w:type="dxa"/>
            <w:tcBorders/>
            <w:shd w:val="pct20" w:color="auto" w:fill="ff0000"/>
          </w:tcPr>
          <w:p>
            <w:pPr>
              <w:pStyle w:val="style0"/>
              <w:spacing w:before="0"/>
              <w:rPr>
                <w:sz w:val="20"/>
              </w:rPr>
            </w:pPr>
            <w:r>
              <w:rPr>
                <w:sz w:val="20"/>
              </w:rPr>
              <w:t>Profénofos 150g/l +</w:t>
            </w:r>
          </w:p>
          <w:p>
            <w:pPr>
              <w:pStyle w:val="style0"/>
              <w:spacing w:before="0"/>
              <w:rPr>
                <w:sz w:val="20"/>
              </w:rPr>
            </w:pPr>
            <w:r>
              <w:rPr>
                <w:sz w:val="20"/>
              </w:rPr>
              <w:t>Cyperméthrine 36g/l</w:t>
            </w:r>
          </w:p>
        </w:tc>
        <w:tc>
          <w:tcPr>
            <w:tcW w:w="2392" w:type="dxa"/>
            <w:tcBorders/>
            <w:shd w:val="pct20" w:color="auto" w:fill="ff0000"/>
          </w:tcPr>
          <w:p>
            <w:pPr>
              <w:pStyle w:val="style0"/>
              <w:spacing w:before="0"/>
              <w:rPr>
                <w:sz w:val="20"/>
              </w:rPr>
            </w:pPr>
            <w:r>
              <w:rPr>
                <w:sz w:val="20"/>
              </w:rPr>
              <w:t xml:space="preserve">Insecticide </w:t>
            </w:r>
          </w:p>
        </w:tc>
        <w:tc>
          <w:tcPr>
            <w:tcW w:w="1965" w:type="dxa"/>
            <w:tcBorders/>
            <w:shd w:val="pct20" w:color="auto" w:fill="ff0000"/>
          </w:tcPr>
          <w:p>
            <w:pPr>
              <w:pStyle w:val="style0"/>
              <w:spacing w:before="0"/>
              <w:rPr>
                <w:sz w:val="20"/>
              </w:rPr>
            </w:pPr>
            <w:r>
              <w:rPr>
                <w:sz w:val="20"/>
              </w:rPr>
              <w:t>Non Homologué</w:t>
            </w:r>
          </w:p>
        </w:tc>
        <w:tc>
          <w:tcPr>
            <w:tcW w:w="1119" w:type="dxa"/>
            <w:tcBorders/>
            <w:shd w:val="pct20" w:color="auto" w:fill="ff0000"/>
          </w:tcPr>
          <w:p>
            <w:pPr>
              <w:pStyle w:val="style0"/>
              <w:spacing w:before="0"/>
              <w:rPr>
                <w:sz w:val="20"/>
              </w:rPr>
            </w:pPr>
          </w:p>
        </w:tc>
        <w:tc>
          <w:tcPr>
            <w:tcW w:w="1323" w:type="dxa"/>
            <w:tcBorders/>
            <w:shd w:val="pct20" w:color="auto" w:fill="ff0000"/>
          </w:tcPr>
          <w:p>
            <w:pPr>
              <w:pStyle w:val="style0"/>
              <w:spacing w:before="0"/>
              <w:rPr>
                <w:sz w:val="20"/>
              </w:rPr>
            </w:pPr>
          </w:p>
        </w:tc>
      </w:tr>
      <w:tr>
        <w:tblPrEx/>
        <w:trPr/>
        <w:tc>
          <w:tcPr>
            <w:tcW w:w="2293" w:type="dxa"/>
            <w:tcBorders/>
            <w:shd w:val="clear" w:color="auto" w:fill="auto"/>
          </w:tcPr>
          <w:p>
            <w:pPr>
              <w:pStyle w:val="style0"/>
              <w:spacing w:before="0"/>
              <w:rPr>
                <w:sz w:val="20"/>
              </w:rPr>
            </w:pPr>
            <w:r>
              <w:rPr>
                <w:sz w:val="20"/>
              </w:rPr>
              <w:t>Cypercal 50 EC</w:t>
            </w:r>
          </w:p>
        </w:tc>
        <w:tc>
          <w:tcPr>
            <w:tcW w:w="1350" w:type="dxa"/>
            <w:tcBorders/>
            <w:shd w:val="clear" w:color="auto" w:fill="auto"/>
          </w:tcPr>
          <w:p>
            <w:pPr>
              <w:pStyle w:val="style0"/>
              <w:spacing w:before="0"/>
              <w:rPr>
                <w:sz w:val="20"/>
              </w:rPr>
            </w:pPr>
            <w:r>
              <w:rPr>
                <w:sz w:val="20"/>
              </w:rPr>
              <w:t>EC</w:t>
            </w:r>
          </w:p>
        </w:tc>
        <w:tc>
          <w:tcPr>
            <w:tcW w:w="3161" w:type="dxa"/>
            <w:tcBorders/>
            <w:shd w:val="clear" w:color="auto" w:fill="auto"/>
          </w:tcPr>
          <w:p>
            <w:pPr>
              <w:pStyle w:val="style0"/>
              <w:spacing w:before="0"/>
              <w:rPr>
                <w:sz w:val="20"/>
              </w:rPr>
            </w:pPr>
            <w:r>
              <w:rPr>
                <w:sz w:val="20"/>
              </w:rPr>
              <w:t>Cypermethrine 50g/l</w:t>
            </w:r>
          </w:p>
        </w:tc>
        <w:tc>
          <w:tcPr>
            <w:tcW w:w="2392" w:type="dxa"/>
            <w:tcBorders/>
            <w:shd w:val="clear" w:color="auto" w:fill="auto"/>
          </w:tcPr>
          <w:p>
            <w:pPr>
              <w:pStyle w:val="style0"/>
              <w:spacing w:before="0"/>
              <w:rPr>
                <w:sz w:val="20"/>
              </w:rPr>
            </w:pPr>
            <w:r>
              <w:rPr>
                <w:sz w:val="20"/>
              </w:rPr>
              <w:t>I</w:t>
            </w:r>
            <w:r>
              <w:rPr>
                <w:sz w:val="20"/>
              </w:rPr>
              <w:t>nsecticide</w:t>
            </w:r>
          </w:p>
        </w:tc>
        <w:tc>
          <w:tcPr>
            <w:tcW w:w="1965" w:type="dxa"/>
            <w:tcBorders/>
            <w:shd w:val="clear" w:color="auto" w:fill="auto"/>
          </w:tcPr>
          <w:p>
            <w:pPr>
              <w:pStyle w:val="style0"/>
              <w:spacing w:before="0"/>
              <w:rPr>
                <w:sz w:val="20"/>
              </w:rPr>
            </w:pPr>
            <w:r>
              <w:rPr>
                <w:sz w:val="20"/>
              </w:rPr>
              <w:t xml:space="preserve">Homologué </w:t>
            </w:r>
          </w:p>
        </w:tc>
        <w:tc>
          <w:tcPr>
            <w:tcW w:w="1119" w:type="dxa"/>
            <w:tcBorders/>
            <w:shd w:val="clear" w:color="auto" w:fill="auto"/>
          </w:tcPr>
          <w:p>
            <w:pPr>
              <w:pStyle w:val="style0"/>
              <w:spacing w:before="0"/>
              <w:rPr>
                <w:sz w:val="20"/>
              </w:rPr>
            </w:pPr>
            <w:r>
              <w:rPr>
                <w:sz w:val="20"/>
              </w:rPr>
              <w:t>3</w:t>
            </w:r>
          </w:p>
        </w:tc>
        <w:tc>
          <w:tcPr>
            <w:tcW w:w="1323" w:type="dxa"/>
            <w:tcBorders/>
            <w:shd w:val="clear" w:color="auto" w:fill="auto"/>
          </w:tcPr>
          <w:p>
            <w:pPr>
              <w:pStyle w:val="style0"/>
              <w:spacing w:before="0"/>
              <w:rPr>
                <w:sz w:val="20"/>
              </w:rPr>
            </w:pPr>
            <w:r>
              <w:rPr>
                <w:sz w:val="20"/>
              </w:rPr>
              <w:t>2020</w:t>
            </w:r>
          </w:p>
        </w:tc>
      </w:tr>
      <w:tr>
        <w:tblPrEx/>
        <w:trPr/>
        <w:tc>
          <w:tcPr>
            <w:tcW w:w="2293" w:type="dxa"/>
            <w:tcBorders/>
            <w:shd w:val="clear" w:color="auto" w:fill="auto"/>
          </w:tcPr>
          <w:p>
            <w:pPr>
              <w:pStyle w:val="style0"/>
              <w:spacing w:before="0"/>
              <w:rPr>
                <w:sz w:val="20"/>
              </w:rPr>
            </w:pPr>
            <w:r>
              <w:rPr>
                <w:sz w:val="20"/>
              </w:rPr>
              <w:t>Caiman rouge</w:t>
            </w:r>
          </w:p>
        </w:tc>
        <w:tc>
          <w:tcPr>
            <w:tcW w:w="1350" w:type="dxa"/>
            <w:tcBorders/>
            <w:shd w:val="clear" w:color="auto" w:fill="auto"/>
          </w:tcPr>
          <w:p>
            <w:pPr>
              <w:pStyle w:val="style0"/>
              <w:spacing w:before="0"/>
              <w:rPr>
                <w:sz w:val="20"/>
              </w:rPr>
            </w:pPr>
            <w:r>
              <w:rPr>
                <w:sz w:val="20"/>
              </w:rPr>
              <w:t>Poudrage</w:t>
            </w:r>
          </w:p>
        </w:tc>
        <w:tc>
          <w:tcPr>
            <w:tcW w:w="3161" w:type="dxa"/>
            <w:tcBorders/>
            <w:shd w:val="clear" w:color="auto" w:fill="auto"/>
          </w:tcPr>
          <w:p>
            <w:pPr>
              <w:pStyle w:val="style0"/>
              <w:spacing w:before="0"/>
              <w:rPr>
                <w:sz w:val="20"/>
                <w:lang w:val="en-GB"/>
              </w:rPr>
            </w:pPr>
            <w:r>
              <w:rPr>
                <w:sz w:val="20"/>
                <w:lang w:val="en-GB"/>
              </w:rPr>
              <w:t>Pemethrine 25g/kg</w:t>
            </w:r>
          </w:p>
          <w:p>
            <w:pPr>
              <w:pStyle w:val="style0"/>
              <w:spacing w:before="0"/>
              <w:rPr>
                <w:sz w:val="20"/>
                <w:lang w:val="en-GB"/>
              </w:rPr>
            </w:pPr>
            <w:r>
              <w:rPr>
                <w:sz w:val="20"/>
                <w:lang w:val="en-GB"/>
              </w:rPr>
              <w:t>Thirame 250g/kg</w:t>
            </w:r>
          </w:p>
        </w:tc>
        <w:tc>
          <w:tcPr>
            <w:tcW w:w="2392" w:type="dxa"/>
            <w:tcBorders/>
            <w:shd w:val="clear" w:color="auto" w:fill="auto"/>
          </w:tcPr>
          <w:p>
            <w:pPr>
              <w:pStyle w:val="style0"/>
              <w:spacing w:before="0"/>
              <w:rPr>
                <w:sz w:val="20"/>
              </w:rPr>
            </w:pPr>
            <w:r>
              <w:rPr>
                <w:sz w:val="20"/>
              </w:rPr>
              <w:t>Insecticide fongicide</w:t>
            </w:r>
          </w:p>
        </w:tc>
        <w:tc>
          <w:tcPr>
            <w:tcW w:w="1965" w:type="dxa"/>
            <w:tcBorders/>
            <w:shd w:val="clear" w:color="auto" w:fill="auto"/>
          </w:tcPr>
          <w:p>
            <w:pPr>
              <w:pStyle w:val="style0"/>
              <w:spacing w:before="0"/>
              <w:rPr>
                <w:sz w:val="20"/>
              </w:rPr>
            </w:pPr>
            <w:r>
              <w:rPr>
                <w:sz w:val="20"/>
              </w:rPr>
              <w:t>Homologué</w:t>
            </w:r>
          </w:p>
        </w:tc>
        <w:tc>
          <w:tcPr>
            <w:tcW w:w="1119" w:type="dxa"/>
            <w:tcBorders/>
            <w:shd w:val="clear" w:color="auto" w:fill="auto"/>
          </w:tcPr>
          <w:p>
            <w:pPr>
              <w:pStyle w:val="style0"/>
              <w:spacing w:before="0"/>
              <w:rPr>
                <w:sz w:val="20"/>
              </w:rPr>
            </w:pPr>
            <w:r>
              <w:rPr>
                <w:sz w:val="20"/>
              </w:rPr>
              <w:t>2</w:t>
            </w:r>
          </w:p>
        </w:tc>
        <w:tc>
          <w:tcPr>
            <w:tcW w:w="1323" w:type="dxa"/>
            <w:tcBorders/>
            <w:shd w:val="clear" w:color="auto" w:fill="auto"/>
          </w:tcPr>
          <w:p>
            <w:pPr>
              <w:pStyle w:val="style0"/>
              <w:spacing w:before="0"/>
              <w:rPr>
                <w:sz w:val="20"/>
              </w:rPr>
            </w:pPr>
            <w:r>
              <w:rPr>
                <w:sz w:val="20"/>
              </w:rPr>
              <w:t>2021</w:t>
            </w:r>
          </w:p>
        </w:tc>
      </w:tr>
    </w:tbl>
    <w:p>
      <w:pPr>
        <w:pStyle w:val="style0"/>
        <w:spacing w:before="0"/>
        <w:rPr>
          <w:b/>
          <w:sz w:val="20"/>
          <w:szCs w:val="23"/>
        </w:rPr>
      </w:pPr>
      <w:r>
        <w:rPr>
          <w:b/>
          <w:sz w:val="20"/>
          <w:szCs w:val="23"/>
        </w:rPr>
        <w:t>Source : Données de l’étude</w:t>
      </w:r>
      <w:r>
        <w:rPr>
          <w:b/>
          <w:sz w:val="20"/>
          <w:szCs w:val="23"/>
        </w:rPr>
        <w:t>, Janvier 2019</w:t>
      </w:r>
    </w:p>
    <w:p>
      <w:pPr>
        <w:pStyle w:val="style0"/>
        <w:rPr>
          <w:sz w:val="20"/>
          <w:szCs w:val="23"/>
        </w:rPr>
      </w:pPr>
    </w:p>
    <w:p>
      <w:pPr>
        <w:pStyle w:val="style0"/>
        <w:tabs>
          <w:tab w:val="left" w:leader="none" w:pos="843"/>
        </w:tabs>
        <w:rPr>
          <w:sz w:val="23"/>
          <w:szCs w:val="23"/>
        </w:rPr>
        <w:sectPr>
          <w:footerReference w:type="default" r:id="rId32"/>
          <w:pgSz w:w="16838" w:h="11906" w:orient="landscape"/>
          <w:pgMar w:top="1417" w:right="1417" w:bottom="1417" w:left="1417" w:header="708" w:footer="708" w:gutter="0"/>
          <w:pgBorders w:zOrder="front" w:display="allPages" w:offsetFrom="page">
            <w:top w:val="single" w:sz="4" w:space="24" w:color="ffffff"/>
          </w:pgBorders>
          <w:cols w:space="708"/>
          <w:docGrid w:linePitch="360"/>
        </w:sectPr>
      </w:pPr>
      <w:r>
        <w:rPr>
          <w:sz w:val="20"/>
          <w:szCs w:val="23"/>
        </w:rPr>
        <w:tab/>
      </w:r>
    </w:p>
    <w:p>
      <w:pPr>
        <w:pStyle w:val="style4"/>
        <w:numPr>
          <w:ilvl w:val="2"/>
          <w:numId w:val="21"/>
        </w:numPr>
        <w:rPr/>
      </w:pPr>
      <w:r>
        <w:t xml:space="preserve">La gestion des emballages vides </w:t>
      </w:r>
    </w:p>
    <w:p>
      <w:pPr>
        <w:pStyle w:val="style0"/>
        <w:rPr/>
      </w:pPr>
      <w:r>
        <w:t>Les emballages des pesticides vides sont le plus souvent</w:t>
      </w:r>
      <w:r>
        <w:t>,</w:t>
      </w:r>
      <w:r>
        <w:t xml:space="preserve"> rassemblés et brûlés par la suite. Certains sont abandonnés dans les champs et sans étiquettes </w:t>
      </w:r>
      <w:r>
        <w:t xml:space="preserve">comme l’ont indiqué des études </w:t>
      </w:r>
      <w:r>
        <w:t>antérieures</w:t>
      </w:r>
      <w:r>
        <w:t xml:space="preserve"> (PTAAO, 2018). </w:t>
      </w:r>
      <w:r>
        <w:t>Les producteurs ont affirmé ne pas utiliser</w:t>
      </w:r>
      <w:r>
        <w:t xml:space="preserve"> </w:t>
      </w:r>
      <w:r>
        <w:t>les emballages vides</w:t>
      </w:r>
      <w:r>
        <w:t xml:space="preserve">. </w:t>
      </w:r>
      <w:r>
        <w:t xml:space="preserve">Cependant, </w:t>
      </w:r>
      <w:r>
        <w:t xml:space="preserve">des études antérieurs (PTAAO, 2018 ; PARRIS, 2016) ont clairement indiqué que la plupart </w:t>
      </w:r>
      <w:r>
        <w:t>d</w:t>
      </w:r>
      <w:r>
        <w:t xml:space="preserve">es emballages vides sont réutilisés par les producteurs. De plus, </w:t>
      </w:r>
      <w:r>
        <w:t xml:space="preserve">certains responsables de services techniques, soutiennent que certains les réutilisent quotidiennement soit pour la consommation d’eau, soit pour la conservation de denrées alimentaires. </w:t>
      </w:r>
    </w:p>
    <w:bookmarkStart w:id="268" w:name="_Toc2831206"/>
    <w:p>
      <w:pPr>
        <w:pStyle w:val="style2"/>
        <w:numPr>
          <w:ilvl w:val="1"/>
          <w:numId w:val="21"/>
        </w:numPr>
        <w:rPr>
          <w:bCs/>
        </w:rPr>
      </w:pPr>
      <w:r>
        <w:t>Évaluation de l’efficacité des traitements</w:t>
      </w:r>
      <w:bookmarkEnd w:id="268"/>
    </w:p>
    <w:p>
      <w:pPr>
        <w:pStyle w:val="style0"/>
        <w:rPr/>
      </w:pPr>
      <w:r>
        <w:rPr>
          <w:rFonts w:eastAsia="SimSun"/>
          <w:lang w:eastAsia="zh-CN"/>
        </w:rPr>
        <w:t xml:space="preserve">Pour une gestion sécurisée des pesticides, notamment dans le domaine de l’application des pesticides, la DPVC a mis en place </w:t>
      </w:r>
      <w:r>
        <w:rPr>
          <w:rFonts w:eastAsia="SimSun"/>
          <w:lang w:eastAsia="zh-CN"/>
        </w:rPr>
        <w:t xml:space="preserve">sur l’ensemble du territoire des cliniques de plantes au niveau des communes. Ces cliniques ont à leur sein des brigadiers phytosanitaires, formés pour l’application des pesticides. </w:t>
      </w:r>
      <w:r>
        <w:rPr>
          <w:rFonts w:eastAsia="SimSun"/>
          <w:lang w:eastAsia="zh-CN"/>
        </w:rPr>
        <w:t xml:space="preserve">Force est de constater cependant, que </w:t>
      </w:r>
      <w:r>
        <w:t>l</w:t>
      </w:r>
      <w:r>
        <w:t>a plupart de ces derniers le font sans équipement de protection adéquat</w:t>
      </w:r>
      <w:r>
        <w:t xml:space="preserve">. Parmi les producteurs </w:t>
      </w:r>
      <w:r>
        <w:t>eux-mêmes</w:t>
      </w:r>
      <w:r>
        <w:t xml:space="preserve">, </w:t>
      </w:r>
      <w:r>
        <w:t>les hommes aussi bien que les femmes s’adonnent à cette activité</w:t>
      </w:r>
      <w:r>
        <w:t xml:space="preserve">, sans formation pour la plupart. </w:t>
      </w:r>
    </w:p>
    <w:p>
      <w:pPr>
        <w:pStyle w:val="style0"/>
        <w:rPr/>
      </w:pPr>
      <w:r>
        <w:t xml:space="preserve">L’enquête terrain a </w:t>
      </w:r>
      <w:r>
        <w:t>révélé</w:t>
      </w:r>
      <w:r>
        <w:t xml:space="preserve"> que </w:t>
      </w:r>
      <w:r>
        <w:t>plusieurs producteurs ne savent ni identifier les parasites en cause, ni les types de maladies et encore moins le traitement adéquat</w:t>
      </w:r>
      <w:r>
        <w:t xml:space="preserve"> lors des attaques. Aussi, dans plusieurs cas, les traitements ne sont</w:t>
      </w:r>
      <w:r>
        <w:t>-ils</w:t>
      </w:r>
      <w:r>
        <w:t xml:space="preserve"> pas appropriés, et peuvent ainsi être efficace</w:t>
      </w:r>
      <w:r>
        <w:t>s</w:t>
      </w:r>
      <w:r>
        <w:t xml:space="preserve">. </w:t>
      </w:r>
      <w:r>
        <w:t xml:space="preserve">Les directions régionales et provinciales de l’agriculture </w:t>
      </w:r>
      <w:r>
        <w:t>sont</w:t>
      </w:r>
      <w:r>
        <w:t xml:space="preserve"> </w:t>
      </w:r>
      <w:r>
        <w:t>dispo</w:t>
      </w:r>
      <w:r>
        <w:t xml:space="preserve">sées </w:t>
      </w:r>
      <w:r>
        <w:t>à appuyer les producteurs à travers les mécanismes mis en place. Il est à noter cependant dans certains cas un manque de personnel, mais à tous les niveaux, un manque criard de logistique et de moyens financiers freinant ainsi l’accomplissement de leur mission. Aussi, le P</w:t>
      </w:r>
      <w:r>
        <w:t>DCA</w:t>
      </w:r>
      <w:r>
        <w:t xml:space="preserve"> pourrait</w:t>
      </w:r>
      <w:r>
        <w:t>-il</w:t>
      </w:r>
      <w:r>
        <w:t xml:space="preserve"> appuyer ces structures</w:t>
      </w:r>
      <w:r>
        <w:t>, à travers la DPVC</w:t>
      </w:r>
      <w:r>
        <w:t xml:space="preserve">. </w:t>
      </w:r>
    </w:p>
    <w:p>
      <w:pPr>
        <w:pStyle w:val="style0"/>
        <w:rPr/>
      </w:pPr>
      <w:r>
        <w:t>Les traitements phytosanitaires réalisés par les producteurs eux-mêmes dans l’ensemble ne peuvent être efficaces pour les raisons suivantes :</w:t>
      </w:r>
    </w:p>
    <w:p>
      <w:pPr>
        <w:pStyle w:val="style0"/>
        <w:numPr>
          <w:ilvl w:val="0"/>
          <w:numId w:val="49"/>
        </w:numPr>
        <w:spacing w:lineRule="auto" w:line="276"/>
        <w:rPr>
          <w:szCs w:val="23"/>
        </w:rPr>
      </w:pPr>
      <w:r>
        <w:rPr>
          <w:szCs w:val="23"/>
        </w:rPr>
        <w:t>les ennemis des cultures sont très mal connus des producteurs;</w:t>
      </w:r>
    </w:p>
    <w:p>
      <w:pPr>
        <w:pStyle w:val="style0"/>
        <w:numPr>
          <w:ilvl w:val="0"/>
          <w:numId w:val="49"/>
        </w:numPr>
        <w:spacing w:lineRule="auto" w:line="276"/>
        <w:rPr>
          <w:szCs w:val="23"/>
        </w:rPr>
      </w:pPr>
      <w:r>
        <w:rPr>
          <w:szCs w:val="23"/>
        </w:rPr>
        <w:t xml:space="preserve">les produits utilisés ne sont pas </w:t>
      </w:r>
      <w:r>
        <w:rPr>
          <w:szCs w:val="23"/>
        </w:rPr>
        <w:t xml:space="preserve">tous </w:t>
      </w:r>
      <w:r>
        <w:rPr>
          <w:szCs w:val="23"/>
        </w:rPr>
        <w:t>homologués, ni conservés dans un bon état ;</w:t>
      </w:r>
    </w:p>
    <w:p>
      <w:pPr>
        <w:pStyle w:val="style0"/>
        <w:numPr>
          <w:ilvl w:val="0"/>
          <w:numId w:val="49"/>
        </w:numPr>
        <w:spacing w:lineRule="auto" w:line="276"/>
        <w:rPr>
          <w:szCs w:val="23"/>
        </w:rPr>
      </w:pPr>
      <w:r>
        <w:rPr>
          <w:szCs w:val="23"/>
        </w:rPr>
        <w:t>le dosage du produit se fait de façon très imprécise ;</w:t>
      </w:r>
    </w:p>
    <w:p>
      <w:pPr>
        <w:pStyle w:val="style0"/>
        <w:numPr>
          <w:ilvl w:val="0"/>
          <w:numId w:val="49"/>
        </w:numPr>
        <w:spacing w:lineRule="auto" w:line="276"/>
        <w:rPr>
          <w:szCs w:val="23"/>
        </w:rPr>
      </w:pPr>
      <w:r>
        <w:rPr>
          <w:szCs w:val="23"/>
        </w:rPr>
        <w:t>la quantité de bouillie/unité de surface n’est pas connue ou n’est pas respectée par certains ;</w:t>
      </w:r>
    </w:p>
    <w:p>
      <w:pPr>
        <w:pStyle w:val="style0"/>
        <w:numPr>
          <w:ilvl w:val="0"/>
          <w:numId w:val="49"/>
        </w:numPr>
        <w:spacing w:lineRule="auto" w:line="276"/>
        <w:rPr>
          <w:szCs w:val="23"/>
        </w:rPr>
      </w:pPr>
      <w:r>
        <w:rPr>
          <w:szCs w:val="23"/>
        </w:rPr>
        <w:t>les pulvérisateurs sont souvent de mauvaise qualité et le débit à la buse ne semble pas présenter une importance aux yeux des producteurs.</w:t>
      </w:r>
    </w:p>
    <w:bookmarkStart w:id="269" w:name="_Toc2831207"/>
    <w:p>
      <w:pPr>
        <w:pStyle w:val="style2"/>
        <w:numPr>
          <w:ilvl w:val="1"/>
          <w:numId w:val="21"/>
        </w:numPr>
        <w:rPr>
          <w:bCs/>
        </w:rPr>
      </w:pPr>
      <w:r>
        <w:rPr>
          <w:rStyle w:val="style4186"/>
          <w:rFonts w:ascii="Times New Roman" w:eastAsia="MS Mincho" w:hAnsi="Times New Roman"/>
          <w:b/>
          <w:bCs w:val="false"/>
          <w:sz w:val="23"/>
          <w:szCs w:val="23"/>
        </w:rPr>
        <w:t>Evaluation des risques liés à l’utilisation des pesticides et à la gestion des pestes</w:t>
      </w:r>
      <w:bookmarkEnd w:id="269"/>
    </w:p>
    <w:p>
      <w:pPr>
        <w:pStyle w:val="style0"/>
        <w:rPr>
          <w:lang w:eastAsia="fr-FR"/>
        </w:rPr>
      </w:pPr>
      <w:r>
        <w:rPr>
          <w:sz w:val="23"/>
          <w:szCs w:val="23"/>
        </w:rPr>
        <w:t>Selon COLE</w:t>
      </w:r>
      <w:r>
        <w:rPr>
          <w:sz w:val="23"/>
          <w:szCs w:val="23"/>
        </w:rPr>
        <w:t xml:space="preserve">ACP (2015), </w:t>
      </w:r>
      <w:r>
        <w:rPr>
          <w:lang w:eastAsia="fr-FR"/>
        </w:rPr>
        <w:t>e</w:t>
      </w:r>
      <w:r>
        <w:rPr>
          <w:lang w:eastAsia="fr-FR"/>
        </w:rPr>
        <w:t>n plus des dangers évidents présentés par les conditions du lieu de travail ou par la</w:t>
      </w:r>
      <w:r>
        <w:rPr>
          <w:lang w:eastAsia="fr-FR"/>
        </w:rPr>
        <w:t xml:space="preserve"> </w:t>
      </w:r>
      <w:r>
        <w:rPr>
          <w:lang w:eastAsia="fr-FR"/>
        </w:rPr>
        <w:t>manière dont le travail est effectué, il faut tenir compte d'un éventail de « facteurs</w:t>
      </w:r>
      <w:r>
        <w:rPr>
          <w:lang w:eastAsia="fr-FR"/>
        </w:rPr>
        <w:t xml:space="preserve"> </w:t>
      </w:r>
      <w:r>
        <w:rPr>
          <w:lang w:eastAsia="fr-FR"/>
        </w:rPr>
        <w:t>humains »</w:t>
      </w:r>
      <w:r>
        <w:rPr>
          <w:lang w:eastAsia="fr-FR"/>
        </w:rPr>
        <w:t>.</w:t>
      </w:r>
    </w:p>
    <w:p>
      <w:pPr>
        <w:pStyle w:val="style0"/>
        <w:rPr>
          <w:lang w:eastAsia="fr-FR"/>
        </w:rPr>
      </w:pPr>
      <w:r>
        <w:rPr>
          <w:lang w:eastAsia="fr-FR"/>
        </w:rPr>
        <w:t>Par exemple :</w:t>
      </w:r>
    </w:p>
    <w:p>
      <w:pPr>
        <w:pStyle w:val="style179"/>
        <w:numPr>
          <w:ilvl w:val="0"/>
          <w:numId w:val="11"/>
        </w:numPr>
        <w:spacing w:before="0"/>
        <w:ind w:left="357" w:hanging="357"/>
        <w:rPr>
          <w:lang w:eastAsia="fr-FR"/>
        </w:rPr>
      </w:pPr>
      <w:r>
        <w:rPr>
          <w:lang w:eastAsia="fr-FR"/>
        </w:rPr>
        <w:t>Les travailleurs possèdent-ils le niveau requis de</w:t>
      </w:r>
      <w:r>
        <w:rPr>
          <w:lang w:eastAsia="fr-FR"/>
        </w:rPr>
        <w:t xml:space="preserve"> </w:t>
      </w:r>
      <w:r>
        <w:rPr>
          <w:lang w:eastAsia="fr-FR"/>
        </w:rPr>
        <w:t>formation et toutes le</w:t>
      </w:r>
      <w:r>
        <w:rPr>
          <w:lang w:eastAsia="fr-FR"/>
        </w:rPr>
        <w:t xml:space="preserve">s compétences </w:t>
      </w:r>
      <w:r>
        <w:rPr>
          <w:lang w:eastAsia="fr-FR"/>
        </w:rPr>
        <w:t>pour</w:t>
      </w:r>
      <w:r>
        <w:rPr>
          <w:lang w:eastAsia="fr-FR"/>
        </w:rPr>
        <w:t xml:space="preserve"> </w:t>
      </w:r>
      <w:r>
        <w:rPr>
          <w:lang w:eastAsia="fr-FR"/>
        </w:rPr>
        <w:t>exécuter la tâche en toute sécurité ?</w:t>
      </w:r>
      <w:r>
        <w:rPr>
          <w:lang w:eastAsia="fr-FR"/>
        </w:rPr>
        <w:t xml:space="preserve"> </w:t>
      </w:r>
      <w:r>
        <w:rPr>
          <w:lang w:eastAsia="fr-FR"/>
        </w:rPr>
        <w:t>(compétences réellement « opérationnelles » ?)</w:t>
      </w:r>
    </w:p>
    <w:p>
      <w:pPr>
        <w:pStyle w:val="style179"/>
        <w:numPr>
          <w:ilvl w:val="0"/>
          <w:numId w:val="11"/>
        </w:numPr>
        <w:spacing w:before="0"/>
        <w:ind w:left="357" w:hanging="357"/>
        <w:rPr>
          <w:lang w:eastAsia="fr-FR"/>
        </w:rPr>
      </w:pPr>
      <w:r>
        <w:rPr>
          <w:lang w:eastAsia="fr-FR"/>
        </w:rPr>
        <w:t>Des informations adéquates sur les dangers et les</w:t>
      </w:r>
      <w:r>
        <w:rPr>
          <w:lang w:eastAsia="fr-FR"/>
        </w:rPr>
        <w:t xml:space="preserve"> </w:t>
      </w:r>
      <w:r>
        <w:rPr>
          <w:lang w:eastAsia="fr-FR"/>
        </w:rPr>
        <w:t>risques sont-elles communiquées aux</w:t>
      </w:r>
      <w:r>
        <w:rPr>
          <w:lang w:eastAsia="fr-FR"/>
        </w:rPr>
        <w:t xml:space="preserve"> </w:t>
      </w:r>
      <w:r>
        <w:rPr>
          <w:lang w:eastAsia="fr-FR"/>
        </w:rPr>
        <w:t>travailleurs ? (sensibilisation, formation, affichage)</w:t>
      </w:r>
    </w:p>
    <w:p>
      <w:pPr>
        <w:pStyle w:val="style179"/>
        <w:numPr>
          <w:ilvl w:val="0"/>
          <w:numId w:val="11"/>
        </w:numPr>
        <w:spacing w:before="0"/>
        <w:ind w:left="357" w:hanging="357"/>
        <w:rPr>
          <w:lang w:eastAsia="fr-FR"/>
        </w:rPr>
      </w:pPr>
      <w:r>
        <w:rPr>
          <w:lang w:eastAsia="fr-FR"/>
        </w:rPr>
        <w:t>Les travailleurs sont-ils soumis à un grand stress</w:t>
      </w:r>
      <w:r>
        <w:rPr>
          <w:lang w:eastAsia="fr-FR"/>
        </w:rPr>
        <w:t xml:space="preserve"> </w:t>
      </w:r>
      <w:r>
        <w:rPr>
          <w:lang w:eastAsia="fr-FR"/>
        </w:rPr>
        <w:t>lié au travail ? (travailler dans l’urgence = ne plus</w:t>
      </w:r>
      <w:r>
        <w:rPr>
          <w:lang w:eastAsia="fr-FR"/>
        </w:rPr>
        <w:t xml:space="preserve"> </w:t>
      </w:r>
      <w:r>
        <w:rPr>
          <w:lang w:eastAsia="fr-FR"/>
        </w:rPr>
        <w:t>respecter les consignes de sécurité)</w:t>
      </w:r>
    </w:p>
    <w:p>
      <w:pPr>
        <w:pStyle w:val="style179"/>
        <w:numPr>
          <w:ilvl w:val="0"/>
          <w:numId w:val="11"/>
        </w:numPr>
        <w:spacing w:before="0"/>
        <w:ind w:left="357" w:hanging="357"/>
        <w:rPr>
          <w:lang w:eastAsia="fr-FR"/>
        </w:rPr>
      </w:pPr>
      <w:r>
        <w:rPr>
          <w:lang w:eastAsia="fr-FR"/>
        </w:rPr>
        <w:t>Les niveaux d’instruction de personnel sont-ils</w:t>
      </w:r>
      <w:r>
        <w:rPr>
          <w:lang w:eastAsia="fr-FR"/>
        </w:rPr>
        <w:t xml:space="preserve"> </w:t>
      </w:r>
      <w:r>
        <w:rPr>
          <w:lang w:eastAsia="fr-FR"/>
        </w:rPr>
        <w:t>adéquats pour la charge de travail ?</w:t>
      </w:r>
      <w:r>
        <w:rPr>
          <w:lang w:eastAsia="fr-FR"/>
        </w:rPr>
        <w:t xml:space="preserve"> </w:t>
      </w:r>
      <w:r>
        <w:rPr>
          <w:lang w:eastAsia="fr-FR"/>
        </w:rPr>
        <w:t>(compréhension des consignes par le</w:t>
      </w:r>
      <w:r>
        <w:rPr>
          <w:lang w:eastAsia="fr-FR"/>
        </w:rPr>
        <w:t xml:space="preserve"> </w:t>
      </w:r>
      <w:r>
        <w:rPr>
          <w:lang w:eastAsia="fr-FR"/>
        </w:rPr>
        <w:t>personnel ?)</w:t>
      </w:r>
    </w:p>
    <w:p>
      <w:pPr>
        <w:pStyle w:val="style179"/>
        <w:numPr>
          <w:ilvl w:val="0"/>
          <w:numId w:val="11"/>
        </w:numPr>
        <w:spacing w:before="0"/>
        <w:ind w:left="357" w:hanging="357"/>
        <w:rPr>
          <w:lang w:eastAsia="fr-FR"/>
        </w:rPr>
      </w:pPr>
      <w:r>
        <w:rPr>
          <w:lang w:eastAsia="fr-FR"/>
        </w:rPr>
        <w:t>Les travailleurs jugent-ils inutiles de porter des</w:t>
      </w:r>
      <w:r>
        <w:rPr>
          <w:lang w:eastAsia="fr-FR"/>
        </w:rPr>
        <w:t xml:space="preserve"> </w:t>
      </w:r>
      <w:r>
        <w:rPr>
          <w:lang w:eastAsia="fr-FR"/>
        </w:rPr>
        <w:t>équipements de sécurité, même s’ils sont mis</w:t>
      </w:r>
      <w:r>
        <w:rPr>
          <w:lang w:eastAsia="fr-FR"/>
        </w:rPr>
        <w:t xml:space="preserve"> </w:t>
      </w:r>
      <w:r>
        <w:rPr>
          <w:lang w:eastAsia="fr-FR"/>
        </w:rPr>
        <w:t>gracieusement à leur disposition (motivation</w:t>
      </w:r>
      <w:r>
        <w:rPr>
          <w:lang w:eastAsia="fr-FR"/>
        </w:rPr>
        <w:t xml:space="preserve"> </w:t>
      </w:r>
      <w:r>
        <w:rPr>
          <w:lang w:eastAsia="fr-FR"/>
        </w:rPr>
        <w:t>insuffisante ?)</w:t>
      </w:r>
    </w:p>
    <w:p>
      <w:pPr>
        <w:pStyle w:val="style179"/>
        <w:numPr>
          <w:ilvl w:val="0"/>
          <w:numId w:val="11"/>
        </w:numPr>
        <w:spacing w:before="0"/>
        <w:ind w:left="357" w:hanging="357"/>
        <w:rPr>
          <w:lang w:eastAsia="fr-FR"/>
        </w:rPr>
      </w:pPr>
      <w:r>
        <w:rPr>
          <w:lang w:eastAsia="fr-FR"/>
        </w:rPr>
        <w:t>Certains travailleurs souffrent-ils de fatigue ?</w:t>
      </w:r>
      <w:r>
        <w:rPr>
          <w:lang w:eastAsia="fr-FR"/>
        </w:rPr>
        <w:t xml:space="preserve"> </w:t>
      </w:r>
      <w:r>
        <w:rPr>
          <w:lang w:eastAsia="fr-FR"/>
        </w:rPr>
        <w:t>(</w:t>
      </w:r>
      <w:r>
        <w:rPr>
          <w:lang w:eastAsia="fr-FR"/>
        </w:rPr>
        <w:t xml:space="preserve">accroissement </w:t>
      </w:r>
      <w:r>
        <w:rPr>
          <w:lang w:eastAsia="fr-FR"/>
        </w:rPr>
        <w:t>du risque d'accidents en relation</w:t>
      </w:r>
      <w:r>
        <w:rPr>
          <w:lang w:eastAsia="fr-FR"/>
        </w:rPr>
        <w:t xml:space="preserve"> </w:t>
      </w:r>
      <w:r>
        <w:rPr>
          <w:lang w:eastAsia="fr-FR"/>
        </w:rPr>
        <w:t>avec la pénibilité et/ou la durée du travail)</w:t>
      </w:r>
    </w:p>
    <w:p>
      <w:pPr>
        <w:pStyle w:val="style179"/>
        <w:numPr>
          <w:ilvl w:val="0"/>
          <w:numId w:val="11"/>
        </w:numPr>
        <w:spacing w:before="0"/>
        <w:ind w:left="357" w:hanging="357"/>
        <w:rPr>
          <w:lang w:eastAsia="fr-FR"/>
        </w:rPr>
      </w:pPr>
      <w:r>
        <w:rPr>
          <w:lang w:eastAsia="fr-FR"/>
        </w:rPr>
        <w:t>Certaines des tâches sont-elles très répétitives ?</w:t>
      </w:r>
      <w:r>
        <w:rPr>
          <w:lang w:eastAsia="fr-FR"/>
        </w:rPr>
        <w:t xml:space="preserve"> </w:t>
      </w:r>
      <w:r>
        <w:rPr>
          <w:lang w:eastAsia="fr-FR"/>
        </w:rPr>
        <w:t>(possibilité de perte de concentration)</w:t>
      </w:r>
    </w:p>
    <w:p>
      <w:pPr>
        <w:pStyle w:val="style179"/>
        <w:numPr>
          <w:ilvl w:val="0"/>
          <w:numId w:val="11"/>
        </w:numPr>
        <w:spacing w:before="0"/>
        <w:ind w:left="357" w:hanging="357"/>
        <w:rPr>
          <w:lang w:eastAsia="fr-FR"/>
        </w:rPr>
      </w:pPr>
      <w:r>
        <w:rPr>
          <w:lang w:eastAsia="fr-FR"/>
        </w:rPr>
        <w:t>Le changement organisationnel suscite-t-il</w:t>
      </w:r>
      <w:r>
        <w:rPr>
          <w:lang w:eastAsia="fr-FR"/>
        </w:rPr>
        <w:t xml:space="preserve"> </w:t>
      </w:r>
      <w:r>
        <w:rPr>
          <w:lang w:eastAsia="fr-FR"/>
        </w:rPr>
        <w:t>certaines</w:t>
      </w:r>
    </w:p>
    <w:p>
      <w:pPr>
        <w:pStyle w:val="style0"/>
        <w:rPr/>
      </w:pPr>
    </w:p>
    <w:p>
      <w:pPr>
        <w:pStyle w:val="style0"/>
        <w:rPr/>
      </w:pPr>
      <w:r>
        <w:t>De ces indicateurs, il ressort à priori, un très grand risque pour les producteurs applicateurs, l’environnement, les consommateurs. En effet, la plupart des producteurs applicateurs de pesticides n’ont pas de formation, ne respecte</w:t>
      </w:r>
      <w:r>
        <w:t>nt</w:t>
      </w:r>
      <w:r>
        <w:t xml:space="preserve"> pas le port d’équipements de protection individuel</w:t>
      </w:r>
      <w:r>
        <w:t>le</w:t>
      </w:r>
      <w:r>
        <w:t xml:space="preserve"> (EPI), n’ont pas d’information</w:t>
      </w:r>
      <w:r>
        <w:t>s</w:t>
      </w:r>
      <w:r>
        <w:t xml:space="preserve"> adéquate</w:t>
      </w:r>
      <w:r>
        <w:t>s</w:t>
      </w:r>
      <w:r>
        <w:t xml:space="preserve"> sur les dangers des produits …</w:t>
      </w:r>
    </w:p>
    <w:p>
      <w:pPr>
        <w:pStyle w:val="style0"/>
        <w:rPr/>
      </w:pPr>
      <w:r>
        <w:t>Dans l’optique d’identifier les risques potentiels</w:t>
      </w:r>
      <w:r>
        <w:t xml:space="preserve"> du PDCA</w:t>
      </w:r>
      <w:r>
        <w:t xml:space="preserve"> </w:t>
      </w:r>
      <w:r>
        <w:t xml:space="preserve">liés à l’utilisation des pesticides et à la gestion des pestes </w:t>
      </w:r>
      <w:r>
        <w:t xml:space="preserve">sur le plan environnemental et sanitaire de l’intervention du </w:t>
      </w:r>
      <w:r>
        <w:t>programme</w:t>
      </w:r>
      <w:r>
        <w:t>, nous avons utilisé l’Analyse Préliminaire du Risque (APR) pour évaluer le danger.</w:t>
      </w:r>
    </w:p>
    <w:p>
      <w:pPr>
        <w:pStyle w:val="style0"/>
        <w:spacing w:before="0"/>
        <w:rPr/>
      </w:pPr>
      <w:r>
        <w:t>L’APR est décrite en trois étapes :</w:t>
      </w:r>
    </w:p>
    <w:p>
      <w:pPr>
        <w:pStyle w:val="style179"/>
        <w:numPr>
          <w:ilvl w:val="0"/>
          <w:numId w:val="113"/>
        </w:numPr>
        <w:spacing w:before="0"/>
        <w:rPr/>
      </w:pPr>
      <w:r>
        <w:t>Première étape : La description des événements et leurs probabilités d’occurrences</w:t>
      </w:r>
      <w:r>
        <w:t> ;</w:t>
      </w:r>
    </w:p>
    <w:p>
      <w:pPr>
        <w:pStyle w:val="style179"/>
        <w:numPr>
          <w:ilvl w:val="0"/>
          <w:numId w:val="113"/>
        </w:numPr>
        <w:spacing w:before="0"/>
        <w:rPr/>
      </w:pPr>
      <w:r>
        <w:t>D</w:t>
      </w:r>
      <w:r>
        <w:t xml:space="preserve">euxième </w:t>
      </w:r>
      <w:r>
        <w:t>étape</w:t>
      </w:r>
      <w:r>
        <w:t> : Elle</w:t>
      </w:r>
      <w:r>
        <w:t xml:space="preserve"> consiste à évaluer les conséquences dommageables de l’événement concerné au moyen de la classification suivante</w:t>
      </w:r>
      <w:r>
        <w:t> ;</w:t>
      </w:r>
    </w:p>
    <w:p>
      <w:pPr>
        <w:pStyle w:val="style179"/>
        <w:numPr>
          <w:ilvl w:val="0"/>
          <w:numId w:val="113"/>
        </w:numPr>
        <w:spacing w:before="0"/>
        <w:rPr/>
      </w:pPr>
      <w:r>
        <w:t>T</w:t>
      </w:r>
      <w:r>
        <w:t xml:space="preserve">roisième </w:t>
      </w:r>
      <w:r>
        <w:t>étape</w:t>
      </w:r>
      <w:r>
        <w:t> : Elle</w:t>
      </w:r>
      <w:r>
        <w:t xml:space="preserve"> consiste à croiser la probabilité et la gravité</w:t>
      </w:r>
      <w:r>
        <w:t>.</w:t>
      </w:r>
      <w:r>
        <w:t xml:space="preserve"> </w:t>
      </w:r>
    </w:p>
    <w:p>
      <w:pPr>
        <w:pStyle w:val="style0"/>
        <w:spacing w:lineRule="auto" w:line="276"/>
        <w:rPr>
          <w:sz w:val="20"/>
          <w:szCs w:val="20"/>
        </w:rPr>
      </w:pPr>
    </w:p>
    <w:bookmarkStart w:id="270" w:name="_Toc260221"/>
    <w:p>
      <w:pPr>
        <w:pStyle w:val="style0"/>
        <w:spacing w:lineRule="auto" w:line="276"/>
        <w:rPr>
          <w:b/>
          <w:sz w:val="23"/>
          <w:szCs w:val="23"/>
        </w:rPr>
      </w:pPr>
      <w:r>
        <w:rPr>
          <w:sz w:val="20"/>
          <w:szCs w:val="20"/>
        </w:rPr>
        <w:t xml:space="preserve">Tableau </w:t>
      </w:r>
      <w:r>
        <w:rPr>
          <w:sz w:val="20"/>
          <w:szCs w:val="20"/>
        </w:rPr>
        <w:fldChar w:fldCharType="begin"/>
      </w:r>
      <w:r>
        <w:rPr>
          <w:sz w:val="20"/>
          <w:szCs w:val="20"/>
        </w:rPr>
        <w:instrText xml:space="preserve"> </w:instrText>
      </w:r>
      <w:r>
        <w:rPr>
          <w:sz w:val="20"/>
          <w:szCs w:val="20"/>
        </w:rPr>
        <w:instrText>SEQ</w:instrText>
      </w:r>
      <w:r>
        <w:rPr>
          <w:sz w:val="20"/>
          <w:szCs w:val="20"/>
        </w:rPr>
        <w:instrText xml:space="preserve"> Tableau \* ARABIC </w:instrText>
      </w:r>
      <w:r>
        <w:rPr>
          <w:sz w:val="20"/>
          <w:szCs w:val="20"/>
        </w:rPr>
        <w:fldChar w:fldCharType="separate"/>
      </w:r>
      <w:r>
        <w:rPr>
          <w:noProof/>
          <w:sz w:val="20"/>
          <w:szCs w:val="20"/>
        </w:rPr>
        <w:t>14</w:t>
      </w:r>
      <w:r>
        <w:rPr>
          <w:sz w:val="20"/>
          <w:szCs w:val="20"/>
        </w:rPr>
        <w:fldChar w:fldCharType="end"/>
      </w:r>
      <w:r>
        <w:rPr>
          <w:rFonts w:eastAsia="Calibri"/>
          <w:i/>
          <w:iCs/>
          <w:color w:val="1f497d"/>
          <w:sz w:val="20"/>
          <w:szCs w:val="20"/>
        </w:rPr>
        <w:t> :</w:t>
      </w:r>
      <w:r>
        <w:rPr>
          <w:rFonts w:eastAsia="Calibri"/>
          <w:i/>
          <w:iCs/>
          <w:color w:val="1f497d"/>
          <w:sz w:val="20"/>
          <w:szCs w:val="20"/>
        </w:rPr>
        <w:t xml:space="preserve"> Définition des niveaux de dommage ou de gravité des dommage</w:t>
      </w:r>
      <w:r>
        <w:rPr>
          <w:rFonts w:eastAsia="Calibri"/>
          <w:i/>
          <w:iCs/>
          <w:color w:val="1f497d"/>
          <w:sz w:val="20"/>
          <w:szCs w:val="20"/>
        </w:rPr>
        <w:t>s</w:t>
      </w:r>
      <w:r>
        <w:rPr>
          <w:rFonts w:eastAsia="Calibri"/>
          <w:i/>
          <w:iCs/>
          <w:color w:val="1f497d"/>
          <w:sz w:val="20"/>
          <w:szCs w:val="20"/>
        </w:rPr>
        <w:t xml:space="preserve"> de l’APR</w:t>
      </w:r>
      <w:bookmarkEnd w:id="270"/>
      <w:r>
        <w:rPr>
          <w:rFonts w:eastAsia="Calibri"/>
          <w:i/>
          <w:iCs/>
          <w:color w:val="1f497d"/>
          <w:sz w:val="20"/>
          <w:szCs w:val="20"/>
        </w:rPr>
        <w:t xml:space="preserve"> </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00"/>
        <w:gridCol w:w="6402"/>
      </w:tblGrid>
      <w:tr>
        <w:trPr/>
        <w:tc>
          <w:tcPr>
            <w:tcW w:w="1560" w:type="dxa"/>
            <w:tcBorders/>
            <w:shd w:val="clear" w:color="auto" w:fill="d9d9d9"/>
            <w:vAlign w:val="center"/>
          </w:tcPr>
          <w:p>
            <w:pPr>
              <w:pStyle w:val="style179"/>
              <w:tabs>
                <w:tab w:val="left" w:leader="none" w:pos="5610"/>
              </w:tabs>
              <w:spacing w:lineRule="auto" w:line="276"/>
              <w:ind w:left="0"/>
              <w:jc w:val="left"/>
              <w:rPr>
                <w:b/>
                <w:sz w:val="23"/>
                <w:szCs w:val="23"/>
              </w:rPr>
            </w:pPr>
            <w:r>
              <w:rPr>
                <w:b/>
                <w:sz w:val="23"/>
                <w:szCs w:val="23"/>
              </w:rPr>
              <w:t>Niveaux</w:t>
            </w:r>
          </w:p>
        </w:tc>
        <w:tc>
          <w:tcPr>
            <w:tcW w:w="1100" w:type="dxa"/>
            <w:tcBorders/>
            <w:shd w:val="clear" w:color="auto" w:fill="d9d9d9"/>
            <w:vAlign w:val="center"/>
          </w:tcPr>
          <w:p>
            <w:pPr>
              <w:pStyle w:val="style179"/>
              <w:tabs>
                <w:tab w:val="left" w:leader="none" w:pos="5610"/>
              </w:tabs>
              <w:spacing w:lineRule="auto" w:line="276"/>
              <w:ind w:left="0"/>
              <w:jc w:val="left"/>
              <w:rPr>
                <w:b/>
                <w:sz w:val="23"/>
                <w:szCs w:val="23"/>
              </w:rPr>
            </w:pPr>
            <w:r>
              <w:rPr>
                <w:b/>
                <w:sz w:val="23"/>
                <w:szCs w:val="23"/>
              </w:rPr>
              <w:t>Scores</w:t>
            </w:r>
          </w:p>
        </w:tc>
        <w:tc>
          <w:tcPr>
            <w:tcW w:w="6402" w:type="dxa"/>
            <w:tcBorders/>
            <w:shd w:val="clear" w:color="auto" w:fill="d9d9d9"/>
            <w:vAlign w:val="center"/>
          </w:tcPr>
          <w:p>
            <w:pPr>
              <w:pStyle w:val="style179"/>
              <w:tabs>
                <w:tab w:val="left" w:leader="none" w:pos="5610"/>
              </w:tabs>
              <w:spacing w:lineRule="auto" w:line="276"/>
              <w:ind w:left="0"/>
              <w:jc w:val="left"/>
              <w:rPr>
                <w:b/>
                <w:sz w:val="23"/>
                <w:szCs w:val="23"/>
              </w:rPr>
            </w:pPr>
            <w:r>
              <w:rPr>
                <w:b/>
                <w:sz w:val="23"/>
                <w:szCs w:val="23"/>
              </w:rPr>
              <w:t xml:space="preserve">Définitions </w:t>
            </w:r>
          </w:p>
        </w:tc>
      </w:tr>
      <w:tr>
        <w:tblPrEx/>
        <w:trPr/>
        <w:tc>
          <w:tcPr>
            <w:tcW w:w="1560" w:type="dxa"/>
            <w:tcBorders/>
            <w:shd w:val="clear" w:color="auto" w:fill="auto"/>
            <w:vAlign w:val="center"/>
          </w:tcPr>
          <w:p>
            <w:pPr>
              <w:pStyle w:val="style66"/>
              <w:spacing w:before="0" w:after="0" w:lineRule="auto" w:line="240"/>
              <w:rPr>
                <w:sz w:val="23"/>
                <w:szCs w:val="23"/>
              </w:rPr>
            </w:pPr>
            <w:r>
              <w:rPr>
                <w:sz w:val="23"/>
                <w:szCs w:val="23"/>
              </w:rPr>
              <w:t>Conséquences mineures</w:t>
            </w:r>
          </w:p>
        </w:tc>
        <w:tc>
          <w:tcPr>
            <w:tcW w:w="1100" w:type="dxa"/>
            <w:tcBorders/>
            <w:shd w:val="clear" w:color="auto" w:fill="auto"/>
            <w:vAlign w:val="center"/>
          </w:tcPr>
          <w:p>
            <w:pPr>
              <w:pStyle w:val="style66"/>
              <w:spacing w:before="0" w:after="0" w:lineRule="auto" w:line="240"/>
              <w:jc w:val="center"/>
              <w:rPr>
                <w:sz w:val="23"/>
                <w:szCs w:val="23"/>
              </w:rPr>
            </w:pPr>
            <w:r>
              <w:rPr>
                <w:sz w:val="23"/>
                <w:szCs w:val="23"/>
              </w:rPr>
              <w:t>1</w:t>
            </w:r>
          </w:p>
        </w:tc>
        <w:tc>
          <w:tcPr>
            <w:tcW w:w="6402" w:type="dxa"/>
            <w:tcBorders/>
            <w:shd w:val="clear" w:color="auto" w:fill="auto"/>
            <w:vAlign w:val="center"/>
          </w:tcPr>
          <w:p>
            <w:pPr>
              <w:pStyle w:val="style66"/>
              <w:spacing w:before="0" w:after="0" w:lineRule="auto" w:line="240"/>
              <w:rPr>
                <w:sz w:val="23"/>
                <w:szCs w:val="23"/>
              </w:rPr>
            </w:pPr>
            <w:r>
              <w:rPr>
                <w:sz w:val="23"/>
                <w:szCs w:val="23"/>
                <w:lang w:val="fr-FR"/>
              </w:rPr>
              <w:t>-</w:t>
            </w:r>
            <w:r>
              <w:rPr>
                <w:sz w:val="23"/>
                <w:szCs w:val="23"/>
              </w:rPr>
              <w:t>Pas de blessure de personnes</w:t>
            </w:r>
          </w:p>
          <w:p>
            <w:pPr>
              <w:pStyle w:val="style66"/>
              <w:spacing w:before="0" w:after="0" w:lineRule="auto" w:line="240"/>
              <w:rPr>
                <w:sz w:val="23"/>
                <w:szCs w:val="23"/>
              </w:rPr>
            </w:pPr>
            <w:r>
              <w:rPr>
                <w:sz w:val="23"/>
                <w:szCs w:val="23"/>
                <w:lang w:val="fr-FR"/>
              </w:rPr>
              <w:t>-</w:t>
            </w:r>
            <w:r>
              <w:rPr>
                <w:sz w:val="23"/>
                <w:szCs w:val="23"/>
              </w:rPr>
              <w:t>Inconfort dans le travail</w:t>
            </w:r>
          </w:p>
          <w:p>
            <w:pPr>
              <w:pStyle w:val="style66"/>
              <w:spacing w:before="0" w:after="0" w:lineRule="auto" w:line="240"/>
              <w:rPr>
                <w:sz w:val="23"/>
                <w:szCs w:val="23"/>
              </w:rPr>
            </w:pPr>
            <w:r>
              <w:rPr>
                <w:sz w:val="23"/>
                <w:szCs w:val="23"/>
                <w:lang w:val="fr-FR"/>
              </w:rPr>
              <w:t>-</w:t>
            </w:r>
            <w:r>
              <w:rPr>
                <w:sz w:val="23"/>
                <w:szCs w:val="23"/>
              </w:rPr>
              <w:t>Destruction de biens ne mettant pas en cause l’intégrité du système</w:t>
            </w:r>
          </w:p>
        </w:tc>
      </w:tr>
      <w:tr>
        <w:tblPrEx/>
        <w:trPr/>
        <w:tc>
          <w:tcPr>
            <w:tcW w:w="1560" w:type="dxa"/>
            <w:tcBorders/>
            <w:shd w:val="clear" w:color="auto" w:fill="auto"/>
            <w:vAlign w:val="center"/>
          </w:tcPr>
          <w:p>
            <w:pPr>
              <w:pStyle w:val="style66"/>
              <w:spacing w:before="0" w:after="0" w:lineRule="auto" w:line="240"/>
              <w:rPr>
                <w:sz w:val="23"/>
                <w:szCs w:val="23"/>
              </w:rPr>
            </w:pPr>
            <w:r>
              <w:rPr>
                <w:sz w:val="23"/>
                <w:szCs w:val="23"/>
              </w:rPr>
              <w:t>Conséquences significatives</w:t>
            </w:r>
          </w:p>
        </w:tc>
        <w:tc>
          <w:tcPr>
            <w:tcW w:w="1100" w:type="dxa"/>
            <w:tcBorders/>
            <w:shd w:val="clear" w:color="auto" w:fill="auto"/>
            <w:vAlign w:val="center"/>
          </w:tcPr>
          <w:p>
            <w:pPr>
              <w:pStyle w:val="style66"/>
              <w:spacing w:before="0" w:after="0" w:lineRule="auto" w:line="240"/>
              <w:jc w:val="center"/>
              <w:rPr>
                <w:sz w:val="23"/>
                <w:szCs w:val="23"/>
              </w:rPr>
            </w:pPr>
            <w:r>
              <w:rPr>
                <w:sz w:val="23"/>
                <w:szCs w:val="23"/>
              </w:rPr>
              <w:t>2</w:t>
            </w:r>
          </w:p>
        </w:tc>
        <w:tc>
          <w:tcPr>
            <w:tcW w:w="6402" w:type="dxa"/>
            <w:tcBorders/>
            <w:shd w:val="clear" w:color="auto" w:fill="auto"/>
            <w:vAlign w:val="center"/>
          </w:tcPr>
          <w:p>
            <w:pPr>
              <w:pStyle w:val="style66"/>
              <w:spacing w:before="0" w:after="0" w:lineRule="auto" w:line="240"/>
              <w:rPr>
                <w:sz w:val="23"/>
                <w:szCs w:val="23"/>
              </w:rPr>
            </w:pPr>
            <w:r>
              <w:rPr>
                <w:sz w:val="23"/>
                <w:szCs w:val="23"/>
                <w:lang w:val="fr-FR"/>
              </w:rPr>
              <w:t>-</w:t>
            </w:r>
            <w:r>
              <w:rPr>
                <w:sz w:val="23"/>
                <w:szCs w:val="23"/>
              </w:rPr>
              <w:t>Blessure légère ou intoxication limitée d’individus par un produit peu toxique ;</w:t>
            </w:r>
          </w:p>
          <w:p>
            <w:pPr>
              <w:pStyle w:val="style66"/>
              <w:spacing w:before="0" w:after="0" w:lineRule="auto" w:line="240"/>
              <w:rPr>
                <w:sz w:val="23"/>
                <w:szCs w:val="23"/>
              </w:rPr>
            </w:pPr>
            <w:r>
              <w:rPr>
                <w:sz w:val="23"/>
                <w:szCs w:val="23"/>
                <w:lang w:val="fr-FR"/>
              </w:rPr>
              <w:t>-</w:t>
            </w:r>
            <w:r>
              <w:rPr>
                <w:sz w:val="23"/>
                <w:szCs w:val="23"/>
              </w:rPr>
              <w:t>Contamination ou irradiation de l’ordre de la dose annuelle</w:t>
            </w:r>
          </w:p>
          <w:p>
            <w:pPr>
              <w:pStyle w:val="style66"/>
              <w:spacing w:before="0" w:after="0" w:lineRule="auto" w:line="240"/>
              <w:rPr>
                <w:sz w:val="23"/>
                <w:szCs w:val="23"/>
              </w:rPr>
            </w:pPr>
            <w:r>
              <w:rPr>
                <w:sz w:val="23"/>
                <w:szCs w:val="23"/>
                <w:lang w:val="fr-FR"/>
              </w:rPr>
              <w:t>-</w:t>
            </w:r>
            <w:r>
              <w:rPr>
                <w:sz w:val="23"/>
                <w:szCs w:val="23"/>
              </w:rPr>
              <w:t>Destruction de matériel entrainant l’arrêt du système</w:t>
            </w:r>
          </w:p>
          <w:p>
            <w:pPr>
              <w:pStyle w:val="style66"/>
              <w:spacing w:before="0" w:after="0" w:lineRule="auto" w:line="240"/>
              <w:rPr>
                <w:sz w:val="23"/>
                <w:szCs w:val="23"/>
              </w:rPr>
            </w:pPr>
            <w:r>
              <w:rPr>
                <w:sz w:val="23"/>
                <w:szCs w:val="23"/>
                <w:lang w:val="fr-FR"/>
              </w:rPr>
              <w:t>-</w:t>
            </w:r>
            <w:r>
              <w:rPr>
                <w:sz w:val="23"/>
                <w:szCs w:val="23"/>
              </w:rPr>
              <w:t>Exposition à des nuisances de niveau élevé (bruit, vibration)</w:t>
            </w:r>
          </w:p>
        </w:tc>
      </w:tr>
      <w:tr>
        <w:tblPrEx/>
        <w:trPr/>
        <w:tc>
          <w:tcPr>
            <w:tcW w:w="1560" w:type="dxa"/>
            <w:tcBorders/>
            <w:shd w:val="clear" w:color="auto" w:fill="auto"/>
            <w:vAlign w:val="center"/>
          </w:tcPr>
          <w:p>
            <w:pPr>
              <w:pStyle w:val="style66"/>
              <w:spacing w:before="0" w:after="0" w:lineRule="auto" w:line="240"/>
              <w:rPr>
                <w:sz w:val="23"/>
                <w:szCs w:val="23"/>
              </w:rPr>
            </w:pPr>
            <w:r>
              <w:rPr>
                <w:sz w:val="23"/>
                <w:szCs w:val="23"/>
              </w:rPr>
              <w:t>Conséquences critiques ou graves</w:t>
            </w:r>
          </w:p>
        </w:tc>
        <w:tc>
          <w:tcPr>
            <w:tcW w:w="1100" w:type="dxa"/>
            <w:tcBorders/>
            <w:shd w:val="clear" w:color="auto" w:fill="auto"/>
            <w:vAlign w:val="center"/>
          </w:tcPr>
          <w:p>
            <w:pPr>
              <w:pStyle w:val="style66"/>
              <w:spacing w:before="0" w:after="0" w:lineRule="auto" w:line="240"/>
              <w:jc w:val="center"/>
              <w:rPr>
                <w:sz w:val="23"/>
                <w:szCs w:val="23"/>
              </w:rPr>
            </w:pPr>
            <w:r>
              <w:rPr>
                <w:sz w:val="23"/>
                <w:szCs w:val="23"/>
              </w:rPr>
              <w:t>3</w:t>
            </w:r>
          </w:p>
        </w:tc>
        <w:tc>
          <w:tcPr>
            <w:tcW w:w="6402" w:type="dxa"/>
            <w:tcBorders/>
            <w:shd w:val="clear" w:color="auto" w:fill="auto"/>
            <w:vAlign w:val="center"/>
          </w:tcPr>
          <w:p>
            <w:pPr>
              <w:pStyle w:val="style66"/>
              <w:spacing w:before="0" w:after="0" w:lineRule="auto" w:line="240"/>
              <w:rPr>
                <w:sz w:val="23"/>
                <w:szCs w:val="23"/>
              </w:rPr>
            </w:pPr>
            <w:r>
              <w:rPr>
                <w:sz w:val="23"/>
                <w:szCs w:val="23"/>
                <w:lang w:val="fr-FR"/>
              </w:rPr>
              <w:t>-</w:t>
            </w:r>
            <w:r>
              <w:rPr>
                <w:sz w:val="23"/>
                <w:szCs w:val="23"/>
              </w:rPr>
              <w:t>1 ou plusieurs individus blessés ou intoxication limitée d’individus par un produit peu toxique ;</w:t>
            </w:r>
          </w:p>
          <w:p>
            <w:pPr>
              <w:pStyle w:val="style66"/>
              <w:spacing w:before="0" w:after="0" w:lineRule="auto" w:line="240"/>
              <w:rPr>
                <w:sz w:val="23"/>
                <w:szCs w:val="23"/>
              </w:rPr>
            </w:pPr>
            <w:r>
              <w:rPr>
                <w:sz w:val="23"/>
                <w:szCs w:val="23"/>
                <w:lang w:val="fr-FR"/>
              </w:rPr>
              <w:t>-</w:t>
            </w:r>
            <w:r>
              <w:rPr>
                <w:sz w:val="23"/>
                <w:szCs w:val="23"/>
              </w:rPr>
              <w:t>Contamination ou irradiation par une dose entrainant des traitements médicaux ;</w:t>
            </w:r>
          </w:p>
          <w:p>
            <w:pPr>
              <w:pStyle w:val="style66"/>
              <w:spacing w:before="0" w:after="0" w:lineRule="auto" w:line="240"/>
              <w:rPr>
                <w:sz w:val="23"/>
                <w:szCs w:val="23"/>
              </w:rPr>
            </w:pPr>
            <w:r>
              <w:rPr>
                <w:sz w:val="23"/>
                <w:szCs w:val="23"/>
                <w:lang w:val="fr-FR"/>
              </w:rPr>
              <w:t>-</w:t>
            </w:r>
            <w:r>
              <w:rPr>
                <w:sz w:val="23"/>
                <w:szCs w:val="23"/>
              </w:rPr>
              <w:t xml:space="preserve">Pollution de l’environnement par un produit faiblement toxique ou en faible quantité </w:t>
            </w:r>
            <w:r>
              <w:rPr>
                <w:sz w:val="23"/>
                <w:szCs w:val="23"/>
              </w:rPr>
              <w:t>d’</w:t>
            </w:r>
            <w:r>
              <w:rPr>
                <w:sz w:val="23"/>
                <w:szCs w:val="23"/>
                <w:lang w:val="fr-FR"/>
              </w:rPr>
              <w:t>u</w:t>
            </w:r>
            <w:r>
              <w:rPr>
                <w:sz w:val="23"/>
                <w:szCs w:val="23"/>
              </w:rPr>
              <w:t xml:space="preserve">n </w:t>
            </w:r>
            <w:r>
              <w:rPr>
                <w:sz w:val="23"/>
                <w:szCs w:val="23"/>
              </w:rPr>
              <w:t>produit toxique ;</w:t>
            </w:r>
          </w:p>
          <w:p>
            <w:pPr>
              <w:pStyle w:val="style66"/>
              <w:spacing w:before="0" w:after="0" w:lineRule="auto" w:line="240"/>
              <w:rPr>
                <w:sz w:val="23"/>
                <w:szCs w:val="23"/>
              </w:rPr>
            </w:pPr>
            <w:r>
              <w:rPr>
                <w:sz w:val="23"/>
                <w:szCs w:val="23"/>
                <w:lang w:val="en-US"/>
              </w:rPr>
              <w:t>-</w:t>
            </w:r>
            <w:r>
              <w:rPr>
                <w:sz w:val="23"/>
                <w:szCs w:val="23"/>
              </w:rPr>
              <w:t>Perte irréversible d’informations.</w:t>
            </w:r>
          </w:p>
        </w:tc>
      </w:tr>
      <w:tr>
        <w:tblPrEx/>
        <w:trPr/>
        <w:tc>
          <w:tcPr>
            <w:tcW w:w="1560" w:type="dxa"/>
            <w:tcBorders/>
            <w:shd w:val="clear" w:color="auto" w:fill="auto"/>
            <w:vAlign w:val="center"/>
          </w:tcPr>
          <w:p>
            <w:pPr>
              <w:pStyle w:val="style66"/>
              <w:spacing w:before="0" w:after="0" w:lineRule="auto" w:line="240"/>
              <w:rPr>
                <w:sz w:val="23"/>
                <w:szCs w:val="23"/>
              </w:rPr>
            </w:pPr>
            <w:r>
              <w:rPr>
                <w:sz w:val="23"/>
                <w:szCs w:val="23"/>
              </w:rPr>
              <w:t>Conséquences critiques ou graves</w:t>
            </w:r>
          </w:p>
        </w:tc>
        <w:tc>
          <w:tcPr>
            <w:tcW w:w="1100" w:type="dxa"/>
            <w:tcBorders/>
            <w:shd w:val="clear" w:color="auto" w:fill="auto"/>
            <w:vAlign w:val="center"/>
          </w:tcPr>
          <w:p>
            <w:pPr>
              <w:pStyle w:val="style66"/>
              <w:spacing w:before="0" w:after="0" w:lineRule="auto" w:line="240"/>
              <w:jc w:val="center"/>
              <w:rPr>
                <w:sz w:val="23"/>
                <w:szCs w:val="23"/>
              </w:rPr>
            </w:pPr>
            <w:r>
              <w:rPr>
                <w:sz w:val="23"/>
                <w:szCs w:val="23"/>
              </w:rPr>
              <w:t>4</w:t>
            </w:r>
          </w:p>
        </w:tc>
        <w:tc>
          <w:tcPr>
            <w:tcW w:w="6402" w:type="dxa"/>
            <w:tcBorders/>
            <w:shd w:val="clear" w:color="auto" w:fill="auto"/>
            <w:vAlign w:val="center"/>
          </w:tcPr>
          <w:p>
            <w:pPr>
              <w:pStyle w:val="style66"/>
              <w:spacing w:before="0" w:after="0" w:lineRule="auto" w:line="240"/>
              <w:rPr>
                <w:sz w:val="23"/>
                <w:szCs w:val="23"/>
              </w:rPr>
            </w:pPr>
            <w:r>
              <w:rPr>
                <w:sz w:val="23"/>
                <w:szCs w:val="23"/>
                <w:lang w:val="fr-FR"/>
              </w:rPr>
              <w:t>-</w:t>
            </w:r>
            <w:r>
              <w:rPr>
                <w:sz w:val="23"/>
                <w:szCs w:val="23"/>
              </w:rPr>
              <w:t>Plusieurs personnes blessées grièvement ou mortes</w:t>
            </w:r>
          </w:p>
          <w:p>
            <w:pPr>
              <w:pStyle w:val="style66"/>
              <w:spacing w:before="0" w:after="0" w:lineRule="auto" w:line="240"/>
              <w:rPr>
                <w:sz w:val="23"/>
                <w:szCs w:val="23"/>
              </w:rPr>
            </w:pPr>
            <w:r>
              <w:rPr>
                <w:sz w:val="23"/>
                <w:szCs w:val="23"/>
                <w:lang w:val="fr-FR"/>
              </w:rPr>
              <w:t>-</w:t>
            </w:r>
            <w:r>
              <w:rPr>
                <w:sz w:val="23"/>
                <w:szCs w:val="23"/>
              </w:rPr>
              <w:t>Pollution de l’environnement par émission importante de…</w:t>
            </w:r>
          </w:p>
          <w:p>
            <w:pPr>
              <w:pStyle w:val="style66"/>
              <w:spacing w:before="0" w:after="0" w:lineRule="auto" w:line="240"/>
              <w:rPr>
                <w:sz w:val="23"/>
                <w:szCs w:val="23"/>
              </w:rPr>
            </w:pPr>
            <w:r>
              <w:rPr>
                <w:sz w:val="23"/>
                <w:szCs w:val="23"/>
                <w:lang w:val="en-US"/>
              </w:rPr>
              <w:t>-</w:t>
            </w:r>
            <w:r>
              <w:rPr>
                <w:sz w:val="23"/>
                <w:szCs w:val="23"/>
              </w:rPr>
              <w:t>Destruction complète du système.</w:t>
            </w:r>
          </w:p>
        </w:tc>
      </w:tr>
      <w:bookmarkStart w:id="271" w:name="_Toc260222"/>
    </w:tbl>
    <w:p>
      <w:pPr>
        <w:pStyle w:val="style0"/>
        <w:spacing w:before="0"/>
        <w:rPr>
          <w:sz w:val="20"/>
          <w:szCs w:val="20"/>
        </w:rPr>
      </w:pPr>
    </w:p>
    <w:p>
      <w:pPr>
        <w:pStyle w:val="style0"/>
        <w:spacing w:lineRule="auto" w:line="276"/>
        <w:rPr>
          <w:sz w:val="23"/>
          <w:szCs w:val="23"/>
        </w:rPr>
      </w:pPr>
      <w:r>
        <w:rPr>
          <w:sz w:val="20"/>
          <w:szCs w:val="20"/>
        </w:rPr>
        <w:t xml:space="preserve">Tableau </w:t>
      </w:r>
      <w:r>
        <w:rPr>
          <w:sz w:val="20"/>
          <w:szCs w:val="20"/>
        </w:rPr>
        <w:fldChar w:fldCharType="begin"/>
      </w:r>
      <w:r>
        <w:rPr>
          <w:sz w:val="20"/>
          <w:szCs w:val="20"/>
        </w:rPr>
        <w:instrText xml:space="preserve"> </w:instrText>
      </w:r>
      <w:r>
        <w:rPr>
          <w:sz w:val="20"/>
          <w:szCs w:val="20"/>
        </w:rPr>
        <w:instrText>SEQ</w:instrText>
      </w:r>
      <w:r>
        <w:rPr>
          <w:sz w:val="20"/>
          <w:szCs w:val="20"/>
        </w:rPr>
        <w:instrText xml:space="preserve"> Tableau \* ARABIC </w:instrText>
      </w:r>
      <w:r>
        <w:rPr>
          <w:sz w:val="20"/>
          <w:szCs w:val="20"/>
        </w:rPr>
        <w:fldChar w:fldCharType="separate"/>
      </w:r>
      <w:r>
        <w:rPr>
          <w:noProof/>
          <w:sz w:val="20"/>
          <w:szCs w:val="20"/>
        </w:rPr>
        <w:t>15</w:t>
      </w:r>
      <w:r>
        <w:rPr>
          <w:sz w:val="20"/>
          <w:szCs w:val="20"/>
        </w:rPr>
        <w:fldChar w:fldCharType="end"/>
      </w:r>
      <w:r>
        <w:rPr>
          <w:rFonts w:eastAsia="Calibri"/>
          <w:i/>
          <w:iCs/>
          <w:color w:val="1f497d"/>
          <w:sz w:val="20"/>
          <w:szCs w:val="20"/>
        </w:rPr>
        <w:t> :</w:t>
      </w:r>
      <w:r>
        <w:rPr>
          <w:rFonts w:eastAsia="Calibri"/>
          <w:i/>
          <w:iCs/>
          <w:color w:val="1f497d"/>
          <w:sz w:val="20"/>
          <w:szCs w:val="20"/>
        </w:rPr>
        <w:t xml:space="preserve"> Tableau des intervalles de risque selon l’APR</w:t>
      </w:r>
      <w:bookmarkEnd w:id="271"/>
      <w:r>
        <w:rPr>
          <w:rFonts w:eastAsia="Calibri"/>
          <w:i/>
          <w:iCs/>
          <w:color w:val="1f497d"/>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0"/>
        <w:gridCol w:w="3069"/>
        <w:gridCol w:w="2693"/>
      </w:tblGrid>
      <w:tr>
        <w:trPr/>
        <w:tc>
          <w:tcPr>
            <w:tcW w:w="3375" w:type="dxa"/>
            <w:tcBorders/>
            <w:shd w:val="clear" w:color="auto" w:fill="auto"/>
            <w:vAlign w:val="center"/>
          </w:tcPr>
          <w:p>
            <w:pPr>
              <w:pStyle w:val="style179"/>
              <w:tabs>
                <w:tab w:val="left" w:leader="none" w:pos="5610"/>
              </w:tabs>
              <w:spacing w:lineRule="auto" w:line="276"/>
              <w:ind w:left="0"/>
              <w:jc w:val="left"/>
              <w:rPr>
                <w:sz w:val="23"/>
                <w:szCs w:val="23"/>
              </w:rPr>
            </w:pPr>
            <w:r>
              <w:rPr>
                <w:sz w:val="23"/>
                <w:szCs w:val="23"/>
              </w:rPr>
              <w:t>Risque acceptable</w:t>
            </w:r>
          </w:p>
        </w:tc>
        <w:tc>
          <w:tcPr>
            <w:tcW w:w="3150" w:type="dxa"/>
            <w:tcBorders/>
            <w:shd w:val="clear" w:color="auto" w:fill="auto"/>
            <w:vAlign w:val="center"/>
          </w:tcPr>
          <w:p>
            <w:pPr>
              <w:pStyle w:val="style179"/>
              <w:tabs>
                <w:tab w:val="left" w:leader="none" w:pos="5610"/>
              </w:tabs>
              <w:spacing w:lineRule="auto" w:line="276"/>
              <w:ind w:left="0"/>
              <w:jc w:val="left"/>
              <w:rPr>
                <w:sz w:val="23"/>
                <w:szCs w:val="23"/>
              </w:rPr>
            </w:pPr>
            <w:r>
              <w:rPr>
                <w:sz w:val="23"/>
                <w:szCs w:val="23"/>
              </w:rPr>
              <w:t>1&lt;R&lt;4</w:t>
            </w:r>
          </w:p>
        </w:tc>
        <w:tc>
          <w:tcPr>
            <w:tcW w:w="2763" w:type="dxa"/>
            <w:tcBorders/>
            <w:shd w:val="clear" w:color="auto" w:fill="auto"/>
            <w:vAlign w:val="center"/>
          </w:tcPr>
          <w:p>
            <w:pPr>
              <w:pStyle w:val="style179"/>
              <w:tabs>
                <w:tab w:val="left" w:leader="none" w:pos="5610"/>
              </w:tabs>
              <w:spacing w:lineRule="auto" w:line="276"/>
              <w:ind w:left="0"/>
              <w:jc w:val="left"/>
              <w:rPr>
                <w:sz w:val="23"/>
                <w:szCs w:val="23"/>
              </w:rPr>
            </w:pPr>
            <w:r>
              <w:rPr>
                <w:sz w:val="23"/>
                <w:szCs w:val="23"/>
              </w:rPr>
              <w:t>R mineur</w:t>
            </w:r>
          </w:p>
        </w:tc>
      </w:tr>
      <w:tr>
        <w:tblPrEx/>
        <w:trPr/>
        <w:tc>
          <w:tcPr>
            <w:tcW w:w="3375" w:type="dxa"/>
            <w:tcBorders/>
            <w:shd w:val="clear" w:color="auto" w:fill="auto"/>
            <w:vAlign w:val="center"/>
          </w:tcPr>
          <w:p>
            <w:pPr>
              <w:pStyle w:val="style179"/>
              <w:tabs>
                <w:tab w:val="left" w:leader="none" w:pos="5610"/>
              </w:tabs>
              <w:spacing w:lineRule="auto" w:line="276"/>
              <w:ind w:left="0"/>
              <w:jc w:val="left"/>
              <w:rPr>
                <w:sz w:val="23"/>
                <w:szCs w:val="23"/>
              </w:rPr>
            </w:pPr>
            <w:r>
              <w:rPr>
                <w:sz w:val="23"/>
                <w:szCs w:val="23"/>
              </w:rPr>
              <w:t>Risque critique</w:t>
            </w:r>
          </w:p>
        </w:tc>
        <w:tc>
          <w:tcPr>
            <w:tcW w:w="3150" w:type="dxa"/>
            <w:tcBorders/>
            <w:shd w:val="clear" w:color="auto" w:fill="auto"/>
            <w:vAlign w:val="center"/>
          </w:tcPr>
          <w:p>
            <w:pPr>
              <w:pStyle w:val="style179"/>
              <w:tabs>
                <w:tab w:val="left" w:leader="none" w:pos="5610"/>
              </w:tabs>
              <w:spacing w:lineRule="auto" w:line="276"/>
              <w:ind w:left="0"/>
              <w:jc w:val="left"/>
              <w:rPr>
                <w:sz w:val="23"/>
                <w:szCs w:val="23"/>
              </w:rPr>
            </w:pPr>
            <w:r>
              <w:rPr>
                <w:sz w:val="23"/>
                <w:szCs w:val="23"/>
              </w:rPr>
              <w:t>4&lt;R&lt;8</w:t>
            </w:r>
          </w:p>
        </w:tc>
        <w:tc>
          <w:tcPr>
            <w:tcW w:w="2763" w:type="dxa"/>
            <w:tcBorders/>
            <w:shd w:val="clear" w:color="auto" w:fill="auto"/>
            <w:vAlign w:val="center"/>
          </w:tcPr>
          <w:p>
            <w:pPr>
              <w:pStyle w:val="style179"/>
              <w:tabs>
                <w:tab w:val="left" w:leader="none" w:pos="5610"/>
              </w:tabs>
              <w:spacing w:lineRule="auto" w:line="276"/>
              <w:ind w:left="0"/>
              <w:jc w:val="left"/>
              <w:rPr>
                <w:sz w:val="23"/>
                <w:szCs w:val="23"/>
              </w:rPr>
            </w:pPr>
            <w:r>
              <w:rPr>
                <w:sz w:val="23"/>
                <w:szCs w:val="23"/>
              </w:rPr>
              <w:t>R moyen</w:t>
            </w:r>
          </w:p>
        </w:tc>
      </w:tr>
      <w:tr>
        <w:tblPrEx/>
        <w:trPr/>
        <w:tc>
          <w:tcPr>
            <w:tcW w:w="3375" w:type="dxa"/>
            <w:tcBorders/>
            <w:shd w:val="clear" w:color="auto" w:fill="auto"/>
            <w:vAlign w:val="center"/>
          </w:tcPr>
          <w:p>
            <w:pPr>
              <w:pStyle w:val="style179"/>
              <w:tabs>
                <w:tab w:val="left" w:leader="none" w:pos="5610"/>
              </w:tabs>
              <w:spacing w:lineRule="auto" w:line="276"/>
              <w:ind w:left="0"/>
              <w:jc w:val="left"/>
              <w:rPr>
                <w:sz w:val="23"/>
                <w:szCs w:val="23"/>
              </w:rPr>
            </w:pPr>
            <w:r>
              <w:rPr>
                <w:sz w:val="23"/>
                <w:szCs w:val="23"/>
              </w:rPr>
              <w:t>Risque inacceptable</w:t>
            </w:r>
          </w:p>
        </w:tc>
        <w:tc>
          <w:tcPr>
            <w:tcW w:w="3150" w:type="dxa"/>
            <w:tcBorders/>
            <w:shd w:val="clear" w:color="auto" w:fill="auto"/>
            <w:vAlign w:val="center"/>
          </w:tcPr>
          <w:p>
            <w:pPr>
              <w:pStyle w:val="style179"/>
              <w:tabs>
                <w:tab w:val="left" w:leader="none" w:pos="5610"/>
              </w:tabs>
              <w:spacing w:lineRule="auto" w:line="276"/>
              <w:ind w:left="0"/>
              <w:jc w:val="left"/>
              <w:rPr>
                <w:sz w:val="23"/>
                <w:szCs w:val="23"/>
              </w:rPr>
            </w:pPr>
            <w:r>
              <w:rPr>
                <w:sz w:val="23"/>
                <w:szCs w:val="23"/>
              </w:rPr>
              <w:t>8&lt;R&lt;16</w:t>
            </w:r>
          </w:p>
        </w:tc>
        <w:tc>
          <w:tcPr>
            <w:tcW w:w="2763" w:type="dxa"/>
            <w:tcBorders/>
            <w:shd w:val="clear" w:color="auto" w:fill="auto"/>
            <w:vAlign w:val="center"/>
          </w:tcPr>
          <w:p>
            <w:pPr>
              <w:pStyle w:val="style179"/>
              <w:tabs>
                <w:tab w:val="left" w:leader="none" w:pos="5610"/>
              </w:tabs>
              <w:spacing w:lineRule="auto" w:line="276"/>
              <w:ind w:left="0"/>
              <w:jc w:val="left"/>
              <w:rPr>
                <w:sz w:val="23"/>
                <w:szCs w:val="23"/>
              </w:rPr>
            </w:pPr>
            <w:r>
              <w:rPr>
                <w:sz w:val="23"/>
                <w:szCs w:val="23"/>
              </w:rPr>
              <w:t>R Majeur</w:t>
            </w:r>
          </w:p>
        </w:tc>
      </w:tr>
    </w:tbl>
    <w:p>
      <w:pPr>
        <w:pStyle w:val="style0"/>
        <w:rPr/>
      </w:pPr>
    </w:p>
    <w:p>
      <w:pPr>
        <w:pStyle w:val="style4"/>
        <w:numPr>
          <w:ilvl w:val="2"/>
          <w:numId w:val="21"/>
        </w:numPr>
        <w:rPr/>
      </w:pPr>
      <w:r>
        <w:t>Identification des risques liées au</w:t>
      </w:r>
      <w:r>
        <w:t>x</w:t>
      </w:r>
      <w:r>
        <w:t xml:space="preserve"> activités du PDCA </w:t>
      </w:r>
    </w:p>
    <w:p>
      <w:pPr>
        <w:pStyle w:val="style4"/>
        <w:numPr>
          <w:ilvl w:val="3"/>
          <w:numId w:val="21"/>
        </w:numPr>
        <w:rPr/>
      </w:pPr>
      <w:r>
        <w:t xml:space="preserve"> </w:t>
      </w:r>
      <w:r>
        <w:t>A</w:t>
      </w:r>
      <w:r>
        <w:t xml:space="preserve">ctivités </w:t>
      </w:r>
      <w:r>
        <w:t>sources de dangers et de menaces</w:t>
      </w:r>
    </w:p>
    <w:p>
      <w:pPr>
        <w:pStyle w:val="style0"/>
        <w:rPr/>
      </w:pPr>
      <w:r>
        <w:t>Pendant la phase de mise en œuvre du projet, les principales sources de dangers sont liées aux activités comportant des dangers et de risques potentiels sur l’environnement biophysique et humain :</w:t>
      </w:r>
    </w:p>
    <w:p>
      <w:pPr>
        <w:pStyle w:val="style179"/>
        <w:numPr>
          <w:ilvl w:val="0"/>
          <w:numId w:val="30"/>
        </w:numPr>
        <w:spacing w:lineRule="auto" w:line="276"/>
        <w:contextualSpacing/>
        <w:rPr/>
      </w:pPr>
      <w:r>
        <w:t>les transports des pesticides ;</w:t>
      </w:r>
    </w:p>
    <w:p>
      <w:pPr>
        <w:pStyle w:val="style179"/>
        <w:numPr>
          <w:ilvl w:val="0"/>
          <w:numId w:val="30"/>
        </w:numPr>
        <w:spacing w:lineRule="auto" w:line="276"/>
        <w:contextualSpacing/>
        <w:rPr/>
      </w:pPr>
      <w:r>
        <w:t>le stockage des pesticides ;</w:t>
      </w:r>
    </w:p>
    <w:p>
      <w:pPr>
        <w:pStyle w:val="style179"/>
        <w:numPr>
          <w:ilvl w:val="0"/>
          <w:numId w:val="30"/>
        </w:numPr>
        <w:spacing w:lineRule="auto" w:line="276"/>
        <w:contextualSpacing/>
        <w:rPr/>
      </w:pPr>
      <w:r>
        <w:t>l’utilisation des pesticides ;</w:t>
      </w:r>
    </w:p>
    <w:p>
      <w:pPr>
        <w:pStyle w:val="style179"/>
        <w:numPr>
          <w:ilvl w:val="0"/>
          <w:numId w:val="30"/>
        </w:numPr>
        <w:spacing w:lineRule="auto" w:line="276"/>
        <w:contextualSpacing/>
        <w:rPr/>
      </w:pPr>
      <w:r>
        <w:t xml:space="preserve">la gestion des pesticides obsolètes et des résidus </w:t>
      </w:r>
    </w:p>
    <w:p>
      <w:pPr>
        <w:pStyle w:val="style0"/>
        <w:rPr/>
      </w:pPr>
      <w:r>
        <w:t>Les risques liés aux activités du projet, sont :</w:t>
      </w:r>
    </w:p>
    <w:p>
      <w:pPr>
        <w:pStyle w:val="style179"/>
        <w:numPr>
          <w:ilvl w:val="0"/>
          <w:numId w:val="94"/>
        </w:numPr>
        <w:rPr/>
      </w:pPr>
      <w:r>
        <w:t>l’intoxication des usagers  et des animaux ;</w:t>
      </w:r>
    </w:p>
    <w:p>
      <w:pPr>
        <w:pStyle w:val="style179"/>
        <w:numPr>
          <w:ilvl w:val="0"/>
          <w:numId w:val="94"/>
        </w:numPr>
        <w:rPr/>
      </w:pPr>
      <w:r>
        <w:t>la contamination du sol et des cours d’eau ;</w:t>
      </w:r>
    </w:p>
    <w:p>
      <w:pPr>
        <w:pStyle w:val="style179"/>
        <w:numPr>
          <w:ilvl w:val="0"/>
          <w:numId w:val="94"/>
        </w:numPr>
        <w:rPr/>
      </w:pPr>
      <w:r>
        <w:t xml:space="preserve">le </w:t>
      </w:r>
      <w:r>
        <w:t>déversement accidentel de pesticides dans l’environnement ;</w:t>
      </w:r>
    </w:p>
    <w:p>
      <w:pPr>
        <w:pStyle w:val="style179"/>
        <w:numPr>
          <w:ilvl w:val="0"/>
          <w:numId w:val="94"/>
        </w:numPr>
        <w:rPr/>
      </w:pPr>
      <w:r>
        <w:t xml:space="preserve">le </w:t>
      </w:r>
      <w:r>
        <w:t>risque déversement accidentel de pesticides sur l’organisme humain ;</w:t>
      </w:r>
    </w:p>
    <w:p>
      <w:pPr>
        <w:pStyle w:val="style179"/>
        <w:numPr>
          <w:ilvl w:val="0"/>
          <w:numId w:val="94"/>
        </w:numPr>
        <w:rPr/>
      </w:pPr>
      <w:r>
        <w:t xml:space="preserve">le </w:t>
      </w:r>
      <w:r>
        <w:t>risque d’ingestion accidentel de pesticides ;</w:t>
      </w:r>
    </w:p>
    <w:p>
      <w:pPr>
        <w:pStyle w:val="style179"/>
        <w:numPr>
          <w:ilvl w:val="0"/>
          <w:numId w:val="94"/>
        </w:numPr>
        <w:rPr/>
      </w:pPr>
      <w:r>
        <w:t xml:space="preserve">les </w:t>
      </w:r>
      <w:r>
        <w:t>risques d’accident de la circulation lors du transport des pesticides ;</w:t>
      </w:r>
    </w:p>
    <w:p>
      <w:pPr>
        <w:pStyle w:val="style179"/>
        <w:numPr>
          <w:ilvl w:val="0"/>
          <w:numId w:val="94"/>
        </w:numPr>
        <w:rPr/>
      </w:pPr>
      <w:r>
        <w:t xml:space="preserve">le </w:t>
      </w:r>
      <w:r>
        <w:t>risque d’inhalation des pesticides dans les voies respiratoires ;</w:t>
      </w:r>
    </w:p>
    <w:p>
      <w:pPr>
        <w:pStyle w:val="style179"/>
        <w:numPr>
          <w:ilvl w:val="0"/>
          <w:numId w:val="94"/>
        </w:numPr>
        <w:rPr/>
      </w:pPr>
      <w:r>
        <w:t>la contamination de produits vivriers et alimentaires ;</w:t>
      </w:r>
    </w:p>
    <w:p>
      <w:pPr>
        <w:pStyle w:val="style179"/>
        <w:numPr>
          <w:ilvl w:val="0"/>
          <w:numId w:val="94"/>
        </w:numPr>
        <w:rPr/>
      </w:pPr>
      <w:r>
        <w:t>la pollution de la nappe phréatique;</w:t>
      </w:r>
    </w:p>
    <w:p>
      <w:pPr>
        <w:pStyle w:val="style179"/>
        <w:numPr>
          <w:ilvl w:val="0"/>
          <w:numId w:val="94"/>
        </w:numPr>
        <w:rPr/>
      </w:pPr>
      <w:r>
        <w:t>la mortalité des animaux aquatique</w:t>
      </w:r>
      <w:r>
        <w:t>s</w:t>
      </w:r>
      <w:r>
        <w:t xml:space="preserve"> et faunique</w:t>
      </w:r>
      <w:r>
        <w:t>s.</w:t>
      </w:r>
    </w:p>
    <w:p>
      <w:pPr>
        <w:pStyle w:val="style4"/>
        <w:numPr>
          <w:ilvl w:val="0"/>
          <w:numId w:val="0"/>
        </w:numPr>
        <w:ind w:left="57"/>
        <w:rPr/>
      </w:pPr>
    </w:p>
    <w:bookmarkStart w:id="272" w:name="_Toc514190160"/>
    <w:p>
      <w:pPr>
        <w:pStyle w:val="style4"/>
        <w:numPr>
          <w:ilvl w:val="3"/>
          <w:numId w:val="21"/>
        </w:numPr>
        <w:rPr/>
      </w:pPr>
      <w:r>
        <w:t>R</w:t>
      </w:r>
      <w:r>
        <w:t xml:space="preserve">isques </w:t>
      </w:r>
      <w:r>
        <w:t xml:space="preserve">pour les utilisateurs de pesticides </w:t>
      </w:r>
    </w:p>
    <w:bookmarkEnd w:id="272"/>
    <w:p>
      <w:pPr>
        <w:pStyle w:val="style0"/>
        <w:rPr/>
      </w:pPr>
      <w:r>
        <w:t>Les risques d’intoxication des producteurs dépendent principalement du type de produit utilisé (son potentiel toxique) et de ses conditions d’utilisation (port d</w:t>
      </w:r>
      <w:r>
        <w:t>’EPI</w:t>
      </w:r>
      <w:r>
        <w:t>, respect des attitudes hygiéniques conseillées, respect des conditions climatiques favorables en période de traitement ...).</w:t>
      </w:r>
    </w:p>
    <w:p>
      <w:pPr>
        <w:pStyle w:val="style0"/>
        <w:rPr/>
      </w:pPr>
      <w:r>
        <w:t>Les producteurs non formés qui appliquent eux</w:t>
      </w:r>
      <w:r>
        <w:t>-</w:t>
      </w:r>
      <w:r>
        <w:t>même</w:t>
      </w:r>
      <w:r>
        <w:t>s</w:t>
      </w:r>
      <w:r>
        <w:t xml:space="preserve"> les produits, avec une utilisation de plus en plus d’herbicides et sans EPI et le non-respect de certaines attitudes hygiéniques classiques conseillées (se laver après chaque traitement, changer de tenue, ne pas boire ou manger au cours des traitements...)</w:t>
      </w:r>
      <w:r>
        <w:t xml:space="preserve"> sont exposés</w:t>
      </w:r>
      <w:r>
        <w:t xml:space="preserve">. </w:t>
      </w:r>
      <w:r>
        <w:t>C</w:t>
      </w:r>
      <w:r>
        <w:t xml:space="preserve">ertains affirment pulvériser sans tenir compte du temps qu’il fait. Ces mauvaises pratiques exposent ainsi les utilisateurs à des contacts avec les produits. De même, en fonction du climat, notamment du vent, les populations riveraines peuvent être touchées par des résidus de pesticides. </w:t>
      </w:r>
    </w:p>
    <w:p>
      <w:pPr>
        <w:pStyle w:val="style4"/>
        <w:numPr>
          <w:ilvl w:val="3"/>
          <w:numId w:val="21"/>
        </w:numPr>
        <w:rPr/>
      </w:pPr>
      <w:r>
        <w:t>R</w:t>
      </w:r>
      <w:r>
        <w:t xml:space="preserve">isques </w:t>
      </w:r>
      <w:r>
        <w:t xml:space="preserve">pour les consommateurs </w:t>
      </w:r>
    </w:p>
    <w:p>
      <w:pPr>
        <w:pStyle w:val="style0"/>
        <w:rPr/>
      </w:pPr>
      <w:r>
        <w:t>Les risques d’avoir des taux élevés de résidus de pesticides sur les récoltes peuvent être dus au :</w:t>
      </w:r>
    </w:p>
    <w:p>
      <w:pPr>
        <w:pStyle w:val="style179"/>
        <w:numPr>
          <w:ilvl w:val="0"/>
          <w:numId w:val="14"/>
        </w:numPr>
        <w:rPr/>
      </w:pPr>
      <w:r>
        <w:t>non-respect de la dose du pesticide ;</w:t>
      </w:r>
    </w:p>
    <w:p>
      <w:pPr>
        <w:pStyle w:val="style179"/>
        <w:numPr>
          <w:ilvl w:val="0"/>
          <w:numId w:val="14"/>
        </w:numPr>
        <w:rPr/>
      </w:pPr>
      <w:r>
        <w:t>non-respect du délai d’attente avant récolte (DAR) ;</w:t>
      </w:r>
    </w:p>
    <w:p>
      <w:pPr>
        <w:pStyle w:val="style179"/>
        <w:numPr>
          <w:ilvl w:val="0"/>
          <w:numId w:val="14"/>
        </w:numPr>
        <w:rPr/>
      </w:pPr>
      <w:r>
        <w:t>non-respect du nombre de traitement recommandés ;</w:t>
      </w:r>
    </w:p>
    <w:p>
      <w:pPr>
        <w:pStyle w:val="style179"/>
        <w:numPr>
          <w:ilvl w:val="0"/>
          <w:numId w:val="14"/>
        </w:numPr>
        <w:rPr/>
      </w:pPr>
      <w:r>
        <w:t>et à l’utilisation de produits non recommandés pour les cultures et pour la conservation.</w:t>
      </w:r>
    </w:p>
    <w:p>
      <w:pPr>
        <w:pStyle w:val="style0"/>
        <w:rPr/>
      </w:pPr>
    </w:p>
    <w:p>
      <w:pPr>
        <w:pStyle w:val="style0"/>
        <w:rPr/>
      </w:pPr>
      <w:r>
        <w:t xml:space="preserve">Les autres risques pour le consommateur peuvent provenir des aliments contaminés dans les points de vente. De même, l’utilisation non contrôlée des pesticides peut également intoxiquer les animaux, et parfois les tuer, notamment avec les herbicides qui sont de plus en plus utilisés. </w:t>
      </w:r>
    </w:p>
    <w:p>
      <w:pPr>
        <w:pStyle w:val="style0"/>
        <w:rPr/>
      </w:pPr>
      <w:r>
        <w:t xml:space="preserve">L’utilisation de flacons vides de pesticides exacerbe les risques de contamination des populations. L’usage de pesticides </w:t>
      </w:r>
      <w:r>
        <w:t>non appropriés pour les spéculations</w:t>
      </w:r>
      <w:r>
        <w:t xml:space="preserve"> augmentent le risque de présence de résidus dans les produits. </w:t>
      </w:r>
    </w:p>
    <w:p>
      <w:pPr>
        <w:pStyle w:val="style0"/>
        <w:spacing w:lineRule="auto" w:line="276"/>
        <w:rPr>
          <w:sz w:val="23"/>
          <w:szCs w:val="23"/>
        </w:rPr>
      </w:pPr>
    </w:p>
    <w:p>
      <w:pPr>
        <w:pStyle w:val="style4"/>
        <w:numPr>
          <w:ilvl w:val="3"/>
          <w:numId w:val="21"/>
        </w:numPr>
        <w:rPr/>
      </w:pPr>
      <w:r>
        <w:t>R</w:t>
      </w:r>
      <w:r>
        <w:t xml:space="preserve">isques </w:t>
      </w:r>
      <w:r>
        <w:t xml:space="preserve">pour l’environnement </w:t>
      </w:r>
    </w:p>
    <w:p>
      <w:pPr>
        <w:pStyle w:val="style0"/>
        <w:rPr/>
      </w:pPr>
      <w:r>
        <w:t>Les risques pour l’environnement liés à l’utilisation des pesticides dépendent pour l’essentiel de :</w:t>
      </w:r>
    </w:p>
    <w:p>
      <w:pPr>
        <w:pStyle w:val="style179"/>
        <w:numPr>
          <w:ilvl w:val="0"/>
          <w:numId w:val="31"/>
        </w:numPr>
        <w:rPr/>
      </w:pPr>
      <w:r>
        <w:t>la caractéristique du pesticide</w:t>
      </w:r>
      <w:r>
        <w:t>, notamment le temps de demi vie, qui est un facteur déterminant ;</w:t>
      </w:r>
    </w:p>
    <w:p>
      <w:pPr>
        <w:pStyle w:val="style179"/>
        <w:numPr>
          <w:ilvl w:val="0"/>
          <w:numId w:val="31"/>
        </w:numPr>
        <w:rPr/>
      </w:pPr>
      <w:r>
        <w:t>l'emploi de pesticides non sélectifs ;</w:t>
      </w:r>
    </w:p>
    <w:p>
      <w:pPr>
        <w:pStyle w:val="style179"/>
        <w:numPr>
          <w:ilvl w:val="0"/>
          <w:numId w:val="31"/>
        </w:numPr>
        <w:rPr/>
      </w:pPr>
      <w:r>
        <w:t>mauvaises conditions d'emploi des pesticides ;</w:t>
      </w:r>
    </w:p>
    <w:p>
      <w:pPr>
        <w:pStyle w:val="style179"/>
        <w:numPr>
          <w:ilvl w:val="0"/>
          <w:numId w:val="31"/>
        </w:numPr>
        <w:rPr/>
      </w:pPr>
      <w:r>
        <w:t xml:space="preserve">mauvaises conditions de stockage et de transport; </w:t>
      </w:r>
    </w:p>
    <w:p>
      <w:pPr>
        <w:pStyle w:val="style179"/>
        <w:numPr>
          <w:ilvl w:val="0"/>
          <w:numId w:val="31"/>
        </w:numPr>
        <w:rPr/>
      </w:pPr>
      <w:r>
        <w:t>techniques inappropriées d'élimination des emballages vides et/ou des produits non utilisés ou périmés (rejets des emballages vides dans les champs) ;</w:t>
      </w:r>
    </w:p>
    <w:p>
      <w:pPr>
        <w:pStyle w:val="style179"/>
        <w:numPr>
          <w:ilvl w:val="0"/>
          <w:numId w:val="31"/>
        </w:numPr>
        <w:rPr/>
      </w:pPr>
      <w:r>
        <w:t xml:space="preserve">la faible distance entre le champ et le cours d’eau. </w:t>
      </w:r>
    </w:p>
    <w:p>
      <w:pPr>
        <w:pStyle w:val="style0"/>
        <w:rPr/>
      </w:pPr>
      <w:r>
        <w:rPr>
          <w:color w:val="000000"/>
        </w:rPr>
        <w:t xml:space="preserve">Le dépôt des emballages vides de pesticides dans les champs, emballages non biodégradables, renfermant certainement des pesticides, présente un risque pour le sol, la faune, les cours d’eaux et l’homme. </w:t>
      </w:r>
      <w:r>
        <w:rPr>
          <w:color w:val="000000"/>
        </w:rPr>
        <w:t xml:space="preserve">Le </w:t>
      </w:r>
      <w:r>
        <w:rPr>
          <w:color w:val="000000"/>
        </w:rPr>
        <w:t>non-respect</w:t>
      </w:r>
      <w:r>
        <w:rPr>
          <w:color w:val="000000"/>
        </w:rPr>
        <w:t xml:space="preserve"> de la distance entre </w:t>
      </w:r>
      <w:r>
        <w:rPr>
          <w:color w:val="000000"/>
        </w:rPr>
        <w:t>les points</w:t>
      </w:r>
      <w:r>
        <w:rPr>
          <w:color w:val="000000"/>
        </w:rPr>
        <w:t xml:space="preserve"> d’eau et les champs, augmente les risques de contamination des cours d’eau (Photo</w:t>
      </w:r>
      <w:r>
        <w:rPr>
          <w:color w:val="000000"/>
        </w:rPr>
        <w:t>s</w:t>
      </w:r>
      <w:r>
        <w:rPr>
          <w:color w:val="000000"/>
        </w:rPr>
        <w:t xml:space="preserve"> </w:t>
      </w:r>
      <w:r>
        <w:rPr>
          <w:color w:val="000000"/>
        </w:rPr>
        <w:t>9</w:t>
      </w:r>
      <w:r>
        <w:rPr>
          <w:color w:val="000000"/>
        </w:rPr>
        <w:t xml:space="preserve"> et </w:t>
      </w:r>
      <w:r>
        <w:rPr>
          <w:color w:val="000000"/>
        </w:rPr>
        <w:t>10</w:t>
      </w:r>
      <w:r>
        <w:rPr>
          <w:color w:val="000000"/>
        </w:rPr>
        <w:t xml:space="preserve">). </w:t>
      </w:r>
      <w:r>
        <w:t xml:space="preserve">Les principaux impacts environnementaux </w:t>
      </w:r>
      <w:r>
        <w:t xml:space="preserve">liés à l’utilisation des pesticides et à la gestion des pestes </w:t>
      </w:r>
      <w:r>
        <w:t>sont donnés dans le</w:t>
      </w:r>
      <w:r>
        <w:t>s</w:t>
      </w:r>
      <w:r>
        <w:t xml:space="preserve"> tableau</w:t>
      </w:r>
      <w:r>
        <w:t>x</w:t>
      </w:r>
      <w:r>
        <w:t xml:space="preserve"> 1</w:t>
      </w:r>
      <w:r>
        <w:t>5 et 16</w:t>
      </w:r>
      <w:r>
        <w:t>.</w:t>
      </w:r>
    </w:p>
    <w:p>
      <w:pPr>
        <w:pStyle w:val="style4"/>
        <w:numPr>
          <w:ilvl w:val="2"/>
          <w:numId w:val="22"/>
        </w:numPr>
        <w:rPr/>
      </w:pPr>
      <w:r>
        <w:t>R</w:t>
      </w:r>
      <w:r>
        <w:t xml:space="preserve">isques liés à l’utilisation et la gestion des pesticides </w:t>
      </w:r>
    </w:p>
    <w:p>
      <w:pPr>
        <w:pStyle w:val="style0"/>
        <w:rPr/>
      </w:pPr>
      <w:r>
        <w:t>Le score et le taux de criticité des risques liés à la gestion des pesticides sont donnés dans le tableau 18.</w:t>
      </w:r>
      <w:r>
        <w:t xml:space="preserve"> Cela tient compte de la capacité des applicateurs à utiliser les produits, du transport, qui se fait généralement clandestinement, notamment pour les produits non homologués, du risque lié au stockage des produits, et de la capacité de gestion des pesticides obsolètes, notamment des emballages vides. </w:t>
      </w:r>
      <w:r>
        <w:t xml:space="preserve"> </w:t>
      </w:r>
    </w:p>
    <w:p>
      <w:pPr>
        <w:pStyle w:val="style0"/>
        <w:rPr/>
      </w:pPr>
    </w:p>
    <w:tbl>
      <w:tblPr>
        <w:tblStyle w:val="style15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4"/>
        <w:gridCol w:w="3418"/>
      </w:tblGrid>
      <w:tr>
        <w:trPr/>
        <w:tc>
          <w:tcPr>
            <w:tcW w:w="3116" w:type="pct"/>
            <w:tcBorders/>
          </w:tcPr>
          <w:p>
            <w:pPr>
              <w:pStyle w:val="style0"/>
              <w:rPr>
                <w:noProof/>
                <w:lang w:eastAsia="fr-FR"/>
              </w:rPr>
            </w:pPr>
          </w:p>
        </w:tc>
        <w:tc>
          <w:tcPr>
            <w:tcW w:w="1884" w:type="pct"/>
            <w:tcBorders/>
          </w:tcPr>
          <w:p>
            <w:pPr>
              <w:pStyle w:val="style0"/>
              <w:rPr>
                <w:noProof/>
                <w:lang w:eastAsia="fr-FR"/>
              </w:rPr>
            </w:pPr>
          </w:p>
        </w:tc>
      </w:tr>
      <w:tr>
        <w:tblPrEx/>
        <w:trPr>
          <w:trHeight w:val="582" w:hRule="atLeast"/>
        </w:trPr>
        <w:tc>
          <w:tcPr>
            <w:tcW w:w="3116" w:type="pct"/>
            <w:tcBorders/>
          </w:tcPr>
          <w:p>
            <w:pPr>
              <w:pStyle w:val="style0"/>
              <w:rPr>
                <w:noProof/>
                <w:lang w:eastAsia="fr-FR"/>
              </w:rPr>
            </w:pPr>
            <w:r>
              <w:rPr>
                <w:sz w:val="20"/>
              </w:rPr>
              <w:t xml:space="preserve">Photo </w:t>
            </w:r>
            <w:r>
              <w:rPr>
                <w:sz w:val="20"/>
              </w:rPr>
              <w:t>9</w:t>
            </w:r>
            <w:r>
              <w:rPr>
                <w:sz w:val="20"/>
              </w:rPr>
              <w:t> : Site aménagé de Banzon</w:t>
            </w:r>
          </w:p>
        </w:tc>
        <w:tc>
          <w:tcPr>
            <w:tcW w:w="1884" w:type="pct"/>
            <w:tcBorders/>
          </w:tcPr>
          <w:p>
            <w:pPr>
              <w:pStyle w:val="style0"/>
              <w:rPr>
                <w:noProof/>
                <w:lang w:eastAsia="fr-FR"/>
              </w:rPr>
            </w:pPr>
            <w:r>
              <w:rPr>
                <w:sz w:val="20"/>
              </w:rPr>
              <w:t>Photo 10 : Un puits pour l’irrigation d’oignon prêt du champ sans protection</w:t>
            </w:r>
          </w:p>
        </w:tc>
      </w:tr>
      <w:tr>
        <w:tblPrEx/>
        <w:trPr/>
        <w:tc>
          <w:tcPr>
            <w:tcW w:w="3116" w:type="pct"/>
            <w:tcBorders/>
          </w:tcPr>
          <w:p>
            <w:pPr>
              <w:pStyle w:val="style0"/>
              <w:rPr/>
            </w:pPr>
            <w:r>
              <w:rPr>
                <w:noProof/>
                <w:lang w:eastAsia="fr-FR"/>
              </w:rPr>
              <w:drawing>
                <wp:inline distT="0" distR="0" distL="0" distB="0">
                  <wp:extent cx="3453462" cy="2592000"/>
                  <wp:effectExtent l="0" t="0" r="0" b="0"/>
                  <wp:docPr id="1055" name="Image 45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Image 454"/>
                          <pic:cNvPicPr/>
                        </pic:nvPicPr>
                        <pic:blipFill>
                          <a:blip r:embed="rId33" cstate="print"/>
                          <a:srcRect l="0" t="0" r="0" b="0"/>
                          <a:stretch/>
                        </pic:blipFill>
                        <pic:spPr>
                          <a:xfrm rot="0">
                            <a:off x="0" y="0"/>
                            <a:ext cx="3453462" cy="2592000"/>
                          </a:xfrm>
                          <a:prstGeom prst="rect"/>
                          <a:ln>
                            <a:noFill/>
                          </a:ln>
                        </pic:spPr>
                      </pic:pic>
                    </a:graphicData>
                  </a:graphic>
                </wp:inline>
              </w:drawing>
            </w:r>
          </w:p>
        </w:tc>
        <w:tc>
          <w:tcPr>
            <w:tcW w:w="1884" w:type="pct"/>
            <w:tcBorders/>
          </w:tcPr>
          <w:p>
            <w:pPr>
              <w:pStyle w:val="style0"/>
              <w:rPr/>
            </w:pPr>
            <w:r>
              <w:rPr>
                <w:noProof/>
                <w:lang w:eastAsia="fr-FR"/>
              </w:rPr>
              <w:drawing>
                <wp:inline distT="0" distR="0" distL="0" distB="0">
                  <wp:extent cx="1928378" cy="2556000"/>
                  <wp:effectExtent l="0" t="0" r="0" b="0"/>
                  <wp:docPr id="1056" name="Imag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Image 2"/>
                          <pic:cNvPicPr/>
                        </pic:nvPicPr>
                        <pic:blipFill>
                          <a:blip r:embed="rId34" cstate="print"/>
                          <a:srcRect l="0" t="0" r="0" b="0"/>
                          <a:stretch/>
                        </pic:blipFill>
                        <pic:spPr>
                          <a:xfrm rot="0">
                            <a:off x="0" y="0"/>
                            <a:ext cx="1928378" cy="2556000"/>
                          </a:xfrm>
                          <a:prstGeom prst="rect"/>
                          <a:ln>
                            <a:noFill/>
                          </a:ln>
                        </pic:spPr>
                      </pic:pic>
                    </a:graphicData>
                  </a:graphic>
                </wp:inline>
              </w:drawing>
            </w:r>
          </w:p>
        </w:tc>
      </w:tr>
      <w:tr>
        <w:tblPrEx/>
        <w:trPr/>
        <w:tc>
          <w:tcPr>
            <w:tcW w:w="3116" w:type="pct"/>
            <w:tcBorders/>
          </w:tcPr>
          <w:p>
            <w:pPr>
              <w:pStyle w:val="style0"/>
              <w:rPr>
                <w:sz w:val="20"/>
              </w:rPr>
            </w:pPr>
            <w:r>
              <w:rPr>
                <w:sz w:val="20"/>
              </w:rPr>
              <w:t>Source : Données de l’études, Janvier 2019</w:t>
            </w:r>
          </w:p>
        </w:tc>
        <w:tc>
          <w:tcPr>
            <w:tcW w:w="1884" w:type="pct"/>
            <w:tcBorders/>
          </w:tcPr>
          <w:p>
            <w:pPr>
              <w:pStyle w:val="style0"/>
              <w:rPr>
                <w:sz w:val="20"/>
              </w:rPr>
            </w:pPr>
            <w:r>
              <w:rPr>
                <w:sz w:val="18"/>
              </w:rPr>
              <w:t>Source : Données de l’études, Janvier 2019</w:t>
            </w:r>
          </w:p>
        </w:tc>
      </w:tr>
      <w:bookmarkStart w:id="273" w:name="_Toc260223"/>
    </w:tbl>
    <w:p>
      <w:pPr>
        <w:pStyle w:val="style0"/>
        <w:spacing w:lineRule="auto" w:line="276"/>
        <w:rPr>
          <w:b/>
          <w:sz w:val="23"/>
          <w:szCs w:val="23"/>
        </w:rPr>
      </w:pPr>
      <w:r>
        <w:rPr>
          <w:sz w:val="20"/>
          <w:szCs w:val="20"/>
        </w:rPr>
        <w:t xml:space="preserve">Tableau </w:t>
      </w:r>
      <w:r>
        <w:rPr>
          <w:sz w:val="20"/>
          <w:szCs w:val="20"/>
        </w:rPr>
        <w:fldChar w:fldCharType="begin"/>
      </w:r>
      <w:r>
        <w:rPr>
          <w:sz w:val="20"/>
          <w:szCs w:val="20"/>
        </w:rPr>
        <w:instrText xml:space="preserve"> </w:instrText>
      </w:r>
      <w:r>
        <w:rPr>
          <w:sz w:val="20"/>
          <w:szCs w:val="20"/>
        </w:rPr>
        <w:instrText>SEQ</w:instrText>
      </w:r>
      <w:r>
        <w:rPr>
          <w:sz w:val="20"/>
          <w:szCs w:val="20"/>
        </w:rPr>
        <w:instrText xml:space="preserve"> Tableau \* ARABIC </w:instrText>
      </w:r>
      <w:r>
        <w:rPr>
          <w:sz w:val="20"/>
          <w:szCs w:val="20"/>
        </w:rPr>
        <w:fldChar w:fldCharType="separate"/>
      </w:r>
      <w:r>
        <w:rPr>
          <w:noProof/>
          <w:sz w:val="20"/>
          <w:szCs w:val="20"/>
        </w:rPr>
        <w:t>16</w:t>
      </w:r>
      <w:r>
        <w:rPr>
          <w:sz w:val="20"/>
          <w:szCs w:val="20"/>
        </w:rPr>
        <w:fldChar w:fldCharType="end"/>
      </w:r>
      <w:r>
        <w:rPr>
          <w:rFonts w:eastAsia="Calibri"/>
          <w:i/>
          <w:iCs/>
          <w:color w:val="1f497d"/>
          <w:sz w:val="20"/>
          <w:szCs w:val="20"/>
        </w:rPr>
        <w:t> :</w:t>
      </w:r>
      <w:r>
        <w:rPr>
          <w:rFonts w:eastAsia="Calibri"/>
          <w:i/>
          <w:iCs/>
          <w:color w:val="1f497d"/>
          <w:sz w:val="20"/>
          <w:szCs w:val="20"/>
        </w:rPr>
        <w:t>Evaluation des risques liés à l’utilisation et la gestion des pesticides</w:t>
      </w:r>
      <w:bookmarkEnd w:id="273"/>
      <w:r>
        <w:rPr>
          <w:rFonts w:eastAsia="Calibri"/>
          <w:i/>
          <w:iCs/>
          <w:color w:val="1f497d"/>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418"/>
        <w:gridCol w:w="850"/>
        <w:gridCol w:w="993"/>
        <w:gridCol w:w="1950"/>
      </w:tblGrid>
      <w:tr>
        <w:trPr/>
        <w:tc>
          <w:tcPr>
            <w:tcW w:w="4077" w:type="dxa"/>
            <w:tcBorders/>
            <w:shd w:val="clear" w:color="auto" w:fill="ddd9c3"/>
            <w:vAlign w:val="center"/>
          </w:tcPr>
          <w:p>
            <w:pPr>
              <w:pStyle w:val="style0"/>
              <w:spacing w:before="0"/>
              <w:jc w:val="left"/>
              <w:rPr>
                <w:b/>
                <w:sz w:val="18"/>
                <w:szCs w:val="23"/>
              </w:rPr>
            </w:pPr>
            <w:r>
              <w:rPr>
                <w:b/>
                <w:sz w:val="18"/>
                <w:szCs w:val="23"/>
              </w:rPr>
              <w:t>Risques</w:t>
            </w:r>
          </w:p>
        </w:tc>
        <w:tc>
          <w:tcPr>
            <w:tcW w:w="1418" w:type="dxa"/>
            <w:tcBorders/>
            <w:shd w:val="clear" w:color="auto" w:fill="ddd9c3"/>
            <w:vAlign w:val="center"/>
          </w:tcPr>
          <w:p>
            <w:pPr>
              <w:pStyle w:val="style0"/>
              <w:spacing w:before="0"/>
              <w:jc w:val="center"/>
              <w:rPr>
                <w:b/>
                <w:sz w:val="18"/>
                <w:szCs w:val="23"/>
              </w:rPr>
            </w:pPr>
            <w:r>
              <w:rPr>
                <w:b/>
                <w:sz w:val="18"/>
                <w:szCs w:val="23"/>
              </w:rPr>
              <w:t>Probabilité d’occurrence</w:t>
            </w:r>
          </w:p>
        </w:tc>
        <w:tc>
          <w:tcPr>
            <w:tcW w:w="850" w:type="dxa"/>
            <w:tcBorders/>
            <w:shd w:val="clear" w:color="auto" w:fill="ddd9c3"/>
            <w:vAlign w:val="center"/>
          </w:tcPr>
          <w:p>
            <w:pPr>
              <w:pStyle w:val="style0"/>
              <w:spacing w:before="0"/>
              <w:jc w:val="center"/>
              <w:rPr>
                <w:b/>
                <w:sz w:val="18"/>
                <w:szCs w:val="23"/>
              </w:rPr>
            </w:pPr>
            <w:r>
              <w:rPr>
                <w:b/>
                <w:sz w:val="18"/>
                <w:szCs w:val="23"/>
              </w:rPr>
              <w:t>Gravité</w:t>
            </w:r>
          </w:p>
        </w:tc>
        <w:tc>
          <w:tcPr>
            <w:tcW w:w="993" w:type="dxa"/>
            <w:tcBorders/>
            <w:shd w:val="clear" w:color="auto" w:fill="ddd9c3"/>
            <w:vAlign w:val="center"/>
          </w:tcPr>
          <w:p>
            <w:pPr>
              <w:pStyle w:val="style0"/>
              <w:spacing w:before="0"/>
              <w:jc w:val="center"/>
              <w:rPr>
                <w:b/>
                <w:sz w:val="18"/>
                <w:szCs w:val="23"/>
              </w:rPr>
            </w:pPr>
            <w:r>
              <w:rPr>
                <w:b/>
                <w:sz w:val="18"/>
                <w:szCs w:val="23"/>
              </w:rPr>
              <w:t>Criticité</w:t>
            </w:r>
          </w:p>
        </w:tc>
        <w:tc>
          <w:tcPr>
            <w:tcW w:w="1950" w:type="dxa"/>
            <w:tcBorders/>
            <w:shd w:val="clear" w:color="auto" w:fill="ddd9c3"/>
            <w:vAlign w:val="center"/>
          </w:tcPr>
          <w:p>
            <w:pPr>
              <w:pStyle w:val="style0"/>
              <w:spacing w:before="0"/>
              <w:jc w:val="left"/>
              <w:rPr>
                <w:b/>
                <w:sz w:val="18"/>
                <w:szCs w:val="23"/>
              </w:rPr>
            </w:pPr>
            <w:r>
              <w:rPr>
                <w:b/>
                <w:sz w:val="18"/>
                <w:szCs w:val="23"/>
              </w:rPr>
              <w:t>Appréciation du niveau de risque</w:t>
            </w:r>
          </w:p>
        </w:tc>
      </w:tr>
      <w:tr>
        <w:tblPrEx/>
        <w:trPr/>
        <w:tc>
          <w:tcPr>
            <w:tcW w:w="9288" w:type="dxa"/>
            <w:gridSpan w:val="5"/>
            <w:tcBorders/>
            <w:shd w:val="clear" w:color="auto" w:fill="d9d9d9"/>
            <w:vAlign w:val="center"/>
          </w:tcPr>
          <w:p>
            <w:pPr>
              <w:pStyle w:val="style0"/>
              <w:spacing w:before="0"/>
              <w:jc w:val="left"/>
              <w:rPr>
                <w:b/>
                <w:sz w:val="23"/>
                <w:szCs w:val="23"/>
              </w:rPr>
            </w:pPr>
            <w:r>
              <w:rPr>
                <w:b/>
                <w:sz w:val="23"/>
                <w:szCs w:val="23"/>
              </w:rPr>
              <w:t>Risques durant le transport</w:t>
            </w:r>
          </w:p>
        </w:tc>
      </w:tr>
      <w:tr>
        <w:tblPrEx/>
        <w:trPr>
          <w:trHeight w:val="600" w:hRule="atLeast"/>
        </w:trPr>
        <w:tc>
          <w:tcPr>
            <w:tcW w:w="4077" w:type="dxa"/>
            <w:tcBorders/>
            <w:vAlign w:val="center"/>
          </w:tcPr>
          <w:p>
            <w:pPr>
              <w:pStyle w:val="style0"/>
              <w:spacing w:before="0"/>
              <w:jc w:val="left"/>
              <w:rPr>
                <w:b/>
                <w:sz w:val="20"/>
                <w:szCs w:val="20"/>
              </w:rPr>
            </w:pPr>
            <w:r>
              <w:rPr>
                <w:sz w:val="20"/>
                <w:szCs w:val="20"/>
              </w:rPr>
              <w:t>Déversement accidentel de pesticides sur le sol et dans les eaux</w:t>
            </w:r>
          </w:p>
        </w:tc>
        <w:tc>
          <w:tcPr>
            <w:tcW w:w="1418" w:type="dxa"/>
            <w:tcBorders/>
            <w:vAlign w:val="center"/>
          </w:tcPr>
          <w:p>
            <w:pPr>
              <w:pStyle w:val="style0"/>
              <w:spacing w:before="0"/>
              <w:jc w:val="center"/>
              <w:rPr>
                <w:sz w:val="20"/>
                <w:szCs w:val="20"/>
              </w:rPr>
            </w:pPr>
            <w:r>
              <w:rPr>
                <w:sz w:val="20"/>
                <w:szCs w:val="20"/>
              </w:rPr>
              <w:t>3</w:t>
            </w:r>
          </w:p>
        </w:tc>
        <w:tc>
          <w:tcPr>
            <w:tcW w:w="850" w:type="dxa"/>
            <w:tcBorders/>
            <w:vAlign w:val="center"/>
          </w:tcPr>
          <w:p>
            <w:pPr>
              <w:pStyle w:val="style0"/>
              <w:spacing w:before="0"/>
              <w:jc w:val="center"/>
              <w:rPr>
                <w:sz w:val="20"/>
                <w:szCs w:val="20"/>
              </w:rPr>
            </w:pPr>
            <w:r>
              <w:rPr>
                <w:sz w:val="20"/>
                <w:szCs w:val="20"/>
              </w:rPr>
              <w:t>3</w:t>
            </w:r>
          </w:p>
        </w:tc>
        <w:tc>
          <w:tcPr>
            <w:tcW w:w="993" w:type="dxa"/>
            <w:tcBorders/>
            <w:vAlign w:val="center"/>
          </w:tcPr>
          <w:p>
            <w:pPr>
              <w:pStyle w:val="style0"/>
              <w:spacing w:before="0"/>
              <w:jc w:val="center"/>
              <w:rPr>
                <w:sz w:val="20"/>
                <w:szCs w:val="20"/>
              </w:rPr>
            </w:pPr>
            <w:r>
              <w:rPr>
                <w:sz w:val="20"/>
                <w:szCs w:val="20"/>
              </w:rPr>
              <w:t>9</w:t>
            </w:r>
          </w:p>
        </w:tc>
        <w:tc>
          <w:tcPr>
            <w:tcW w:w="1950" w:type="dxa"/>
            <w:tcBorders/>
            <w:vAlign w:val="center"/>
          </w:tcPr>
          <w:p>
            <w:pPr>
              <w:pStyle w:val="style0"/>
              <w:spacing w:before="0"/>
              <w:jc w:val="left"/>
              <w:rPr>
                <w:sz w:val="20"/>
                <w:szCs w:val="20"/>
              </w:rPr>
            </w:pPr>
            <w:r>
              <w:rPr>
                <w:sz w:val="20"/>
                <w:szCs w:val="20"/>
              </w:rPr>
              <w:t xml:space="preserve"> Risque Majeur</w:t>
            </w:r>
          </w:p>
        </w:tc>
      </w:tr>
      <w:tr>
        <w:tblPrEx/>
        <w:trPr>
          <w:trHeight w:val="510" w:hRule="atLeast"/>
        </w:trPr>
        <w:tc>
          <w:tcPr>
            <w:tcW w:w="4077" w:type="dxa"/>
            <w:tcBorders/>
            <w:vAlign w:val="center"/>
          </w:tcPr>
          <w:p>
            <w:pPr>
              <w:pStyle w:val="style0"/>
              <w:spacing w:before="0"/>
              <w:jc w:val="left"/>
              <w:rPr>
                <w:sz w:val="20"/>
                <w:szCs w:val="20"/>
              </w:rPr>
            </w:pPr>
            <w:r>
              <w:rPr>
                <w:sz w:val="20"/>
                <w:szCs w:val="20"/>
              </w:rPr>
              <w:t>Contamination accidentelle des personnes chargées du transport</w:t>
            </w:r>
          </w:p>
        </w:tc>
        <w:tc>
          <w:tcPr>
            <w:tcW w:w="1418" w:type="dxa"/>
            <w:tcBorders/>
            <w:vAlign w:val="center"/>
          </w:tcPr>
          <w:p>
            <w:pPr>
              <w:pStyle w:val="style0"/>
              <w:spacing w:before="0"/>
              <w:jc w:val="center"/>
              <w:rPr>
                <w:sz w:val="20"/>
                <w:szCs w:val="20"/>
              </w:rPr>
            </w:pPr>
            <w:r>
              <w:rPr>
                <w:sz w:val="20"/>
                <w:szCs w:val="20"/>
              </w:rPr>
              <w:t>3</w:t>
            </w:r>
          </w:p>
        </w:tc>
        <w:tc>
          <w:tcPr>
            <w:tcW w:w="850" w:type="dxa"/>
            <w:tcBorders/>
            <w:vAlign w:val="center"/>
          </w:tcPr>
          <w:p>
            <w:pPr>
              <w:pStyle w:val="style0"/>
              <w:spacing w:before="0"/>
              <w:jc w:val="center"/>
              <w:rPr>
                <w:sz w:val="20"/>
                <w:szCs w:val="20"/>
              </w:rPr>
            </w:pPr>
            <w:r>
              <w:rPr>
                <w:sz w:val="20"/>
                <w:szCs w:val="20"/>
              </w:rPr>
              <w:t>4</w:t>
            </w:r>
          </w:p>
        </w:tc>
        <w:tc>
          <w:tcPr>
            <w:tcW w:w="993" w:type="dxa"/>
            <w:tcBorders/>
            <w:vAlign w:val="center"/>
          </w:tcPr>
          <w:p>
            <w:pPr>
              <w:pStyle w:val="style0"/>
              <w:spacing w:before="0"/>
              <w:jc w:val="center"/>
              <w:rPr>
                <w:sz w:val="20"/>
                <w:szCs w:val="20"/>
              </w:rPr>
            </w:pPr>
            <w:r>
              <w:rPr>
                <w:sz w:val="20"/>
                <w:szCs w:val="20"/>
              </w:rPr>
              <w:t>12</w:t>
            </w:r>
          </w:p>
        </w:tc>
        <w:tc>
          <w:tcPr>
            <w:tcW w:w="1950" w:type="dxa"/>
            <w:tcBorders/>
            <w:vAlign w:val="center"/>
          </w:tcPr>
          <w:p>
            <w:pPr>
              <w:pStyle w:val="style0"/>
              <w:spacing w:before="0"/>
              <w:jc w:val="left"/>
              <w:rPr>
                <w:sz w:val="20"/>
                <w:szCs w:val="20"/>
              </w:rPr>
            </w:pPr>
            <w:r>
              <w:rPr>
                <w:sz w:val="20"/>
                <w:szCs w:val="20"/>
              </w:rPr>
              <w:t xml:space="preserve"> Risque Majeur</w:t>
            </w:r>
          </w:p>
        </w:tc>
      </w:tr>
      <w:tr>
        <w:tblPrEx/>
        <w:trPr>
          <w:trHeight w:val="628" w:hRule="atLeast"/>
        </w:trPr>
        <w:tc>
          <w:tcPr>
            <w:tcW w:w="4077" w:type="dxa"/>
            <w:tcBorders/>
            <w:vAlign w:val="center"/>
          </w:tcPr>
          <w:p>
            <w:pPr>
              <w:pStyle w:val="style0"/>
              <w:spacing w:before="0"/>
              <w:jc w:val="left"/>
              <w:rPr>
                <w:sz w:val="20"/>
                <w:szCs w:val="20"/>
              </w:rPr>
            </w:pPr>
            <w:r>
              <w:rPr>
                <w:sz w:val="20"/>
                <w:szCs w:val="20"/>
              </w:rPr>
              <w:t>Contamination de la faune aquatique, terrestre et animaux domestiques</w:t>
            </w:r>
          </w:p>
        </w:tc>
        <w:tc>
          <w:tcPr>
            <w:tcW w:w="1418" w:type="dxa"/>
            <w:tcBorders/>
            <w:vAlign w:val="center"/>
          </w:tcPr>
          <w:p>
            <w:pPr>
              <w:pStyle w:val="style0"/>
              <w:spacing w:before="0"/>
              <w:jc w:val="center"/>
              <w:rPr>
                <w:sz w:val="20"/>
                <w:szCs w:val="20"/>
              </w:rPr>
            </w:pPr>
            <w:r>
              <w:rPr>
                <w:sz w:val="20"/>
                <w:szCs w:val="20"/>
              </w:rPr>
              <w:t>3</w:t>
            </w:r>
          </w:p>
        </w:tc>
        <w:tc>
          <w:tcPr>
            <w:tcW w:w="850" w:type="dxa"/>
            <w:tcBorders/>
            <w:vAlign w:val="center"/>
          </w:tcPr>
          <w:p>
            <w:pPr>
              <w:pStyle w:val="style0"/>
              <w:spacing w:before="0"/>
              <w:jc w:val="center"/>
              <w:rPr>
                <w:sz w:val="20"/>
                <w:szCs w:val="20"/>
              </w:rPr>
            </w:pPr>
            <w:r>
              <w:rPr>
                <w:sz w:val="20"/>
                <w:szCs w:val="20"/>
              </w:rPr>
              <w:t>4</w:t>
            </w:r>
          </w:p>
        </w:tc>
        <w:tc>
          <w:tcPr>
            <w:tcW w:w="993" w:type="dxa"/>
            <w:tcBorders/>
            <w:vAlign w:val="center"/>
          </w:tcPr>
          <w:p>
            <w:pPr>
              <w:pStyle w:val="style0"/>
              <w:spacing w:before="0"/>
              <w:jc w:val="center"/>
              <w:rPr>
                <w:sz w:val="20"/>
                <w:szCs w:val="20"/>
              </w:rPr>
            </w:pPr>
            <w:r>
              <w:rPr>
                <w:sz w:val="20"/>
                <w:szCs w:val="20"/>
              </w:rPr>
              <w:t>12</w:t>
            </w:r>
          </w:p>
        </w:tc>
        <w:tc>
          <w:tcPr>
            <w:tcW w:w="1950" w:type="dxa"/>
            <w:tcBorders/>
            <w:vAlign w:val="center"/>
          </w:tcPr>
          <w:p>
            <w:pPr>
              <w:pStyle w:val="style0"/>
              <w:spacing w:before="0"/>
              <w:jc w:val="left"/>
              <w:rPr>
                <w:sz w:val="20"/>
                <w:szCs w:val="20"/>
              </w:rPr>
            </w:pPr>
            <w:r>
              <w:rPr>
                <w:sz w:val="20"/>
                <w:szCs w:val="20"/>
              </w:rPr>
              <w:t>Risque Majeur</w:t>
            </w:r>
          </w:p>
        </w:tc>
      </w:tr>
      <w:tr>
        <w:tblPrEx/>
        <w:trPr/>
        <w:tc>
          <w:tcPr>
            <w:tcW w:w="9288" w:type="dxa"/>
            <w:gridSpan w:val="5"/>
            <w:tcBorders/>
            <w:shd w:val="clear" w:color="auto" w:fill="d9d9d9"/>
            <w:vAlign w:val="center"/>
          </w:tcPr>
          <w:p>
            <w:pPr>
              <w:pStyle w:val="style0"/>
              <w:spacing w:before="0"/>
              <w:jc w:val="left"/>
              <w:rPr>
                <w:sz w:val="20"/>
                <w:szCs w:val="20"/>
              </w:rPr>
            </w:pPr>
            <w:r>
              <w:rPr>
                <w:b/>
                <w:sz w:val="20"/>
                <w:szCs w:val="20"/>
              </w:rPr>
              <w:t>Risques stockage</w:t>
            </w:r>
          </w:p>
        </w:tc>
      </w:tr>
      <w:tr>
        <w:tblPrEx/>
        <w:trPr>
          <w:trHeight w:val="460" w:hRule="atLeast"/>
        </w:trPr>
        <w:tc>
          <w:tcPr>
            <w:tcW w:w="4077" w:type="dxa"/>
            <w:tcBorders/>
            <w:vAlign w:val="center"/>
          </w:tcPr>
          <w:p>
            <w:pPr>
              <w:pStyle w:val="style0"/>
              <w:spacing w:before="0"/>
              <w:jc w:val="left"/>
              <w:rPr>
                <w:sz w:val="20"/>
                <w:szCs w:val="20"/>
              </w:rPr>
            </w:pPr>
            <w:r>
              <w:rPr>
                <w:sz w:val="20"/>
                <w:szCs w:val="20"/>
              </w:rPr>
              <w:t>Pollution du sol et des eaux de surface et souterraines</w:t>
            </w:r>
          </w:p>
        </w:tc>
        <w:tc>
          <w:tcPr>
            <w:tcW w:w="1418" w:type="dxa"/>
            <w:tcBorders/>
            <w:vAlign w:val="center"/>
          </w:tcPr>
          <w:p>
            <w:pPr>
              <w:pStyle w:val="style0"/>
              <w:spacing w:before="0"/>
              <w:jc w:val="center"/>
              <w:rPr>
                <w:sz w:val="20"/>
                <w:szCs w:val="20"/>
              </w:rPr>
            </w:pPr>
            <w:r>
              <w:rPr>
                <w:sz w:val="20"/>
                <w:szCs w:val="20"/>
              </w:rPr>
              <w:t>3</w:t>
            </w:r>
          </w:p>
        </w:tc>
        <w:tc>
          <w:tcPr>
            <w:tcW w:w="850" w:type="dxa"/>
            <w:tcBorders/>
            <w:vAlign w:val="center"/>
          </w:tcPr>
          <w:p>
            <w:pPr>
              <w:pStyle w:val="style0"/>
              <w:spacing w:before="0"/>
              <w:jc w:val="center"/>
              <w:rPr>
                <w:sz w:val="20"/>
                <w:szCs w:val="20"/>
              </w:rPr>
            </w:pPr>
            <w:r>
              <w:rPr>
                <w:sz w:val="20"/>
                <w:szCs w:val="20"/>
              </w:rPr>
              <w:t>3</w:t>
            </w:r>
          </w:p>
        </w:tc>
        <w:tc>
          <w:tcPr>
            <w:tcW w:w="993" w:type="dxa"/>
            <w:tcBorders/>
            <w:vAlign w:val="center"/>
          </w:tcPr>
          <w:p>
            <w:pPr>
              <w:pStyle w:val="style0"/>
              <w:spacing w:before="0"/>
              <w:jc w:val="center"/>
              <w:rPr>
                <w:sz w:val="20"/>
                <w:szCs w:val="20"/>
              </w:rPr>
            </w:pPr>
            <w:r>
              <w:rPr>
                <w:sz w:val="20"/>
                <w:szCs w:val="20"/>
              </w:rPr>
              <w:t>9</w:t>
            </w:r>
          </w:p>
        </w:tc>
        <w:tc>
          <w:tcPr>
            <w:tcW w:w="1950" w:type="dxa"/>
            <w:tcBorders/>
            <w:vAlign w:val="center"/>
          </w:tcPr>
          <w:p>
            <w:pPr>
              <w:pStyle w:val="style0"/>
              <w:spacing w:before="0"/>
              <w:jc w:val="left"/>
              <w:rPr>
                <w:sz w:val="20"/>
                <w:szCs w:val="20"/>
              </w:rPr>
            </w:pPr>
            <w:r>
              <w:rPr>
                <w:sz w:val="20"/>
                <w:szCs w:val="20"/>
              </w:rPr>
              <w:t>Risque Majeur</w:t>
            </w:r>
          </w:p>
        </w:tc>
      </w:tr>
      <w:tr>
        <w:tblPrEx/>
        <w:trPr>
          <w:trHeight w:val="795" w:hRule="atLeast"/>
        </w:trPr>
        <w:tc>
          <w:tcPr>
            <w:tcW w:w="4077" w:type="dxa"/>
            <w:tcBorders/>
            <w:vAlign w:val="center"/>
          </w:tcPr>
          <w:p>
            <w:pPr>
              <w:pStyle w:val="style0"/>
              <w:spacing w:before="0"/>
              <w:jc w:val="left"/>
              <w:rPr>
                <w:sz w:val="20"/>
                <w:szCs w:val="20"/>
              </w:rPr>
            </w:pPr>
            <w:r>
              <w:rPr>
                <w:sz w:val="20"/>
                <w:szCs w:val="20"/>
              </w:rPr>
              <w:t>Inhalation et déversement des pesticides sur le corps</w:t>
            </w:r>
            <w:r>
              <w:rPr>
                <w:sz w:val="20"/>
                <w:szCs w:val="20"/>
              </w:rPr>
              <w:t xml:space="preserve"> </w:t>
            </w:r>
            <w:r>
              <w:rPr>
                <w:sz w:val="20"/>
                <w:szCs w:val="20"/>
              </w:rPr>
              <w:t>(la peau et les yeux et bouche);</w:t>
            </w:r>
          </w:p>
        </w:tc>
        <w:tc>
          <w:tcPr>
            <w:tcW w:w="1418" w:type="dxa"/>
            <w:tcBorders/>
            <w:vAlign w:val="center"/>
          </w:tcPr>
          <w:p>
            <w:pPr>
              <w:pStyle w:val="style0"/>
              <w:spacing w:before="0"/>
              <w:jc w:val="center"/>
              <w:rPr>
                <w:sz w:val="20"/>
                <w:szCs w:val="20"/>
              </w:rPr>
            </w:pPr>
            <w:r>
              <w:rPr>
                <w:sz w:val="20"/>
                <w:szCs w:val="20"/>
              </w:rPr>
              <w:t>2</w:t>
            </w:r>
          </w:p>
        </w:tc>
        <w:tc>
          <w:tcPr>
            <w:tcW w:w="850" w:type="dxa"/>
            <w:tcBorders/>
            <w:vAlign w:val="center"/>
          </w:tcPr>
          <w:p>
            <w:pPr>
              <w:pStyle w:val="style0"/>
              <w:spacing w:before="0"/>
              <w:jc w:val="center"/>
              <w:rPr>
                <w:sz w:val="20"/>
                <w:szCs w:val="20"/>
              </w:rPr>
            </w:pPr>
            <w:r>
              <w:rPr>
                <w:sz w:val="20"/>
                <w:szCs w:val="20"/>
              </w:rPr>
              <w:t>4</w:t>
            </w:r>
          </w:p>
        </w:tc>
        <w:tc>
          <w:tcPr>
            <w:tcW w:w="993" w:type="dxa"/>
            <w:tcBorders/>
            <w:vAlign w:val="center"/>
          </w:tcPr>
          <w:p>
            <w:pPr>
              <w:pStyle w:val="style0"/>
              <w:spacing w:before="0"/>
              <w:jc w:val="center"/>
              <w:rPr>
                <w:sz w:val="20"/>
                <w:szCs w:val="20"/>
              </w:rPr>
            </w:pPr>
            <w:r>
              <w:rPr>
                <w:sz w:val="20"/>
                <w:szCs w:val="20"/>
              </w:rPr>
              <w:t>8</w:t>
            </w:r>
          </w:p>
        </w:tc>
        <w:tc>
          <w:tcPr>
            <w:tcW w:w="1950" w:type="dxa"/>
            <w:tcBorders/>
            <w:vAlign w:val="center"/>
          </w:tcPr>
          <w:p>
            <w:pPr>
              <w:pStyle w:val="style0"/>
              <w:spacing w:before="0"/>
              <w:jc w:val="left"/>
              <w:rPr>
                <w:sz w:val="20"/>
                <w:szCs w:val="20"/>
              </w:rPr>
            </w:pPr>
            <w:r>
              <w:rPr>
                <w:sz w:val="20"/>
                <w:szCs w:val="20"/>
              </w:rPr>
              <w:t>Risque Moyen</w:t>
            </w:r>
          </w:p>
        </w:tc>
      </w:tr>
      <w:tr>
        <w:tblPrEx/>
        <w:trPr>
          <w:trHeight w:val="446" w:hRule="atLeast"/>
        </w:trPr>
        <w:tc>
          <w:tcPr>
            <w:tcW w:w="4077" w:type="dxa"/>
            <w:tcBorders>
              <w:bottom w:val="single" w:sz="4" w:space="0" w:color="auto"/>
            </w:tcBorders>
            <w:vAlign w:val="center"/>
          </w:tcPr>
          <w:p>
            <w:pPr>
              <w:pStyle w:val="style0"/>
              <w:spacing w:before="0"/>
              <w:jc w:val="left"/>
              <w:rPr>
                <w:sz w:val="20"/>
                <w:szCs w:val="20"/>
              </w:rPr>
            </w:pPr>
            <w:r>
              <w:rPr>
                <w:sz w:val="20"/>
                <w:szCs w:val="20"/>
              </w:rPr>
              <w:t>Contamination des eaux de boissons et les produits vivriers</w:t>
            </w:r>
          </w:p>
        </w:tc>
        <w:tc>
          <w:tcPr>
            <w:tcW w:w="1418" w:type="dxa"/>
            <w:tcBorders>
              <w:bottom w:val="single" w:sz="4" w:space="0" w:color="auto"/>
            </w:tcBorders>
            <w:vAlign w:val="center"/>
          </w:tcPr>
          <w:p>
            <w:pPr>
              <w:pStyle w:val="style0"/>
              <w:spacing w:before="0"/>
              <w:jc w:val="center"/>
              <w:rPr>
                <w:sz w:val="20"/>
                <w:szCs w:val="20"/>
              </w:rPr>
            </w:pPr>
            <w:r>
              <w:rPr>
                <w:sz w:val="20"/>
                <w:szCs w:val="20"/>
              </w:rPr>
              <w:t>3</w:t>
            </w:r>
          </w:p>
        </w:tc>
        <w:tc>
          <w:tcPr>
            <w:tcW w:w="850" w:type="dxa"/>
            <w:tcBorders>
              <w:bottom w:val="single" w:sz="4" w:space="0" w:color="auto"/>
            </w:tcBorders>
            <w:vAlign w:val="center"/>
          </w:tcPr>
          <w:p>
            <w:pPr>
              <w:pStyle w:val="style0"/>
              <w:spacing w:before="0"/>
              <w:jc w:val="center"/>
              <w:rPr>
                <w:sz w:val="20"/>
                <w:szCs w:val="20"/>
              </w:rPr>
            </w:pPr>
            <w:r>
              <w:rPr>
                <w:sz w:val="20"/>
                <w:szCs w:val="20"/>
              </w:rPr>
              <w:t>3</w:t>
            </w:r>
          </w:p>
        </w:tc>
        <w:tc>
          <w:tcPr>
            <w:tcW w:w="993" w:type="dxa"/>
            <w:tcBorders>
              <w:bottom w:val="single" w:sz="4" w:space="0" w:color="auto"/>
            </w:tcBorders>
            <w:vAlign w:val="center"/>
          </w:tcPr>
          <w:p>
            <w:pPr>
              <w:pStyle w:val="style0"/>
              <w:spacing w:before="0"/>
              <w:jc w:val="center"/>
              <w:rPr>
                <w:sz w:val="20"/>
                <w:szCs w:val="20"/>
              </w:rPr>
            </w:pPr>
            <w:r>
              <w:rPr>
                <w:sz w:val="20"/>
                <w:szCs w:val="20"/>
              </w:rPr>
              <w:t>9</w:t>
            </w:r>
          </w:p>
        </w:tc>
        <w:tc>
          <w:tcPr>
            <w:tcW w:w="1950" w:type="dxa"/>
            <w:tcBorders>
              <w:bottom w:val="single" w:sz="4" w:space="0" w:color="auto"/>
            </w:tcBorders>
            <w:vAlign w:val="center"/>
          </w:tcPr>
          <w:p>
            <w:pPr>
              <w:pStyle w:val="style0"/>
              <w:spacing w:before="0"/>
              <w:jc w:val="left"/>
              <w:rPr>
                <w:sz w:val="20"/>
                <w:szCs w:val="20"/>
              </w:rPr>
            </w:pPr>
            <w:r>
              <w:rPr>
                <w:sz w:val="20"/>
                <w:szCs w:val="20"/>
              </w:rPr>
              <w:t>Risque Majeur</w:t>
            </w:r>
          </w:p>
        </w:tc>
      </w:tr>
      <w:tr>
        <w:tblPrEx/>
        <w:trPr/>
        <w:tc>
          <w:tcPr>
            <w:tcW w:w="9288" w:type="dxa"/>
            <w:gridSpan w:val="5"/>
            <w:tcBorders/>
            <w:shd w:val="clear" w:color="auto" w:fill="d9d9d9"/>
            <w:vAlign w:val="center"/>
          </w:tcPr>
          <w:p>
            <w:pPr>
              <w:pStyle w:val="style0"/>
              <w:spacing w:before="0"/>
              <w:jc w:val="left"/>
              <w:rPr>
                <w:sz w:val="20"/>
                <w:szCs w:val="20"/>
              </w:rPr>
            </w:pPr>
            <w:r>
              <w:rPr>
                <w:b/>
                <w:sz w:val="20"/>
                <w:szCs w:val="20"/>
              </w:rPr>
              <w:t>Utilisation des pesticides</w:t>
            </w:r>
          </w:p>
        </w:tc>
      </w:tr>
      <w:tr>
        <w:tblPrEx/>
        <w:trPr>
          <w:trHeight w:val="599" w:hRule="atLeast"/>
        </w:trPr>
        <w:tc>
          <w:tcPr>
            <w:tcW w:w="4077" w:type="dxa"/>
            <w:tcBorders/>
            <w:vAlign w:val="center"/>
          </w:tcPr>
          <w:p>
            <w:pPr>
              <w:pStyle w:val="style0"/>
              <w:spacing w:before="0"/>
              <w:jc w:val="left"/>
              <w:rPr>
                <w:b/>
                <w:sz w:val="20"/>
                <w:szCs w:val="20"/>
              </w:rPr>
            </w:pPr>
            <w:r>
              <w:rPr>
                <w:sz w:val="20"/>
                <w:szCs w:val="20"/>
              </w:rPr>
              <w:t>Contamination accidentelle des usagers (la peau, les yeux, la bouche et la peau)</w:t>
            </w:r>
          </w:p>
        </w:tc>
        <w:tc>
          <w:tcPr>
            <w:tcW w:w="1418" w:type="dxa"/>
            <w:tcBorders/>
            <w:vAlign w:val="center"/>
          </w:tcPr>
          <w:p>
            <w:pPr>
              <w:pStyle w:val="style0"/>
              <w:spacing w:before="0"/>
              <w:jc w:val="center"/>
              <w:rPr>
                <w:sz w:val="20"/>
                <w:szCs w:val="20"/>
              </w:rPr>
            </w:pPr>
            <w:r>
              <w:rPr>
                <w:sz w:val="20"/>
                <w:szCs w:val="20"/>
              </w:rPr>
              <w:t>3</w:t>
            </w:r>
          </w:p>
        </w:tc>
        <w:tc>
          <w:tcPr>
            <w:tcW w:w="850" w:type="dxa"/>
            <w:tcBorders/>
            <w:vAlign w:val="center"/>
          </w:tcPr>
          <w:p>
            <w:pPr>
              <w:pStyle w:val="style0"/>
              <w:spacing w:before="0"/>
              <w:jc w:val="center"/>
              <w:rPr>
                <w:sz w:val="20"/>
                <w:szCs w:val="20"/>
              </w:rPr>
            </w:pPr>
            <w:r>
              <w:rPr>
                <w:sz w:val="20"/>
                <w:szCs w:val="20"/>
              </w:rPr>
              <w:t>4</w:t>
            </w:r>
          </w:p>
        </w:tc>
        <w:tc>
          <w:tcPr>
            <w:tcW w:w="993" w:type="dxa"/>
            <w:tcBorders/>
            <w:vAlign w:val="center"/>
          </w:tcPr>
          <w:p>
            <w:pPr>
              <w:pStyle w:val="style0"/>
              <w:spacing w:before="0"/>
              <w:jc w:val="center"/>
              <w:rPr>
                <w:sz w:val="20"/>
                <w:szCs w:val="20"/>
              </w:rPr>
            </w:pPr>
            <w:r>
              <w:rPr>
                <w:sz w:val="20"/>
                <w:szCs w:val="20"/>
              </w:rPr>
              <w:t>12</w:t>
            </w:r>
          </w:p>
        </w:tc>
        <w:tc>
          <w:tcPr>
            <w:tcW w:w="1950" w:type="dxa"/>
            <w:tcBorders/>
            <w:vAlign w:val="center"/>
          </w:tcPr>
          <w:p>
            <w:pPr>
              <w:pStyle w:val="style0"/>
              <w:spacing w:before="0"/>
              <w:jc w:val="left"/>
              <w:rPr>
                <w:sz w:val="20"/>
                <w:szCs w:val="20"/>
              </w:rPr>
            </w:pPr>
            <w:r>
              <w:rPr>
                <w:sz w:val="20"/>
                <w:szCs w:val="20"/>
              </w:rPr>
              <w:t>Risque Majeur</w:t>
            </w:r>
          </w:p>
        </w:tc>
      </w:tr>
      <w:tr>
        <w:tblPrEx/>
        <w:trPr>
          <w:trHeight w:val="544" w:hRule="atLeast"/>
        </w:trPr>
        <w:tc>
          <w:tcPr>
            <w:tcW w:w="4077" w:type="dxa"/>
            <w:tcBorders>
              <w:bottom w:val="single" w:sz="4" w:space="0" w:color="auto"/>
            </w:tcBorders>
            <w:vAlign w:val="center"/>
          </w:tcPr>
          <w:p>
            <w:pPr>
              <w:pStyle w:val="style0"/>
              <w:spacing w:before="0"/>
              <w:jc w:val="left"/>
              <w:rPr>
                <w:b/>
                <w:sz w:val="20"/>
                <w:szCs w:val="20"/>
              </w:rPr>
            </w:pPr>
            <w:r>
              <w:rPr>
                <w:sz w:val="20"/>
                <w:szCs w:val="20"/>
              </w:rPr>
              <w:t>Déversement accidentel des pesticides dans l’environnement    ( eau, sol, etc.)</w:t>
            </w:r>
          </w:p>
        </w:tc>
        <w:tc>
          <w:tcPr>
            <w:tcW w:w="1418" w:type="dxa"/>
            <w:tcBorders>
              <w:bottom w:val="single" w:sz="4" w:space="0" w:color="auto"/>
            </w:tcBorders>
            <w:vAlign w:val="center"/>
          </w:tcPr>
          <w:p>
            <w:pPr>
              <w:pStyle w:val="style0"/>
              <w:spacing w:before="0"/>
              <w:jc w:val="center"/>
              <w:rPr>
                <w:sz w:val="20"/>
                <w:szCs w:val="20"/>
              </w:rPr>
            </w:pPr>
            <w:r>
              <w:rPr>
                <w:sz w:val="20"/>
                <w:szCs w:val="20"/>
              </w:rPr>
              <w:t>3</w:t>
            </w:r>
          </w:p>
        </w:tc>
        <w:tc>
          <w:tcPr>
            <w:tcW w:w="850" w:type="dxa"/>
            <w:tcBorders>
              <w:bottom w:val="single" w:sz="4" w:space="0" w:color="auto"/>
            </w:tcBorders>
            <w:vAlign w:val="center"/>
          </w:tcPr>
          <w:p>
            <w:pPr>
              <w:pStyle w:val="style0"/>
              <w:spacing w:before="0"/>
              <w:jc w:val="center"/>
              <w:rPr>
                <w:sz w:val="20"/>
                <w:szCs w:val="20"/>
              </w:rPr>
            </w:pPr>
            <w:r>
              <w:rPr>
                <w:sz w:val="20"/>
                <w:szCs w:val="20"/>
              </w:rPr>
              <w:t>3</w:t>
            </w:r>
          </w:p>
        </w:tc>
        <w:tc>
          <w:tcPr>
            <w:tcW w:w="993" w:type="dxa"/>
            <w:tcBorders>
              <w:bottom w:val="single" w:sz="4" w:space="0" w:color="auto"/>
            </w:tcBorders>
            <w:vAlign w:val="center"/>
          </w:tcPr>
          <w:p>
            <w:pPr>
              <w:pStyle w:val="style0"/>
              <w:spacing w:before="0"/>
              <w:jc w:val="center"/>
              <w:rPr>
                <w:sz w:val="20"/>
                <w:szCs w:val="20"/>
              </w:rPr>
            </w:pPr>
            <w:r>
              <w:rPr>
                <w:sz w:val="20"/>
                <w:szCs w:val="20"/>
              </w:rPr>
              <w:t>9</w:t>
            </w:r>
          </w:p>
        </w:tc>
        <w:tc>
          <w:tcPr>
            <w:tcW w:w="1950" w:type="dxa"/>
            <w:tcBorders>
              <w:bottom w:val="single" w:sz="4" w:space="0" w:color="auto"/>
            </w:tcBorders>
            <w:vAlign w:val="center"/>
          </w:tcPr>
          <w:p>
            <w:pPr>
              <w:pStyle w:val="style0"/>
              <w:spacing w:before="0"/>
              <w:jc w:val="left"/>
              <w:rPr>
                <w:sz w:val="20"/>
                <w:szCs w:val="20"/>
              </w:rPr>
            </w:pPr>
            <w:r>
              <w:rPr>
                <w:sz w:val="20"/>
                <w:szCs w:val="20"/>
              </w:rPr>
              <w:t>Risque Majeur</w:t>
            </w:r>
          </w:p>
        </w:tc>
      </w:tr>
      <w:tr>
        <w:tblPrEx/>
        <w:trPr/>
        <w:tc>
          <w:tcPr>
            <w:tcW w:w="9288" w:type="dxa"/>
            <w:gridSpan w:val="5"/>
            <w:tcBorders/>
            <w:shd w:val="pct50" w:color="auto" w:fill="auto"/>
            <w:vAlign w:val="center"/>
          </w:tcPr>
          <w:p>
            <w:pPr>
              <w:pStyle w:val="style0"/>
              <w:spacing w:before="0"/>
              <w:jc w:val="left"/>
              <w:rPr>
                <w:b/>
                <w:sz w:val="20"/>
                <w:szCs w:val="20"/>
              </w:rPr>
            </w:pPr>
            <w:r>
              <w:rPr>
                <w:b/>
                <w:sz w:val="20"/>
                <w:szCs w:val="20"/>
              </w:rPr>
              <w:t>Risques durant la gestion des pesticides obsolètes et lavage des contenants</w:t>
            </w:r>
          </w:p>
        </w:tc>
      </w:tr>
      <w:tr>
        <w:tblPrEx/>
        <w:trPr>
          <w:trHeight w:val="516" w:hRule="atLeast"/>
        </w:trPr>
        <w:tc>
          <w:tcPr>
            <w:tcW w:w="4077" w:type="dxa"/>
            <w:tcBorders/>
            <w:vAlign w:val="center"/>
          </w:tcPr>
          <w:p>
            <w:pPr>
              <w:pStyle w:val="style0"/>
              <w:spacing w:before="0"/>
              <w:jc w:val="left"/>
              <w:rPr>
                <w:sz w:val="20"/>
                <w:szCs w:val="20"/>
              </w:rPr>
            </w:pPr>
            <w:r>
              <w:rPr>
                <w:sz w:val="20"/>
                <w:szCs w:val="20"/>
              </w:rPr>
              <w:t>Ingestion des pesticides et contamination et intoxication aigue et chronique</w:t>
            </w:r>
          </w:p>
        </w:tc>
        <w:tc>
          <w:tcPr>
            <w:tcW w:w="1418" w:type="dxa"/>
            <w:tcBorders/>
            <w:vAlign w:val="center"/>
          </w:tcPr>
          <w:p>
            <w:pPr>
              <w:pStyle w:val="style0"/>
              <w:spacing w:before="0"/>
              <w:jc w:val="center"/>
              <w:rPr>
                <w:sz w:val="20"/>
                <w:szCs w:val="20"/>
              </w:rPr>
            </w:pPr>
            <w:r>
              <w:rPr>
                <w:sz w:val="20"/>
                <w:szCs w:val="20"/>
              </w:rPr>
              <w:t>1</w:t>
            </w:r>
          </w:p>
        </w:tc>
        <w:tc>
          <w:tcPr>
            <w:tcW w:w="850" w:type="dxa"/>
            <w:tcBorders/>
            <w:vAlign w:val="center"/>
          </w:tcPr>
          <w:p>
            <w:pPr>
              <w:pStyle w:val="style0"/>
              <w:spacing w:before="0"/>
              <w:jc w:val="center"/>
              <w:rPr>
                <w:sz w:val="20"/>
                <w:szCs w:val="20"/>
              </w:rPr>
            </w:pPr>
            <w:r>
              <w:rPr>
                <w:sz w:val="20"/>
                <w:szCs w:val="20"/>
              </w:rPr>
              <w:t>4</w:t>
            </w:r>
          </w:p>
        </w:tc>
        <w:tc>
          <w:tcPr>
            <w:tcW w:w="993" w:type="dxa"/>
            <w:tcBorders/>
            <w:vAlign w:val="center"/>
          </w:tcPr>
          <w:p>
            <w:pPr>
              <w:pStyle w:val="style0"/>
              <w:spacing w:before="0"/>
              <w:jc w:val="center"/>
              <w:rPr>
                <w:sz w:val="20"/>
                <w:szCs w:val="20"/>
              </w:rPr>
            </w:pPr>
            <w:r>
              <w:rPr>
                <w:sz w:val="20"/>
                <w:szCs w:val="20"/>
              </w:rPr>
              <w:t>4</w:t>
            </w:r>
          </w:p>
        </w:tc>
        <w:tc>
          <w:tcPr>
            <w:tcW w:w="1950" w:type="dxa"/>
            <w:tcBorders/>
            <w:vAlign w:val="center"/>
          </w:tcPr>
          <w:p>
            <w:pPr>
              <w:pStyle w:val="style0"/>
              <w:spacing w:before="0"/>
              <w:jc w:val="left"/>
              <w:rPr>
                <w:sz w:val="20"/>
                <w:szCs w:val="20"/>
              </w:rPr>
            </w:pPr>
            <w:r>
              <w:rPr>
                <w:sz w:val="20"/>
                <w:szCs w:val="20"/>
              </w:rPr>
              <w:t>Risque Mineur</w:t>
            </w:r>
          </w:p>
        </w:tc>
      </w:tr>
      <w:tr>
        <w:tblPrEx/>
        <w:trPr>
          <w:trHeight w:val="208" w:hRule="atLeast"/>
        </w:trPr>
        <w:tc>
          <w:tcPr>
            <w:tcW w:w="4077" w:type="dxa"/>
            <w:tcBorders/>
            <w:vAlign w:val="center"/>
          </w:tcPr>
          <w:p>
            <w:pPr>
              <w:pStyle w:val="style0"/>
              <w:spacing w:before="0"/>
              <w:jc w:val="left"/>
              <w:rPr>
                <w:sz w:val="20"/>
                <w:szCs w:val="20"/>
              </w:rPr>
            </w:pPr>
            <w:r>
              <w:rPr>
                <w:sz w:val="20"/>
                <w:szCs w:val="20"/>
              </w:rPr>
              <w:t xml:space="preserve">Contamination des eaux et </w:t>
            </w:r>
            <w:r>
              <w:rPr>
                <w:sz w:val="20"/>
                <w:szCs w:val="20"/>
              </w:rPr>
              <w:t>des</w:t>
            </w:r>
            <w:r>
              <w:rPr>
                <w:sz w:val="20"/>
                <w:szCs w:val="20"/>
              </w:rPr>
              <w:t xml:space="preserve"> sols par les pesticides obsolètes</w:t>
            </w:r>
          </w:p>
        </w:tc>
        <w:tc>
          <w:tcPr>
            <w:tcW w:w="1418" w:type="dxa"/>
            <w:tcBorders/>
            <w:vAlign w:val="center"/>
          </w:tcPr>
          <w:p>
            <w:pPr>
              <w:pStyle w:val="style0"/>
              <w:spacing w:before="0"/>
              <w:jc w:val="center"/>
              <w:rPr>
                <w:sz w:val="20"/>
                <w:szCs w:val="20"/>
              </w:rPr>
            </w:pPr>
            <w:r>
              <w:rPr>
                <w:sz w:val="20"/>
                <w:szCs w:val="20"/>
              </w:rPr>
              <w:t>3</w:t>
            </w:r>
          </w:p>
        </w:tc>
        <w:tc>
          <w:tcPr>
            <w:tcW w:w="850" w:type="dxa"/>
            <w:tcBorders/>
            <w:vAlign w:val="center"/>
          </w:tcPr>
          <w:p>
            <w:pPr>
              <w:pStyle w:val="style0"/>
              <w:spacing w:before="0"/>
              <w:jc w:val="center"/>
              <w:rPr>
                <w:sz w:val="20"/>
                <w:szCs w:val="20"/>
              </w:rPr>
            </w:pPr>
            <w:r>
              <w:rPr>
                <w:sz w:val="20"/>
                <w:szCs w:val="20"/>
              </w:rPr>
              <w:t>3</w:t>
            </w:r>
          </w:p>
        </w:tc>
        <w:tc>
          <w:tcPr>
            <w:tcW w:w="993" w:type="dxa"/>
            <w:tcBorders/>
            <w:vAlign w:val="center"/>
          </w:tcPr>
          <w:p>
            <w:pPr>
              <w:pStyle w:val="style0"/>
              <w:spacing w:before="0"/>
              <w:jc w:val="center"/>
              <w:rPr>
                <w:sz w:val="20"/>
                <w:szCs w:val="20"/>
              </w:rPr>
            </w:pPr>
            <w:r>
              <w:rPr>
                <w:sz w:val="20"/>
                <w:szCs w:val="20"/>
              </w:rPr>
              <w:t>9</w:t>
            </w:r>
          </w:p>
        </w:tc>
        <w:tc>
          <w:tcPr>
            <w:tcW w:w="1950" w:type="dxa"/>
            <w:tcBorders/>
            <w:vAlign w:val="center"/>
          </w:tcPr>
          <w:p>
            <w:pPr>
              <w:pStyle w:val="style0"/>
              <w:spacing w:before="0"/>
              <w:jc w:val="left"/>
              <w:rPr>
                <w:sz w:val="20"/>
                <w:szCs w:val="20"/>
              </w:rPr>
            </w:pPr>
            <w:r>
              <w:rPr>
                <w:sz w:val="20"/>
                <w:szCs w:val="20"/>
              </w:rPr>
              <w:t>Risque Majeur</w:t>
            </w:r>
          </w:p>
        </w:tc>
      </w:tr>
      <w:tr>
        <w:tblPrEx/>
        <w:trPr>
          <w:trHeight w:val="363" w:hRule="atLeast"/>
        </w:trPr>
        <w:tc>
          <w:tcPr>
            <w:tcW w:w="4077" w:type="dxa"/>
            <w:tcBorders/>
            <w:vAlign w:val="center"/>
          </w:tcPr>
          <w:p>
            <w:pPr>
              <w:pStyle w:val="style0"/>
              <w:spacing w:before="0"/>
              <w:jc w:val="left"/>
              <w:rPr>
                <w:sz w:val="20"/>
                <w:szCs w:val="20"/>
              </w:rPr>
            </w:pPr>
            <w:r>
              <w:rPr>
                <w:sz w:val="20"/>
                <w:szCs w:val="20"/>
              </w:rPr>
              <w:t>Contamination alimentaire et vivriers</w:t>
            </w:r>
          </w:p>
        </w:tc>
        <w:tc>
          <w:tcPr>
            <w:tcW w:w="1418" w:type="dxa"/>
            <w:tcBorders/>
            <w:vAlign w:val="center"/>
          </w:tcPr>
          <w:p>
            <w:pPr>
              <w:pStyle w:val="style0"/>
              <w:spacing w:before="0"/>
              <w:jc w:val="center"/>
              <w:rPr>
                <w:sz w:val="20"/>
                <w:szCs w:val="20"/>
              </w:rPr>
            </w:pPr>
            <w:r>
              <w:rPr>
                <w:sz w:val="20"/>
                <w:szCs w:val="20"/>
              </w:rPr>
              <w:t>3</w:t>
            </w:r>
          </w:p>
        </w:tc>
        <w:tc>
          <w:tcPr>
            <w:tcW w:w="850" w:type="dxa"/>
            <w:tcBorders/>
            <w:vAlign w:val="center"/>
          </w:tcPr>
          <w:p>
            <w:pPr>
              <w:pStyle w:val="style0"/>
              <w:spacing w:before="0"/>
              <w:jc w:val="center"/>
              <w:rPr>
                <w:sz w:val="20"/>
                <w:szCs w:val="20"/>
              </w:rPr>
            </w:pPr>
            <w:r>
              <w:rPr>
                <w:sz w:val="20"/>
                <w:szCs w:val="20"/>
              </w:rPr>
              <w:t>3</w:t>
            </w:r>
          </w:p>
        </w:tc>
        <w:tc>
          <w:tcPr>
            <w:tcW w:w="993" w:type="dxa"/>
            <w:tcBorders/>
            <w:vAlign w:val="center"/>
          </w:tcPr>
          <w:p>
            <w:pPr>
              <w:pStyle w:val="style0"/>
              <w:spacing w:before="0"/>
              <w:jc w:val="center"/>
              <w:rPr>
                <w:sz w:val="20"/>
                <w:szCs w:val="20"/>
              </w:rPr>
            </w:pPr>
            <w:r>
              <w:rPr>
                <w:sz w:val="20"/>
                <w:szCs w:val="20"/>
              </w:rPr>
              <w:t>9</w:t>
            </w:r>
          </w:p>
        </w:tc>
        <w:tc>
          <w:tcPr>
            <w:tcW w:w="1950" w:type="dxa"/>
            <w:tcBorders/>
            <w:vAlign w:val="center"/>
          </w:tcPr>
          <w:p>
            <w:pPr>
              <w:pStyle w:val="style0"/>
              <w:spacing w:before="0"/>
              <w:jc w:val="left"/>
              <w:rPr>
                <w:sz w:val="20"/>
                <w:szCs w:val="20"/>
              </w:rPr>
            </w:pPr>
            <w:r>
              <w:rPr>
                <w:sz w:val="20"/>
                <w:szCs w:val="20"/>
              </w:rPr>
              <w:t>Risque Majeur</w:t>
            </w:r>
          </w:p>
        </w:tc>
      </w:tr>
      <w:tr>
        <w:tblPrEx/>
        <w:trPr>
          <w:trHeight w:val="223" w:hRule="atLeast"/>
        </w:trPr>
        <w:tc>
          <w:tcPr>
            <w:tcW w:w="4077" w:type="dxa"/>
            <w:tcBorders/>
            <w:vAlign w:val="center"/>
          </w:tcPr>
          <w:p>
            <w:pPr>
              <w:pStyle w:val="style0"/>
              <w:spacing w:before="0"/>
              <w:jc w:val="left"/>
              <w:rPr>
                <w:sz w:val="20"/>
                <w:szCs w:val="20"/>
              </w:rPr>
            </w:pPr>
            <w:r>
              <w:rPr>
                <w:sz w:val="20"/>
                <w:szCs w:val="20"/>
              </w:rPr>
              <w:t>Intoxication de la faune aquatique et sauvage</w:t>
            </w:r>
          </w:p>
        </w:tc>
        <w:tc>
          <w:tcPr>
            <w:tcW w:w="1418" w:type="dxa"/>
            <w:tcBorders/>
            <w:vAlign w:val="center"/>
          </w:tcPr>
          <w:p>
            <w:pPr>
              <w:pStyle w:val="style0"/>
              <w:spacing w:before="0"/>
              <w:jc w:val="center"/>
              <w:rPr>
                <w:sz w:val="20"/>
                <w:szCs w:val="20"/>
              </w:rPr>
            </w:pPr>
            <w:r>
              <w:rPr>
                <w:sz w:val="20"/>
                <w:szCs w:val="20"/>
              </w:rPr>
              <w:t>3</w:t>
            </w:r>
          </w:p>
        </w:tc>
        <w:tc>
          <w:tcPr>
            <w:tcW w:w="850" w:type="dxa"/>
            <w:tcBorders/>
            <w:vAlign w:val="center"/>
          </w:tcPr>
          <w:p>
            <w:pPr>
              <w:pStyle w:val="style0"/>
              <w:spacing w:before="0"/>
              <w:jc w:val="center"/>
              <w:rPr>
                <w:sz w:val="20"/>
                <w:szCs w:val="20"/>
              </w:rPr>
            </w:pPr>
            <w:r>
              <w:rPr>
                <w:sz w:val="20"/>
                <w:szCs w:val="20"/>
              </w:rPr>
              <w:t>4</w:t>
            </w:r>
          </w:p>
        </w:tc>
        <w:tc>
          <w:tcPr>
            <w:tcW w:w="993" w:type="dxa"/>
            <w:tcBorders/>
            <w:vAlign w:val="center"/>
          </w:tcPr>
          <w:p>
            <w:pPr>
              <w:pStyle w:val="style0"/>
              <w:spacing w:before="0"/>
              <w:jc w:val="center"/>
              <w:rPr>
                <w:sz w:val="20"/>
                <w:szCs w:val="20"/>
              </w:rPr>
            </w:pPr>
            <w:r>
              <w:rPr>
                <w:sz w:val="20"/>
                <w:szCs w:val="20"/>
              </w:rPr>
              <w:t>12</w:t>
            </w:r>
          </w:p>
        </w:tc>
        <w:tc>
          <w:tcPr>
            <w:tcW w:w="1950" w:type="dxa"/>
            <w:tcBorders/>
            <w:vAlign w:val="center"/>
          </w:tcPr>
          <w:p>
            <w:pPr>
              <w:pStyle w:val="style0"/>
              <w:spacing w:before="0"/>
              <w:jc w:val="left"/>
              <w:rPr>
                <w:sz w:val="20"/>
                <w:szCs w:val="20"/>
              </w:rPr>
            </w:pPr>
            <w:r>
              <w:rPr>
                <w:sz w:val="20"/>
                <w:szCs w:val="20"/>
              </w:rPr>
              <w:t>Risque Majeur</w:t>
            </w:r>
          </w:p>
        </w:tc>
      </w:tr>
    </w:tbl>
    <w:p>
      <w:pPr>
        <w:pStyle w:val="style0"/>
        <w:spacing w:lineRule="auto" w:line="276"/>
        <w:rPr>
          <w:sz w:val="23"/>
          <w:szCs w:val="23"/>
        </w:rPr>
        <w:sectPr>
          <w:pgSz w:w="11906" w:h="16838" w:orient="portrait"/>
          <w:pgMar w:top="1417" w:right="1417" w:bottom="1417" w:left="1417" w:header="708" w:footer="708" w:gutter="0"/>
          <w:pgBorders w:zOrder="front" w:display="allPages" w:offsetFrom="page">
            <w:top w:val="single" w:sz="4" w:space="24" w:color="ffffff"/>
          </w:pgBorders>
          <w:cols w:space="708"/>
          <w:docGrid w:linePitch="360"/>
        </w:sectPr>
      </w:pPr>
    </w:p>
    <w:bookmarkStart w:id="274" w:name="_Toc260224"/>
    <w:p>
      <w:pPr>
        <w:pStyle w:val="style0"/>
        <w:spacing w:lineRule="auto" w:line="276"/>
        <w:rPr>
          <w:b/>
          <w:sz w:val="23"/>
          <w:szCs w:val="23"/>
        </w:rPr>
      </w:pPr>
      <w:r>
        <w:rPr>
          <w:sz w:val="20"/>
          <w:szCs w:val="20"/>
        </w:rPr>
        <w:t xml:space="preserve">Tableau </w:t>
      </w:r>
      <w:r>
        <w:rPr>
          <w:sz w:val="20"/>
          <w:szCs w:val="20"/>
        </w:rPr>
        <w:fldChar w:fldCharType="begin"/>
      </w:r>
      <w:r>
        <w:rPr>
          <w:sz w:val="20"/>
          <w:szCs w:val="20"/>
        </w:rPr>
        <w:instrText xml:space="preserve"> </w:instrText>
      </w:r>
      <w:r>
        <w:rPr>
          <w:sz w:val="20"/>
          <w:szCs w:val="20"/>
        </w:rPr>
        <w:instrText>SEQ</w:instrText>
      </w:r>
      <w:r>
        <w:rPr>
          <w:sz w:val="20"/>
          <w:szCs w:val="20"/>
        </w:rPr>
        <w:instrText xml:space="preserve"> Tableau \* ARABIC </w:instrText>
      </w:r>
      <w:r>
        <w:rPr>
          <w:sz w:val="20"/>
          <w:szCs w:val="20"/>
        </w:rPr>
        <w:fldChar w:fldCharType="separate"/>
      </w:r>
      <w:r>
        <w:rPr>
          <w:noProof/>
          <w:sz w:val="20"/>
          <w:szCs w:val="20"/>
        </w:rPr>
        <w:t>17</w:t>
      </w:r>
      <w:r>
        <w:rPr>
          <w:sz w:val="20"/>
          <w:szCs w:val="20"/>
        </w:rPr>
        <w:fldChar w:fldCharType="end"/>
      </w:r>
      <w:r>
        <w:rPr>
          <w:rFonts w:eastAsia="Calibri"/>
          <w:i/>
          <w:iCs/>
          <w:color w:val="1f497d"/>
          <w:sz w:val="20"/>
          <w:szCs w:val="20"/>
        </w:rPr>
        <w:t> :</w:t>
      </w:r>
      <w:r>
        <w:rPr>
          <w:rFonts w:eastAsia="Calibri"/>
          <w:i/>
          <w:iCs/>
          <w:color w:val="1f497d"/>
          <w:sz w:val="20"/>
          <w:szCs w:val="20"/>
        </w:rPr>
        <w:t>Principaux risques liés à la gestion des pesticides et mesures d’atténuations</w:t>
      </w:r>
      <w:bookmarkEnd w:id="274"/>
      <w:r>
        <w:rPr>
          <w:rFonts w:eastAsia="Calibri"/>
          <w:i/>
          <w:iCs/>
          <w:color w:val="1f497d"/>
          <w:sz w:val="20"/>
          <w:szCs w:val="20"/>
        </w:rPr>
        <w:t xml:space="preserve"> </w:t>
      </w:r>
    </w:p>
    <w:tbl>
      <w:tblPr>
        <w:tblW w:w="46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01"/>
        <w:gridCol w:w="2367"/>
        <w:gridCol w:w="1998"/>
        <w:gridCol w:w="1590"/>
        <w:gridCol w:w="2211"/>
        <w:gridCol w:w="5139"/>
      </w:tblGrid>
      <w:tr>
        <w:trPr>
          <w:cantSplit/>
        </w:trPr>
        <w:tc>
          <w:tcPr>
            <w:tcW w:w="387" w:type="pct"/>
            <w:vMerge w:val="restart"/>
            <w:tcBorders/>
            <w:shd w:val="clear" w:color="auto" w:fill="d9d9d9"/>
            <w:tcMar>
              <w:left w:w="28" w:type="dxa"/>
              <w:right w:w="28" w:type="dxa"/>
            </w:tcMar>
            <w:vAlign w:val="center"/>
          </w:tcPr>
          <w:p>
            <w:pPr>
              <w:pStyle w:val="style0"/>
              <w:spacing w:before="0"/>
              <w:jc w:val="left"/>
              <w:rPr>
                <w:b/>
                <w:sz w:val="23"/>
                <w:szCs w:val="23"/>
              </w:rPr>
            </w:pPr>
            <w:r>
              <w:rPr>
                <w:b/>
                <w:sz w:val="23"/>
                <w:szCs w:val="23"/>
              </w:rPr>
              <w:t>Etapes</w:t>
            </w:r>
          </w:p>
        </w:tc>
        <w:tc>
          <w:tcPr>
            <w:tcW w:w="753" w:type="pct"/>
            <w:vMerge w:val="restart"/>
            <w:tcBorders/>
            <w:shd w:val="clear" w:color="auto" w:fill="d9d9d9"/>
            <w:tcMar>
              <w:left w:w="28" w:type="dxa"/>
              <w:right w:w="28" w:type="dxa"/>
            </w:tcMar>
            <w:vAlign w:val="center"/>
          </w:tcPr>
          <w:p>
            <w:pPr>
              <w:pStyle w:val="style0"/>
              <w:spacing w:before="0"/>
              <w:jc w:val="left"/>
              <w:rPr>
                <w:b/>
                <w:sz w:val="23"/>
                <w:szCs w:val="23"/>
              </w:rPr>
            </w:pPr>
            <w:r>
              <w:rPr>
                <w:b/>
                <w:sz w:val="23"/>
                <w:szCs w:val="23"/>
              </w:rPr>
              <w:t>Déterminants</w:t>
            </w:r>
          </w:p>
        </w:tc>
        <w:tc>
          <w:tcPr>
            <w:tcW w:w="2056" w:type="pct"/>
            <w:gridSpan w:val="3"/>
            <w:tcBorders/>
            <w:shd w:val="clear" w:color="auto" w:fill="d9d9d9"/>
            <w:tcMar>
              <w:left w:w="28" w:type="dxa"/>
              <w:right w:w="28" w:type="dxa"/>
            </w:tcMar>
            <w:vAlign w:val="center"/>
          </w:tcPr>
          <w:p>
            <w:pPr>
              <w:pStyle w:val="style0"/>
              <w:spacing w:before="0"/>
              <w:jc w:val="center"/>
              <w:rPr>
                <w:b/>
                <w:sz w:val="23"/>
                <w:szCs w:val="23"/>
              </w:rPr>
            </w:pPr>
            <w:r>
              <w:rPr>
                <w:b/>
                <w:sz w:val="23"/>
                <w:szCs w:val="23"/>
              </w:rPr>
              <w:t>Risques</w:t>
            </w:r>
          </w:p>
        </w:tc>
        <w:tc>
          <w:tcPr>
            <w:tcW w:w="1804" w:type="pct"/>
            <w:vMerge w:val="restart"/>
            <w:tcBorders/>
            <w:shd w:val="clear" w:color="auto" w:fill="d9d9d9"/>
            <w:tcMar>
              <w:left w:w="28" w:type="dxa"/>
              <w:right w:w="28" w:type="dxa"/>
            </w:tcMar>
            <w:vAlign w:val="center"/>
          </w:tcPr>
          <w:p>
            <w:pPr>
              <w:pStyle w:val="style0"/>
              <w:spacing w:before="0"/>
              <w:jc w:val="left"/>
              <w:rPr>
                <w:b/>
                <w:sz w:val="23"/>
                <w:szCs w:val="23"/>
              </w:rPr>
            </w:pPr>
            <w:r>
              <w:rPr>
                <w:b/>
                <w:sz w:val="23"/>
                <w:szCs w:val="23"/>
              </w:rPr>
              <w:t>Mesures d’atténuation</w:t>
            </w:r>
          </w:p>
        </w:tc>
      </w:tr>
      <w:tr>
        <w:tblPrEx/>
        <w:trPr>
          <w:cantSplit/>
        </w:trPr>
        <w:tc>
          <w:tcPr>
            <w:tcW w:w="387" w:type="pct"/>
            <w:vMerge w:val="continue"/>
            <w:tcBorders/>
            <w:tcMar>
              <w:left w:w="28" w:type="dxa"/>
              <w:right w:w="28" w:type="dxa"/>
            </w:tcMar>
            <w:vAlign w:val="center"/>
          </w:tcPr>
          <w:p>
            <w:pPr>
              <w:pStyle w:val="style0"/>
              <w:spacing w:before="0"/>
              <w:jc w:val="left"/>
              <w:rPr>
                <w:sz w:val="23"/>
                <w:szCs w:val="23"/>
              </w:rPr>
            </w:pPr>
          </w:p>
        </w:tc>
        <w:tc>
          <w:tcPr>
            <w:tcW w:w="753" w:type="pct"/>
            <w:vMerge w:val="continue"/>
            <w:tcBorders/>
            <w:tcMar>
              <w:left w:w="28" w:type="dxa"/>
              <w:right w:w="28" w:type="dxa"/>
            </w:tcMar>
            <w:vAlign w:val="center"/>
          </w:tcPr>
          <w:p>
            <w:pPr>
              <w:pStyle w:val="style0"/>
              <w:spacing w:before="0"/>
              <w:jc w:val="left"/>
              <w:rPr>
                <w:sz w:val="23"/>
                <w:szCs w:val="23"/>
              </w:rPr>
            </w:pPr>
          </w:p>
        </w:tc>
        <w:tc>
          <w:tcPr>
            <w:tcW w:w="730" w:type="pct"/>
            <w:tcBorders/>
            <w:shd w:val="clear" w:color="auto" w:fill="d9d9d9"/>
            <w:tcMar>
              <w:left w:w="28" w:type="dxa"/>
              <w:right w:w="28" w:type="dxa"/>
            </w:tcMar>
            <w:vAlign w:val="center"/>
          </w:tcPr>
          <w:p>
            <w:pPr>
              <w:pStyle w:val="style0"/>
              <w:spacing w:before="0"/>
              <w:jc w:val="left"/>
              <w:rPr>
                <w:b/>
                <w:sz w:val="23"/>
                <w:szCs w:val="23"/>
              </w:rPr>
            </w:pPr>
            <w:r>
              <w:rPr>
                <w:b/>
                <w:sz w:val="23"/>
                <w:szCs w:val="23"/>
              </w:rPr>
              <w:t>Santé publique</w:t>
            </w:r>
          </w:p>
        </w:tc>
        <w:tc>
          <w:tcPr>
            <w:tcW w:w="538" w:type="pct"/>
            <w:tcBorders/>
            <w:shd w:val="clear" w:color="auto" w:fill="d9d9d9"/>
            <w:tcMar>
              <w:left w:w="28" w:type="dxa"/>
              <w:right w:w="28" w:type="dxa"/>
            </w:tcMar>
            <w:vAlign w:val="center"/>
          </w:tcPr>
          <w:p>
            <w:pPr>
              <w:pStyle w:val="style0"/>
              <w:spacing w:before="0"/>
              <w:jc w:val="left"/>
              <w:rPr>
                <w:b/>
                <w:sz w:val="23"/>
                <w:szCs w:val="23"/>
              </w:rPr>
            </w:pPr>
            <w:r>
              <w:rPr>
                <w:b/>
                <w:sz w:val="23"/>
                <w:szCs w:val="23"/>
              </w:rPr>
              <w:t>Environnement</w:t>
            </w:r>
          </w:p>
        </w:tc>
        <w:tc>
          <w:tcPr>
            <w:tcW w:w="788" w:type="pct"/>
            <w:tcBorders/>
            <w:shd w:val="clear" w:color="auto" w:fill="d9d9d9"/>
            <w:tcMar>
              <w:left w:w="28" w:type="dxa"/>
              <w:right w:w="28" w:type="dxa"/>
            </w:tcMar>
            <w:vAlign w:val="center"/>
          </w:tcPr>
          <w:p>
            <w:pPr>
              <w:pStyle w:val="style0"/>
              <w:spacing w:before="0"/>
              <w:jc w:val="left"/>
              <w:rPr>
                <w:b/>
                <w:sz w:val="23"/>
                <w:szCs w:val="23"/>
              </w:rPr>
            </w:pPr>
            <w:r>
              <w:rPr>
                <w:b/>
                <w:sz w:val="23"/>
                <w:szCs w:val="23"/>
              </w:rPr>
              <w:t xml:space="preserve">Personnel en charge </w:t>
            </w:r>
          </w:p>
        </w:tc>
        <w:tc>
          <w:tcPr>
            <w:tcW w:w="1804" w:type="pct"/>
            <w:vMerge w:val="continue"/>
            <w:tcBorders/>
            <w:shd w:val="clear" w:color="auto" w:fill="d9d9d9"/>
            <w:tcMar>
              <w:left w:w="28" w:type="dxa"/>
              <w:right w:w="28" w:type="dxa"/>
            </w:tcMar>
            <w:vAlign w:val="center"/>
          </w:tcPr>
          <w:p>
            <w:pPr>
              <w:pStyle w:val="style0"/>
              <w:spacing w:before="0"/>
              <w:jc w:val="left"/>
              <w:rPr>
                <w:sz w:val="23"/>
                <w:szCs w:val="23"/>
              </w:rPr>
            </w:pPr>
          </w:p>
        </w:tc>
      </w:tr>
      <w:tr>
        <w:tblPrEx/>
        <w:trPr>
          <w:cantSplit/>
          <w:trHeight w:val="1085" w:hRule="atLeast"/>
        </w:trPr>
        <w:tc>
          <w:tcPr>
            <w:tcW w:w="387" w:type="pct"/>
            <w:tcBorders/>
            <w:tcMar>
              <w:left w:w="28" w:type="dxa"/>
              <w:right w:w="28" w:type="dxa"/>
            </w:tcMar>
            <w:vAlign w:val="center"/>
          </w:tcPr>
          <w:p>
            <w:pPr>
              <w:pStyle w:val="style0"/>
              <w:spacing w:before="0"/>
              <w:jc w:val="left"/>
              <w:rPr>
                <w:sz w:val="20"/>
                <w:szCs w:val="20"/>
              </w:rPr>
            </w:pPr>
            <w:r>
              <w:rPr>
                <w:sz w:val="20"/>
                <w:szCs w:val="20"/>
              </w:rPr>
              <w:t>Transport des pesticides</w:t>
            </w:r>
          </w:p>
        </w:tc>
        <w:tc>
          <w:tcPr>
            <w:tcW w:w="753" w:type="pct"/>
            <w:tcBorders/>
            <w:tcMar>
              <w:left w:w="28" w:type="dxa"/>
              <w:right w:w="28" w:type="dxa"/>
            </w:tcMar>
            <w:vAlign w:val="center"/>
          </w:tcPr>
          <w:p>
            <w:pPr>
              <w:pStyle w:val="style0"/>
              <w:spacing w:before="0"/>
              <w:jc w:val="left"/>
              <w:rPr>
                <w:sz w:val="20"/>
                <w:szCs w:val="20"/>
              </w:rPr>
            </w:pPr>
            <w:r>
              <w:rPr>
                <w:sz w:val="20"/>
                <w:szCs w:val="20"/>
              </w:rPr>
              <w:t>Déficit d’information/sensibilisation sur les dangers encourus</w:t>
            </w:r>
          </w:p>
        </w:tc>
        <w:tc>
          <w:tcPr>
            <w:tcW w:w="730" w:type="pct"/>
            <w:tcBorders/>
            <w:tcMar>
              <w:left w:w="28" w:type="dxa"/>
              <w:right w:w="28" w:type="dxa"/>
            </w:tcMar>
            <w:vAlign w:val="center"/>
          </w:tcPr>
          <w:p>
            <w:pPr>
              <w:pStyle w:val="style0"/>
              <w:spacing w:before="0"/>
              <w:jc w:val="left"/>
              <w:rPr>
                <w:sz w:val="20"/>
                <w:szCs w:val="20"/>
              </w:rPr>
            </w:pPr>
            <w:r>
              <w:rPr>
                <w:sz w:val="20"/>
                <w:szCs w:val="20"/>
              </w:rPr>
              <w:t xml:space="preserve">Contamination accidentelle, </w:t>
            </w:r>
          </w:p>
          <w:p>
            <w:pPr>
              <w:pStyle w:val="style0"/>
              <w:spacing w:before="0"/>
              <w:jc w:val="left"/>
              <w:rPr>
                <w:sz w:val="20"/>
                <w:szCs w:val="20"/>
              </w:rPr>
            </w:pPr>
            <w:r>
              <w:rPr>
                <w:sz w:val="20"/>
                <w:szCs w:val="20"/>
              </w:rPr>
              <w:t>Gêne, nuisance des transporteurs et populations à proximité</w:t>
            </w:r>
          </w:p>
        </w:tc>
        <w:tc>
          <w:tcPr>
            <w:tcW w:w="538" w:type="pct"/>
            <w:tcBorders/>
            <w:tcMar>
              <w:left w:w="28" w:type="dxa"/>
              <w:right w:w="28" w:type="dxa"/>
            </w:tcMar>
            <w:vAlign w:val="center"/>
          </w:tcPr>
          <w:p>
            <w:pPr>
              <w:pStyle w:val="style0"/>
              <w:spacing w:before="0"/>
              <w:jc w:val="left"/>
              <w:rPr>
                <w:sz w:val="20"/>
                <w:szCs w:val="20"/>
              </w:rPr>
            </w:pPr>
            <w:r>
              <w:rPr>
                <w:sz w:val="20"/>
                <w:szCs w:val="20"/>
              </w:rPr>
              <w:t xml:space="preserve">Déversement accidentel, pollution de la nappe par lixiviation </w:t>
            </w:r>
          </w:p>
          <w:p>
            <w:pPr>
              <w:pStyle w:val="style0"/>
              <w:spacing w:before="0"/>
              <w:jc w:val="left"/>
              <w:rPr>
                <w:sz w:val="20"/>
                <w:szCs w:val="20"/>
              </w:rPr>
            </w:pPr>
          </w:p>
        </w:tc>
        <w:tc>
          <w:tcPr>
            <w:tcW w:w="788" w:type="pct"/>
            <w:tcBorders/>
            <w:tcMar>
              <w:left w:w="28" w:type="dxa"/>
              <w:right w:w="28" w:type="dxa"/>
            </w:tcMar>
            <w:vAlign w:val="center"/>
          </w:tcPr>
          <w:p>
            <w:pPr>
              <w:pStyle w:val="style0"/>
              <w:spacing w:before="0"/>
              <w:jc w:val="left"/>
              <w:rPr>
                <w:sz w:val="20"/>
                <w:szCs w:val="20"/>
              </w:rPr>
            </w:pPr>
            <w:r>
              <w:rPr>
                <w:sz w:val="20"/>
                <w:szCs w:val="20"/>
              </w:rPr>
              <w:t>Contamination accidentelle des personnes chargées du transport (Inhalation de produit : vapeur, poussière, risque de contact avec la peau)</w:t>
            </w:r>
          </w:p>
        </w:tc>
        <w:tc>
          <w:tcPr>
            <w:tcW w:w="1804" w:type="pct"/>
            <w:tcBorders/>
            <w:shd w:val="clear" w:color="auto" w:fill="auto"/>
            <w:tcMar>
              <w:left w:w="28" w:type="dxa"/>
              <w:right w:w="28" w:type="dxa"/>
            </w:tcMar>
            <w:vAlign w:val="center"/>
          </w:tcPr>
          <w:p>
            <w:pPr>
              <w:pStyle w:val="style0"/>
              <w:numPr>
                <w:ilvl w:val="0"/>
                <w:numId w:val="73"/>
              </w:numPr>
              <w:spacing w:before="0"/>
              <w:ind w:left="0" w:firstLine="0"/>
              <w:jc w:val="left"/>
              <w:rPr>
                <w:sz w:val="20"/>
                <w:szCs w:val="20"/>
              </w:rPr>
            </w:pPr>
            <w:r>
              <w:rPr>
                <w:sz w:val="20"/>
                <w:szCs w:val="20"/>
              </w:rPr>
              <w:t>Sensibilis</w:t>
            </w:r>
            <w:r>
              <w:rPr>
                <w:sz w:val="20"/>
                <w:szCs w:val="20"/>
              </w:rPr>
              <w:t>er</w:t>
            </w:r>
            <w:r>
              <w:rPr>
                <w:sz w:val="20"/>
                <w:szCs w:val="20"/>
              </w:rPr>
              <w:t xml:space="preserve"> /</w:t>
            </w:r>
            <w:r>
              <w:rPr>
                <w:sz w:val="20"/>
                <w:szCs w:val="20"/>
              </w:rPr>
              <w:t>édu</w:t>
            </w:r>
            <w:r>
              <w:rPr>
                <w:sz w:val="20"/>
                <w:szCs w:val="20"/>
              </w:rPr>
              <w:t>quer</w:t>
            </w:r>
            <w:r>
              <w:rPr>
                <w:sz w:val="20"/>
                <w:szCs w:val="20"/>
              </w:rPr>
              <w:t xml:space="preserve"> </w:t>
            </w:r>
            <w:r>
              <w:rPr>
                <w:sz w:val="20"/>
                <w:szCs w:val="20"/>
              </w:rPr>
              <w:t>l</w:t>
            </w:r>
            <w:r>
              <w:rPr>
                <w:sz w:val="20"/>
                <w:szCs w:val="20"/>
              </w:rPr>
              <w:t xml:space="preserve">es </w:t>
            </w:r>
            <w:r>
              <w:rPr>
                <w:sz w:val="20"/>
                <w:szCs w:val="20"/>
              </w:rPr>
              <w:t xml:space="preserve">transporteurs et </w:t>
            </w:r>
            <w:r>
              <w:rPr>
                <w:sz w:val="20"/>
                <w:szCs w:val="20"/>
              </w:rPr>
              <w:t>l</w:t>
            </w:r>
            <w:r>
              <w:rPr>
                <w:sz w:val="20"/>
                <w:szCs w:val="20"/>
              </w:rPr>
              <w:t xml:space="preserve">es </w:t>
            </w:r>
            <w:r>
              <w:rPr>
                <w:sz w:val="20"/>
                <w:szCs w:val="20"/>
              </w:rPr>
              <w:t>producteurs</w:t>
            </w:r>
          </w:p>
          <w:p>
            <w:pPr>
              <w:pStyle w:val="style0"/>
              <w:numPr>
                <w:ilvl w:val="0"/>
                <w:numId w:val="73"/>
              </w:numPr>
              <w:spacing w:before="0"/>
              <w:ind w:left="0" w:firstLine="0"/>
              <w:jc w:val="left"/>
              <w:rPr>
                <w:sz w:val="20"/>
                <w:szCs w:val="20"/>
              </w:rPr>
            </w:pPr>
            <w:r>
              <w:rPr>
                <w:sz w:val="20"/>
                <w:szCs w:val="20"/>
              </w:rPr>
              <w:t>Sensibilis</w:t>
            </w:r>
            <w:r>
              <w:rPr>
                <w:sz w:val="20"/>
                <w:szCs w:val="20"/>
              </w:rPr>
              <w:t>er</w:t>
            </w:r>
            <w:r>
              <w:rPr>
                <w:sz w:val="20"/>
                <w:szCs w:val="20"/>
              </w:rPr>
              <w:t xml:space="preserve"> </w:t>
            </w:r>
            <w:r>
              <w:rPr>
                <w:sz w:val="20"/>
                <w:szCs w:val="20"/>
              </w:rPr>
              <w:t>l</w:t>
            </w:r>
            <w:r>
              <w:rPr>
                <w:sz w:val="20"/>
                <w:szCs w:val="20"/>
              </w:rPr>
              <w:t xml:space="preserve">es </w:t>
            </w:r>
            <w:r>
              <w:rPr>
                <w:sz w:val="20"/>
                <w:szCs w:val="20"/>
              </w:rPr>
              <w:t>commerçants sur la nécessité de disposer d’une déclaration préalable d’importation et renforcement du contrôle aux frontières</w:t>
            </w:r>
          </w:p>
          <w:p>
            <w:pPr>
              <w:pStyle w:val="style0"/>
              <w:numPr>
                <w:ilvl w:val="0"/>
                <w:numId w:val="73"/>
              </w:numPr>
              <w:spacing w:before="0"/>
              <w:ind w:left="0" w:firstLine="0"/>
              <w:jc w:val="left"/>
              <w:rPr>
                <w:sz w:val="20"/>
                <w:szCs w:val="20"/>
              </w:rPr>
            </w:pPr>
            <w:r>
              <w:rPr>
                <w:sz w:val="20"/>
                <w:szCs w:val="20"/>
              </w:rPr>
              <w:t>Eviter l’assemblage eau de boisson, vivres et tenues de travail avec les pesticides</w:t>
            </w:r>
          </w:p>
          <w:p>
            <w:pPr>
              <w:pStyle w:val="style0"/>
              <w:numPr>
                <w:ilvl w:val="0"/>
                <w:numId w:val="73"/>
              </w:numPr>
              <w:spacing w:before="0"/>
              <w:ind w:left="0" w:firstLine="0"/>
              <w:jc w:val="left"/>
              <w:rPr>
                <w:sz w:val="20"/>
                <w:szCs w:val="20"/>
              </w:rPr>
            </w:pPr>
            <w:r>
              <w:rPr>
                <w:sz w:val="20"/>
                <w:szCs w:val="20"/>
              </w:rPr>
              <w:t xml:space="preserve"> Eviter de confier le transport des pesticides aux personnes non averties</w:t>
            </w:r>
          </w:p>
        </w:tc>
      </w:tr>
      <w:tr>
        <w:tblPrEx/>
        <w:trPr>
          <w:cantSplit/>
        </w:trPr>
        <w:tc>
          <w:tcPr>
            <w:tcW w:w="387" w:type="pct"/>
            <w:tcBorders/>
            <w:tcMar>
              <w:left w:w="28" w:type="dxa"/>
              <w:right w:w="28" w:type="dxa"/>
            </w:tcMar>
            <w:vAlign w:val="center"/>
          </w:tcPr>
          <w:p>
            <w:pPr>
              <w:pStyle w:val="style0"/>
              <w:spacing w:before="0"/>
              <w:jc w:val="left"/>
              <w:rPr>
                <w:sz w:val="20"/>
                <w:szCs w:val="20"/>
              </w:rPr>
            </w:pPr>
            <w:r>
              <w:rPr>
                <w:sz w:val="20"/>
                <w:szCs w:val="20"/>
              </w:rPr>
              <w:t>Stockage des pesticides</w:t>
            </w:r>
          </w:p>
        </w:tc>
        <w:tc>
          <w:tcPr>
            <w:tcW w:w="753" w:type="pct"/>
            <w:tcBorders/>
            <w:tcMar>
              <w:left w:w="28" w:type="dxa"/>
              <w:right w:w="28" w:type="dxa"/>
            </w:tcMar>
            <w:vAlign w:val="center"/>
          </w:tcPr>
          <w:p>
            <w:pPr>
              <w:pStyle w:val="style0"/>
              <w:spacing w:before="0"/>
              <w:jc w:val="left"/>
              <w:rPr>
                <w:sz w:val="20"/>
                <w:szCs w:val="20"/>
              </w:rPr>
            </w:pPr>
            <w:r>
              <w:rPr>
                <w:sz w:val="20"/>
                <w:szCs w:val="20"/>
              </w:rPr>
              <w:t>Lieu de stockage/conservation non approprié ;</w:t>
            </w:r>
          </w:p>
          <w:p>
            <w:pPr>
              <w:pStyle w:val="style0"/>
              <w:spacing w:before="0"/>
              <w:jc w:val="left"/>
              <w:rPr>
                <w:sz w:val="20"/>
                <w:szCs w:val="20"/>
              </w:rPr>
            </w:pPr>
          </w:p>
          <w:p>
            <w:pPr>
              <w:pStyle w:val="style0"/>
              <w:spacing w:before="0"/>
              <w:jc w:val="left"/>
              <w:rPr>
                <w:sz w:val="20"/>
                <w:szCs w:val="20"/>
              </w:rPr>
            </w:pPr>
            <w:r>
              <w:rPr>
                <w:sz w:val="20"/>
                <w:szCs w:val="20"/>
              </w:rPr>
              <w:t>Déficit de personnel  formé sur la gestion des pesticides</w:t>
            </w:r>
          </w:p>
        </w:tc>
        <w:tc>
          <w:tcPr>
            <w:tcW w:w="730" w:type="pct"/>
            <w:tcBorders/>
            <w:tcMar>
              <w:left w:w="28" w:type="dxa"/>
              <w:right w:w="28" w:type="dxa"/>
            </w:tcMar>
            <w:vAlign w:val="center"/>
          </w:tcPr>
          <w:p>
            <w:pPr>
              <w:pStyle w:val="style0"/>
              <w:spacing w:before="0"/>
              <w:jc w:val="left"/>
              <w:rPr>
                <w:sz w:val="20"/>
                <w:szCs w:val="20"/>
              </w:rPr>
            </w:pPr>
            <w:r>
              <w:rPr>
                <w:sz w:val="20"/>
                <w:szCs w:val="20"/>
              </w:rPr>
              <w:t>-</w:t>
            </w:r>
            <w:r>
              <w:rPr>
                <w:sz w:val="20"/>
                <w:szCs w:val="20"/>
              </w:rPr>
              <w:t xml:space="preserve">Contamination accidentelle des personnes en contact des produits, Gêne, nuisance des populations à proximité </w:t>
            </w:r>
          </w:p>
          <w:p>
            <w:pPr>
              <w:pStyle w:val="style0"/>
              <w:spacing w:before="0"/>
              <w:jc w:val="left"/>
              <w:rPr>
                <w:sz w:val="20"/>
                <w:szCs w:val="20"/>
              </w:rPr>
            </w:pPr>
            <w:r>
              <w:rPr>
                <w:sz w:val="20"/>
                <w:szCs w:val="20"/>
              </w:rPr>
              <w:t>-</w:t>
            </w:r>
            <w:r>
              <w:rPr>
                <w:sz w:val="20"/>
                <w:szCs w:val="20"/>
              </w:rPr>
              <w:t>Contamination de la nappe phréatique sur les sites</w:t>
            </w:r>
          </w:p>
        </w:tc>
        <w:tc>
          <w:tcPr>
            <w:tcW w:w="538" w:type="pct"/>
            <w:tcBorders/>
            <w:tcMar>
              <w:left w:w="28" w:type="dxa"/>
              <w:right w:w="28" w:type="dxa"/>
            </w:tcMar>
            <w:vAlign w:val="center"/>
          </w:tcPr>
          <w:p>
            <w:pPr>
              <w:pStyle w:val="style0"/>
              <w:spacing w:before="0"/>
              <w:jc w:val="left"/>
              <w:rPr>
                <w:sz w:val="20"/>
                <w:szCs w:val="20"/>
              </w:rPr>
            </w:pPr>
            <w:r>
              <w:rPr>
                <w:sz w:val="20"/>
                <w:szCs w:val="20"/>
              </w:rPr>
              <w:t>-</w:t>
            </w:r>
            <w:r>
              <w:rPr>
                <w:sz w:val="20"/>
                <w:szCs w:val="20"/>
              </w:rPr>
              <w:t>Contamination des eaux de boisson et des produits vivriers ;</w:t>
            </w:r>
          </w:p>
          <w:p>
            <w:pPr>
              <w:pStyle w:val="style0"/>
              <w:spacing w:before="0"/>
              <w:jc w:val="left"/>
              <w:rPr>
                <w:sz w:val="20"/>
                <w:szCs w:val="20"/>
              </w:rPr>
            </w:pPr>
            <w:r>
              <w:rPr>
                <w:sz w:val="20"/>
                <w:szCs w:val="20"/>
              </w:rPr>
              <w:t>-</w:t>
            </w:r>
            <w:r>
              <w:rPr>
                <w:sz w:val="20"/>
                <w:szCs w:val="20"/>
              </w:rPr>
              <w:t>Pollution du sol par les déversements ;</w:t>
            </w:r>
          </w:p>
          <w:p>
            <w:pPr>
              <w:pStyle w:val="style0"/>
              <w:spacing w:before="0"/>
              <w:jc w:val="left"/>
              <w:rPr>
                <w:sz w:val="20"/>
                <w:szCs w:val="20"/>
              </w:rPr>
            </w:pPr>
            <w:r>
              <w:rPr>
                <w:sz w:val="20"/>
                <w:szCs w:val="20"/>
              </w:rPr>
              <w:t>-</w:t>
            </w:r>
            <w:r>
              <w:rPr>
                <w:sz w:val="20"/>
                <w:szCs w:val="20"/>
              </w:rPr>
              <w:t>Pollution de l’air ambiant dans les magasins.</w:t>
            </w:r>
          </w:p>
        </w:tc>
        <w:tc>
          <w:tcPr>
            <w:tcW w:w="788" w:type="pct"/>
            <w:tcBorders/>
            <w:tcMar>
              <w:left w:w="28" w:type="dxa"/>
              <w:right w:w="28" w:type="dxa"/>
            </w:tcMar>
            <w:vAlign w:val="center"/>
          </w:tcPr>
          <w:p>
            <w:pPr>
              <w:pStyle w:val="style0"/>
              <w:spacing w:before="0"/>
              <w:jc w:val="left"/>
              <w:rPr>
                <w:sz w:val="20"/>
                <w:szCs w:val="20"/>
              </w:rPr>
            </w:pPr>
            <w:r>
              <w:rPr>
                <w:sz w:val="20"/>
                <w:szCs w:val="20"/>
              </w:rPr>
              <w:t>-</w:t>
            </w:r>
            <w:r>
              <w:rPr>
                <w:sz w:val="20"/>
                <w:szCs w:val="20"/>
              </w:rPr>
              <w:t xml:space="preserve">Contamination à travers contact avec la peau par renversement occasionné par l’exiguïté des lieux ; </w:t>
            </w:r>
          </w:p>
          <w:p>
            <w:pPr>
              <w:pStyle w:val="style0"/>
              <w:spacing w:before="0"/>
              <w:jc w:val="left"/>
              <w:rPr>
                <w:sz w:val="20"/>
                <w:szCs w:val="20"/>
              </w:rPr>
            </w:pPr>
            <w:r>
              <w:rPr>
                <w:sz w:val="20"/>
                <w:szCs w:val="20"/>
              </w:rPr>
              <w:t>-</w:t>
            </w:r>
            <w:r>
              <w:rPr>
                <w:sz w:val="20"/>
                <w:szCs w:val="20"/>
              </w:rPr>
              <w:t xml:space="preserve">Inhalation et gênes respiratoires pour les revendeurs et les gérants des magasins à cause du manque d’aération </w:t>
            </w:r>
          </w:p>
        </w:tc>
        <w:tc>
          <w:tcPr>
            <w:tcW w:w="1804" w:type="pct"/>
            <w:tcBorders/>
            <w:shd w:val="clear" w:color="auto" w:fill="auto"/>
            <w:tcMar>
              <w:left w:w="28" w:type="dxa"/>
              <w:right w:w="28" w:type="dxa"/>
            </w:tcMar>
            <w:vAlign w:val="center"/>
          </w:tcPr>
          <w:p>
            <w:pPr>
              <w:pStyle w:val="style0"/>
              <w:numPr>
                <w:ilvl w:val="0"/>
                <w:numId w:val="73"/>
              </w:numPr>
              <w:spacing w:before="0"/>
              <w:ind w:left="0" w:firstLine="0"/>
              <w:jc w:val="left"/>
              <w:rPr>
                <w:sz w:val="20"/>
                <w:szCs w:val="20"/>
              </w:rPr>
            </w:pPr>
            <w:r>
              <w:rPr>
                <w:sz w:val="20"/>
                <w:szCs w:val="20"/>
              </w:rPr>
              <w:t>Sensibilis</w:t>
            </w:r>
            <w:r>
              <w:rPr>
                <w:sz w:val="20"/>
                <w:szCs w:val="20"/>
              </w:rPr>
              <w:t>er</w:t>
            </w:r>
            <w:r>
              <w:rPr>
                <w:sz w:val="20"/>
                <w:szCs w:val="20"/>
              </w:rPr>
              <w:t xml:space="preserve"> /édu</w:t>
            </w:r>
            <w:r>
              <w:rPr>
                <w:sz w:val="20"/>
                <w:szCs w:val="20"/>
              </w:rPr>
              <w:t>quer</w:t>
            </w:r>
            <w:r>
              <w:rPr>
                <w:sz w:val="20"/>
                <w:szCs w:val="20"/>
              </w:rPr>
              <w:t xml:space="preserve"> </w:t>
            </w:r>
            <w:r>
              <w:rPr>
                <w:sz w:val="20"/>
                <w:szCs w:val="20"/>
              </w:rPr>
              <w:t>l</w:t>
            </w:r>
            <w:r>
              <w:rPr>
                <w:sz w:val="20"/>
                <w:szCs w:val="20"/>
              </w:rPr>
              <w:t xml:space="preserve">es </w:t>
            </w:r>
            <w:r>
              <w:rPr>
                <w:sz w:val="20"/>
                <w:szCs w:val="20"/>
              </w:rPr>
              <w:t xml:space="preserve">commerçants et </w:t>
            </w:r>
            <w:r>
              <w:rPr>
                <w:sz w:val="20"/>
                <w:szCs w:val="20"/>
              </w:rPr>
              <w:t>l</w:t>
            </w:r>
            <w:r>
              <w:rPr>
                <w:sz w:val="20"/>
                <w:szCs w:val="20"/>
              </w:rPr>
              <w:t xml:space="preserve">es </w:t>
            </w:r>
            <w:r>
              <w:rPr>
                <w:sz w:val="20"/>
                <w:szCs w:val="20"/>
              </w:rPr>
              <w:t>producteurs</w:t>
            </w:r>
          </w:p>
          <w:p>
            <w:pPr>
              <w:pStyle w:val="style0"/>
              <w:numPr>
                <w:ilvl w:val="0"/>
                <w:numId w:val="73"/>
              </w:numPr>
              <w:spacing w:before="0"/>
              <w:ind w:left="0" w:firstLine="0"/>
              <w:jc w:val="left"/>
              <w:rPr>
                <w:sz w:val="20"/>
                <w:szCs w:val="20"/>
              </w:rPr>
            </w:pPr>
            <w:r>
              <w:rPr>
                <w:sz w:val="20"/>
                <w:szCs w:val="20"/>
              </w:rPr>
              <w:t>M</w:t>
            </w:r>
            <w:r>
              <w:rPr>
                <w:sz w:val="20"/>
                <w:szCs w:val="20"/>
              </w:rPr>
              <w:t>ettre aux</w:t>
            </w:r>
            <w:r>
              <w:rPr>
                <w:sz w:val="20"/>
                <w:szCs w:val="20"/>
              </w:rPr>
              <w:t xml:space="preserve"> norme</w:t>
            </w:r>
            <w:r>
              <w:rPr>
                <w:sz w:val="20"/>
                <w:szCs w:val="20"/>
              </w:rPr>
              <w:t>s</w:t>
            </w:r>
            <w:r>
              <w:rPr>
                <w:sz w:val="20"/>
                <w:szCs w:val="20"/>
              </w:rPr>
              <w:t xml:space="preserve"> </w:t>
            </w:r>
            <w:r>
              <w:rPr>
                <w:sz w:val="20"/>
                <w:szCs w:val="20"/>
              </w:rPr>
              <w:t>l</w:t>
            </w:r>
            <w:r>
              <w:rPr>
                <w:sz w:val="20"/>
                <w:szCs w:val="20"/>
              </w:rPr>
              <w:t xml:space="preserve">es </w:t>
            </w:r>
            <w:r>
              <w:rPr>
                <w:sz w:val="20"/>
                <w:szCs w:val="20"/>
              </w:rPr>
              <w:t xml:space="preserve">boutiques afin d’éviter les pollutions </w:t>
            </w:r>
          </w:p>
          <w:p>
            <w:pPr>
              <w:pStyle w:val="style0"/>
              <w:numPr>
                <w:ilvl w:val="0"/>
                <w:numId w:val="73"/>
              </w:numPr>
              <w:spacing w:before="0"/>
              <w:ind w:left="0" w:firstLine="0"/>
              <w:jc w:val="left"/>
              <w:rPr>
                <w:sz w:val="20"/>
                <w:szCs w:val="20"/>
              </w:rPr>
            </w:pPr>
            <w:r>
              <w:rPr>
                <w:sz w:val="20"/>
                <w:szCs w:val="20"/>
              </w:rPr>
              <w:t>Eviter les associations des vivres avec les pesticides dans les points de vente</w:t>
            </w:r>
          </w:p>
          <w:p>
            <w:pPr>
              <w:pStyle w:val="style0"/>
              <w:numPr>
                <w:ilvl w:val="0"/>
                <w:numId w:val="73"/>
              </w:numPr>
              <w:spacing w:before="0"/>
              <w:ind w:left="0" w:firstLine="0"/>
              <w:jc w:val="left"/>
              <w:rPr>
                <w:sz w:val="20"/>
                <w:szCs w:val="20"/>
              </w:rPr>
            </w:pPr>
            <w:r>
              <w:rPr>
                <w:sz w:val="20"/>
                <w:szCs w:val="20"/>
              </w:rPr>
              <w:t xml:space="preserve">Eviter la conservation des produits dans les maisons </w:t>
            </w:r>
          </w:p>
          <w:p>
            <w:pPr>
              <w:pStyle w:val="style0"/>
              <w:numPr>
                <w:ilvl w:val="0"/>
                <w:numId w:val="73"/>
              </w:numPr>
              <w:spacing w:before="0"/>
              <w:ind w:left="0" w:firstLine="0"/>
              <w:jc w:val="left"/>
              <w:rPr>
                <w:sz w:val="20"/>
                <w:szCs w:val="20"/>
              </w:rPr>
            </w:pPr>
            <w:r>
              <w:rPr>
                <w:sz w:val="20"/>
                <w:szCs w:val="20"/>
              </w:rPr>
              <w:t>Assurer le suivi sanitaire des gérants des boutiques d’intrants</w:t>
            </w:r>
          </w:p>
          <w:p>
            <w:pPr>
              <w:pStyle w:val="style0"/>
              <w:numPr>
                <w:ilvl w:val="0"/>
                <w:numId w:val="73"/>
              </w:numPr>
              <w:spacing w:before="0"/>
              <w:ind w:left="0" w:firstLine="0"/>
              <w:jc w:val="left"/>
              <w:rPr>
                <w:sz w:val="20"/>
                <w:szCs w:val="20"/>
              </w:rPr>
            </w:pPr>
            <w:r>
              <w:rPr>
                <w:sz w:val="20"/>
                <w:szCs w:val="20"/>
              </w:rPr>
              <w:t>Doter en équipement de stockage adéquat et réhabiliter les sites existants</w:t>
            </w:r>
          </w:p>
        </w:tc>
      </w:tr>
      <w:tr>
        <w:tblPrEx/>
        <w:trPr>
          <w:cantSplit/>
        </w:trPr>
        <w:tc>
          <w:tcPr>
            <w:tcW w:w="387" w:type="pct"/>
            <w:tcBorders/>
            <w:tcMar>
              <w:left w:w="28" w:type="dxa"/>
              <w:right w:w="28" w:type="dxa"/>
            </w:tcMar>
            <w:vAlign w:val="center"/>
          </w:tcPr>
          <w:p>
            <w:pPr>
              <w:pStyle w:val="style0"/>
              <w:spacing w:before="0"/>
              <w:jc w:val="left"/>
              <w:rPr>
                <w:sz w:val="20"/>
                <w:szCs w:val="20"/>
              </w:rPr>
            </w:pPr>
            <w:r>
              <w:rPr>
                <w:sz w:val="20"/>
                <w:szCs w:val="20"/>
              </w:rPr>
              <w:t>Utilisation</w:t>
            </w:r>
          </w:p>
        </w:tc>
        <w:tc>
          <w:tcPr>
            <w:tcW w:w="753" w:type="pct"/>
            <w:tcBorders/>
            <w:tcMar>
              <w:left w:w="28" w:type="dxa"/>
              <w:right w:w="28" w:type="dxa"/>
            </w:tcMar>
            <w:vAlign w:val="center"/>
          </w:tcPr>
          <w:p>
            <w:pPr>
              <w:pStyle w:val="style0"/>
              <w:spacing w:before="0"/>
              <w:jc w:val="left"/>
              <w:rPr>
                <w:sz w:val="20"/>
                <w:szCs w:val="20"/>
              </w:rPr>
            </w:pPr>
            <w:r>
              <w:rPr>
                <w:sz w:val="20"/>
                <w:szCs w:val="20"/>
              </w:rPr>
              <w:t>Déficit de formation et d’information/sensibilisation sur les dangers encourus</w:t>
            </w:r>
          </w:p>
        </w:tc>
        <w:tc>
          <w:tcPr>
            <w:tcW w:w="730" w:type="pct"/>
            <w:tcBorders/>
            <w:tcMar>
              <w:left w:w="28" w:type="dxa"/>
              <w:right w:w="28" w:type="dxa"/>
            </w:tcMar>
            <w:vAlign w:val="center"/>
          </w:tcPr>
          <w:p>
            <w:pPr>
              <w:pStyle w:val="style0"/>
              <w:spacing w:before="0"/>
              <w:jc w:val="left"/>
              <w:rPr>
                <w:sz w:val="20"/>
                <w:szCs w:val="20"/>
              </w:rPr>
            </w:pPr>
            <w:r>
              <w:rPr>
                <w:sz w:val="20"/>
                <w:szCs w:val="20"/>
              </w:rPr>
              <w:t>Contamination des sources d’eau par le lavage des contenants vides</w:t>
            </w:r>
          </w:p>
        </w:tc>
        <w:tc>
          <w:tcPr>
            <w:tcW w:w="538" w:type="pct"/>
            <w:tcBorders/>
            <w:tcMar>
              <w:left w:w="28" w:type="dxa"/>
              <w:right w:w="28" w:type="dxa"/>
            </w:tcMar>
            <w:vAlign w:val="center"/>
          </w:tcPr>
          <w:p>
            <w:pPr>
              <w:pStyle w:val="style0"/>
              <w:spacing w:before="0"/>
              <w:jc w:val="left"/>
              <w:rPr>
                <w:sz w:val="20"/>
                <w:szCs w:val="20"/>
              </w:rPr>
            </w:pPr>
            <w:r>
              <w:rPr>
                <w:sz w:val="20"/>
                <w:szCs w:val="20"/>
              </w:rPr>
              <w:t>-</w:t>
            </w:r>
            <w:r>
              <w:rPr>
                <w:sz w:val="20"/>
                <w:szCs w:val="20"/>
              </w:rPr>
              <w:t>Contamination du sol par déversement accidentel ou intentionnel, pollution de la nappe ;</w:t>
            </w:r>
          </w:p>
          <w:p>
            <w:pPr>
              <w:pStyle w:val="style0"/>
              <w:spacing w:before="0"/>
              <w:jc w:val="left"/>
              <w:rPr>
                <w:sz w:val="20"/>
                <w:szCs w:val="20"/>
              </w:rPr>
            </w:pPr>
            <w:r>
              <w:rPr>
                <w:sz w:val="20"/>
                <w:szCs w:val="20"/>
              </w:rPr>
              <w:t>-</w:t>
            </w:r>
            <w:r>
              <w:rPr>
                <w:sz w:val="20"/>
                <w:szCs w:val="20"/>
              </w:rPr>
              <w:t>Contamination accidentelle des animaux</w:t>
            </w:r>
          </w:p>
        </w:tc>
        <w:tc>
          <w:tcPr>
            <w:tcW w:w="788" w:type="pct"/>
            <w:tcBorders/>
            <w:tcMar>
              <w:left w:w="28" w:type="dxa"/>
              <w:right w:w="28" w:type="dxa"/>
            </w:tcMar>
            <w:vAlign w:val="center"/>
          </w:tcPr>
          <w:p>
            <w:pPr>
              <w:pStyle w:val="style0"/>
              <w:spacing w:before="0"/>
              <w:jc w:val="left"/>
              <w:rPr>
                <w:sz w:val="20"/>
                <w:szCs w:val="20"/>
              </w:rPr>
            </w:pPr>
            <w:r>
              <w:rPr>
                <w:sz w:val="20"/>
                <w:szCs w:val="20"/>
              </w:rPr>
              <w:t>-</w:t>
            </w:r>
            <w:r>
              <w:rPr>
                <w:sz w:val="20"/>
                <w:szCs w:val="20"/>
              </w:rPr>
              <w:t>Inhalation vapeur, contact dermique par éclaboussure lors de préparation ou transvasement par les applicateurs ;</w:t>
            </w:r>
          </w:p>
          <w:p>
            <w:pPr>
              <w:pStyle w:val="style0"/>
              <w:spacing w:before="0"/>
              <w:jc w:val="left"/>
              <w:rPr>
                <w:sz w:val="20"/>
                <w:szCs w:val="20"/>
              </w:rPr>
            </w:pPr>
            <w:r>
              <w:rPr>
                <w:sz w:val="20"/>
                <w:szCs w:val="20"/>
              </w:rPr>
              <w:t>-</w:t>
            </w:r>
            <w:r>
              <w:rPr>
                <w:sz w:val="20"/>
                <w:szCs w:val="20"/>
              </w:rPr>
              <w:t>Contact avec la peau par renversement</w:t>
            </w:r>
          </w:p>
        </w:tc>
        <w:tc>
          <w:tcPr>
            <w:tcW w:w="1804" w:type="pct"/>
            <w:tcBorders/>
            <w:shd w:val="clear" w:color="auto" w:fill="auto"/>
            <w:tcMar>
              <w:left w:w="28" w:type="dxa"/>
              <w:right w:w="28" w:type="dxa"/>
            </w:tcMar>
            <w:vAlign w:val="center"/>
          </w:tcPr>
          <w:p>
            <w:pPr>
              <w:pStyle w:val="style0"/>
              <w:numPr>
                <w:ilvl w:val="0"/>
                <w:numId w:val="73"/>
              </w:numPr>
              <w:spacing w:before="0"/>
              <w:ind w:left="0" w:firstLine="0"/>
              <w:jc w:val="left"/>
              <w:rPr>
                <w:sz w:val="20"/>
                <w:szCs w:val="20"/>
              </w:rPr>
            </w:pPr>
            <w:r>
              <w:rPr>
                <w:sz w:val="20"/>
                <w:szCs w:val="20"/>
              </w:rPr>
              <w:t>Form</w:t>
            </w:r>
            <w:r>
              <w:rPr>
                <w:sz w:val="20"/>
                <w:szCs w:val="20"/>
              </w:rPr>
              <w:t>er</w:t>
            </w:r>
            <w:r>
              <w:rPr>
                <w:sz w:val="20"/>
                <w:szCs w:val="20"/>
              </w:rPr>
              <w:t xml:space="preserve"> </w:t>
            </w:r>
            <w:r>
              <w:rPr>
                <w:sz w:val="20"/>
                <w:szCs w:val="20"/>
              </w:rPr>
              <w:t>l</w:t>
            </w:r>
            <w:r>
              <w:rPr>
                <w:sz w:val="20"/>
                <w:szCs w:val="20"/>
              </w:rPr>
              <w:t xml:space="preserve">es </w:t>
            </w:r>
            <w:r>
              <w:rPr>
                <w:sz w:val="20"/>
                <w:szCs w:val="20"/>
              </w:rPr>
              <w:t>applicateurs</w:t>
            </w:r>
          </w:p>
          <w:p>
            <w:pPr>
              <w:pStyle w:val="style0"/>
              <w:numPr>
                <w:ilvl w:val="0"/>
                <w:numId w:val="73"/>
              </w:numPr>
              <w:spacing w:before="0"/>
              <w:ind w:left="0" w:firstLine="0"/>
              <w:jc w:val="left"/>
              <w:rPr>
                <w:sz w:val="20"/>
                <w:szCs w:val="20"/>
              </w:rPr>
            </w:pPr>
            <w:r>
              <w:rPr>
                <w:sz w:val="20"/>
                <w:szCs w:val="20"/>
              </w:rPr>
              <w:t xml:space="preserve">Doter les applicateurs d’équipements de protection adéquats </w:t>
            </w:r>
          </w:p>
          <w:p>
            <w:pPr>
              <w:pStyle w:val="style0"/>
              <w:numPr>
                <w:ilvl w:val="0"/>
                <w:numId w:val="73"/>
              </w:numPr>
              <w:spacing w:before="0"/>
              <w:ind w:left="0" w:firstLine="0"/>
              <w:jc w:val="left"/>
              <w:rPr>
                <w:sz w:val="20"/>
                <w:szCs w:val="20"/>
              </w:rPr>
            </w:pPr>
            <w:r>
              <w:rPr>
                <w:sz w:val="20"/>
                <w:szCs w:val="20"/>
              </w:rPr>
              <w:t>Sensibilis</w:t>
            </w:r>
            <w:r>
              <w:rPr>
                <w:sz w:val="20"/>
                <w:szCs w:val="20"/>
              </w:rPr>
              <w:t>er</w:t>
            </w:r>
            <w:r>
              <w:rPr>
                <w:sz w:val="20"/>
                <w:szCs w:val="20"/>
              </w:rPr>
              <w:t xml:space="preserve"> </w:t>
            </w:r>
            <w:r>
              <w:rPr>
                <w:sz w:val="20"/>
                <w:szCs w:val="20"/>
              </w:rPr>
              <w:t>/</w:t>
            </w:r>
            <w:r>
              <w:rPr>
                <w:sz w:val="20"/>
                <w:szCs w:val="20"/>
              </w:rPr>
              <w:t>édu</w:t>
            </w:r>
            <w:r>
              <w:rPr>
                <w:sz w:val="20"/>
                <w:szCs w:val="20"/>
              </w:rPr>
              <w:t>quer</w:t>
            </w:r>
            <w:r>
              <w:rPr>
                <w:sz w:val="20"/>
                <w:szCs w:val="20"/>
              </w:rPr>
              <w:t xml:space="preserve"> </w:t>
            </w:r>
            <w:r>
              <w:rPr>
                <w:sz w:val="20"/>
                <w:szCs w:val="20"/>
              </w:rPr>
              <w:t>l</w:t>
            </w:r>
            <w:r>
              <w:rPr>
                <w:sz w:val="20"/>
                <w:szCs w:val="20"/>
              </w:rPr>
              <w:t xml:space="preserve">es </w:t>
            </w:r>
            <w:r>
              <w:rPr>
                <w:sz w:val="20"/>
                <w:szCs w:val="20"/>
              </w:rPr>
              <w:t>intervenants</w:t>
            </w:r>
          </w:p>
          <w:p>
            <w:pPr>
              <w:pStyle w:val="style0"/>
              <w:numPr>
                <w:ilvl w:val="0"/>
                <w:numId w:val="73"/>
              </w:numPr>
              <w:spacing w:before="0"/>
              <w:ind w:left="0" w:firstLine="0"/>
              <w:jc w:val="left"/>
              <w:rPr>
                <w:sz w:val="20"/>
                <w:szCs w:val="20"/>
              </w:rPr>
            </w:pPr>
            <w:r>
              <w:rPr>
                <w:sz w:val="20"/>
                <w:szCs w:val="20"/>
              </w:rPr>
              <w:t>Sensibilis</w:t>
            </w:r>
            <w:r>
              <w:rPr>
                <w:sz w:val="20"/>
                <w:szCs w:val="20"/>
              </w:rPr>
              <w:t>er</w:t>
            </w:r>
            <w:r>
              <w:rPr>
                <w:sz w:val="20"/>
                <w:szCs w:val="20"/>
              </w:rPr>
              <w:t xml:space="preserve"> /</w:t>
            </w:r>
            <w:r>
              <w:rPr>
                <w:sz w:val="20"/>
                <w:szCs w:val="20"/>
              </w:rPr>
              <w:t>édu</w:t>
            </w:r>
            <w:r>
              <w:rPr>
                <w:sz w:val="20"/>
                <w:szCs w:val="20"/>
              </w:rPr>
              <w:t>quer</w:t>
            </w:r>
            <w:r>
              <w:rPr>
                <w:sz w:val="20"/>
                <w:szCs w:val="20"/>
              </w:rPr>
              <w:t xml:space="preserve"> </w:t>
            </w:r>
            <w:r>
              <w:rPr>
                <w:sz w:val="20"/>
                <w:szCs w:val="20"/>
              </w:rPr>
              <w:t>l</w:t>
            </w:r>
            <w:r>
              <w:rPr>
                <w:sz w:val="20"/>
                <w:szCs w:val="20"/>
              </w:rPr>
              <w:t xml:space="preserve">es </w:t>
            </w:r>
            <w:r>
              <w:rPr>
                <w:sz w:val="20"/>
                <w:szCs w:val="20"/>
              </w:rPr>
              <w:t>populations</w:t>
            </w:r>
          </w:p>
          <w:p>
            <w:pPr>
              <w:pStyle w:val="style0"/>
              <w:numPr>
                <w:ilvl w:val="0"/>
                <w:numId w:val="73"/>
              </w:numPr>
              <w:spacing w:before="0"/>
              <w:ind w:left="0" w:firstLine="0"/>
              <w:jc w:val="left"/>
              <w:rPr>
                <w:sz w:val="20"/>
                <w:szCs w:val="20"/>
              </w:rPr>
            </w:pPr>
            <w:r>
              <w:rPr>
                <w:sz w:val="20"/>
                <w:szCs w:val="20"/>
              </w:rPr>
              <w:t>Doter le personnel d’équipements de protection et inciter à leur port au complet</w:t>
            </w:r>
          </w:p>
          <w:p>
            <w:pPr>
              <w:pStyle w:val="style0"/>
              <w:numPr>
                <w:ilvl w:val="0"/>
                <w:numId w:val="73"/>
              </w:numPr>
              <w:spacing w:before="0"/>
              <w:ind w:left="0" w:firstLine="0"/>
              <w:jc w:val="left"/>
              <w:rPr>
                <w:sz w:val="20"/>
                <w:szCs w:val="20"/>
              </w:rPr>
            </w:pPr>
            <w:r>
              <w:rPr>
                <w:sz w:val="20"/>
                <w:szCs w:val="20"/>
              </w:rPr>
              <w:t>Form</w:t>
            </w:r>
            <w:r>
              <w:rPr>
                <w:sz w:val="20"/>
                <w:szCs w:val="20"/>
              </w:rPr>
              <w:t>er</w:t>
            </w:r>
            <w:r>
              <w:rPr>
                <w:sz w:val="20"/>
                <w:szCs w:val="20"/>
              </w:rPr>
              <w:t xml:space="preserve"> et sensibilis</w:t>
            </w:r>
            <w:r>
              <w:rPr>
                <w:sz w:val="20"/>
                <w:szCs w:val="20"/>
              </w:rPr>
              <w:t>er</w:t>
            </w:r>
            <w:r>
              <w:rPr>
                <w:sz w:val="20"/>
                <w:szCs w:val="20"/>
              </w:rPr>
              <w:t xml:space="preserve"> </w:t>
            </w:r>
            <w:r>
              <w:rPr>
                <w:sz w:val="20"/>
                <w:szCs w:val="20"/>
              </w:rPr>
              <w:t xml:space="preserve">de façon </w:t>
            </w:r>
            <w:r>
              <w:rPr>
                <w:sz w:val="20"/>
                <w:szCs w:val="20"/>
              </w:rPr>
              <w:t xml:space="preserve">approfondie </w:t>
            </w:r>
            <w:r>
              <w:rPr>
                <w:sz w:val="20"/>
                <w:szCs w:val="20"/>
              </w:rPr>
              <w:t>le</w:t>
            </w:r>
            <w:r>
              <w:rPr>
                <w:sz w:val="20"/>
                <w:szCs w:val="20"/>
              </w:rPr>
              <w:t xml:space="preserve"> </w:t>
            </w:r>
            <w:r>
              <w:rPr>
                <w:sz w:val="20"/>
                <w:szCs w:val="20"/>
              </w:rPr>
              <w:t>personnel de gestion des pesticides sur tous les aspects de la filière des pesticides ainsi que sur les réponses d’urgence</w:t>
            </w:r>
          </w:p>
          <w:p>
            <w:pPr>
              <w:pStyle w:val="style0"/>
              <w:numPr>
                <w:ilvl w:val="0"/>
                <w:numId w:val="73"/>
              </w:numPr>
              <w:spacing w:before="0"/>
              <w:ind w:left="0" w:firstLine="0"/>
              <w:jc w:val="left"/>
              <w:rPr>
                <w:sz w:val="20"/>
                <w:szCs w:val="20"/>
              </w:rPr>
            </w:pPr>
            <w:r>
              <w:rPr>
                <w:sz w:val="20"/>
                <w:szCs w:val="20"/>
              </w:rPr>
              <w:t xml:space="preserve">Proscrire les contenants à grand volume afin d’éviter les transvasements </w:t>
            </w:r>
          </w:p>
        </w:tc>
      </w:tr>
      <w:tr>
        <w:tblPrEx/>
        <w:trPr>
          <w:cantSplit/>
        </w:trPr>
        <w:tc>
          <w:tcPr>
            <w:tcW w:w="387" w:type="pct"/>
            <w:tcBorders/>
            <w:tcMar>
              <w:left w:w="28" w:type="dxa"/>
              <w:right w:w="28" w:type="dxa"/>
            </w:tcMar>
            <w:vAlign w:val="center"/>
          </w:tcPr>
          <w:p>
            <w:pPr>
              <w:pStyle w:val="style0"/>
              <w:spacing w:before="0"/>
              <w:jc w:val="left"/>
              <w:rPr>
                <w:sz w:val="20"/>
                <w:szCs w:val="20"/>
              </w:rPr>
            </w:pPr>
            <w:r>
              <w:rPr>
                <w:sz w:val="20"/>
                <w:szCs w:val="20"/>
              </w:rPr>
              <w:t>Gestion des contenants vides</w:t>
            </w:r>
          </w:p>
        </w:tc>
        <w:tc>
          <w:tcPr>
            <w:tcW w:w="753" w:type="pct"/>
            <w:tcBorders/>
            <w:tcMar>
              <w:left w:w="28" w:type="dxa"/>
              <w:right w:w="28" w:type="dxa"/>
            </w:tcMar>
            <w:vAlign w:val="center"/>
          </w:tcPr>
          <w:p>
            <w:pPr>
              <w:pStyle w:val="style0"/>
              <w:spacing w:before="0"/>
              <w:jc w:val="left"/>
              <w:rPr>
                <w:sz w:val="20"/>
                <w:szCs w:val="20"/>
              </w:rPr>
            </w:pPr>
            <w:r>
              <w:rPr>
                <w:sz w:val="20"/>
                <w:szCs w:val="20"/>
              </w:rPr>
              <w:t>-</w:t>
            </w:r>
            <w:r>
              <w:rPr>
                <w:sz w:val="20"/>
                <w:szCs w:val="20"/>
              </w:rPr>
              <w:t>Déficit de formation,</w:t>
            </w:r>
            <w:r>
              <w:rPr>
                <w:sz w:val="20"/>
                <w:szCs w:val="20"/>
              </w:rPr>
              <w:t xml:space="preserve"> d’information/sensibilisation sur la gestion des contenants vides ;</w:t>
            </w:r>
          </w:p>
          <w:p>
            <w:pPr>
              <w:pStyle w:val="style0"/>
              <w:spacing w:before="0"/>
              <w:jc w:val="left"/>
              <w:rPr>
                <w:sz w:val="20"/>
                <w:szCs w:val="20"/>
              </w:rPr>
            </w:pPr>
            <w:r>
              <w:rPr>
                <w:sz w:val="20"/>
                <w:szCs w:val="20"/>
              </w:rPr>
              <w:t>-</w:t>
            </w:r>
            <w:r>
              <w:rPr>
                <w:sz w:val="20"/>
                <w:szCs w:val="20"/>
              </w:rPr>
              <w:t>Manque d’équipements appropriés</w:t>
            </w:r>
          </w:p>
        </w:tc>
        <w:tc>
          <w:tcPr>
            <w:tcW w:w="730" w:type="pct"/>
            <w:tcBorders/>
            <w:tcMar>
              <w:left w:w="28" w:type="dxa"/>
              <w:right w:w="28" w:type="dxa"/>
            </w:tcMar>
            <w:vAlign w:val="center"/>
          </w:tcPr>
          <w:p>
            <w:pPr>
              <w:pStyle w:val="style0"/>
              <w:spacing w:before="0"/>
              <w:jc w:val="left"/>
              <w:rPr>
                <w:sz w:val="20"/>
                <w:szCs w:val="20"/>
              </w:rPr>
            </w:pPr>
            <w:r>
              <w:rPr>
                <w:sz w:val="20"/>
                <w:szCs w:val="20"/>
              </w:rPr>
              <w:t>-</w:t>
            </w:r>
            <w:r>
              <w:rPr>
                <w:sz w:val="20"/>
                <w:szCs w:val="20"/>
              </w:rPr>
              <w:t>Ingestion des produits par le biais de la réutilisation des contenants ;</w:t>
            </w:r>
          </w:p>
          <w:p>
            <w:pPr>
              <w:pStyle w:val="style0"/>
              <w:spacing w:before="0"/>
              <w:jc w:val="left"/>
              <w:rPr>
                <w:sz w:val="20"/>
                <w:szCs w:val="20"/>
              </w:rPr>
            </w:pPr>
            <w:r>
              <w:rPr>
                <w:sz w:val="20"/>
                <w:szCs w:val="20"/>
              </w:rPr>
              <w:t>-</w:t>
            </w:r>
            <w:r>
              <w:rPr>
                <w:sz w:val="20"/>
                <w:szCs w:val="20"/>
              </w:rPr>
              <w:t>Intoxication des personnes par réutilisation des contenants</w:t>
            </w:r>
          </w:p>
        </w:tc>
        <w:tc>
          <w:tcPr>
            <w:tcW w:w="538" w:type="pct"/>
            <w:tcBorders/>
            <w:tcMar>
              <w:left w:w="28" w:type="dxa"/>
              <w:right w:w="28" w:type="dxa"/>
            </w:tcMar>
            <w:vAlign w:val="center"/>
          </w:tcPr>
          <w:p>
            <w:pPr>
              <w:pStyle w:val="style0"/>
              <w:spacing w:before="0"/>
              <w:jc w:val="left"/>
              <w:rPr>
                <w:sz w:val="20"/>
                <w:szCs w:val="20"/>
              </w:rPr>
            </w:pPr>
            <w:r>
              <w:rPr>
                <w:sz w:val="20"/>
                <w:szCs w:val="20"/>
              </w:rPr>
              <w:t>-</w:t>
            </w:r>
            <w:r>
              <w:rPr>
                <w:sz w:val="20"/>
                <w:szCs w:val="20"/>
              </w:rPr>
              <w:t>Contamination du sol   et pollution de la nappe ;</w:t>
            </w:r>
          </w:p>
          <w:p>
            <w:pPr>
              <w:pStyle w:val="style0"/>
              <w:spacing w:before="0"/>
              <w:jc w:val="left"/>
              <w:rPr>
                <w:sz w:val="20"/>
                <w:szCs w:val="20"/>
              </w:rPr>
            </w:pPr>
            <w:r>
              <w:rPr>
                <w:sz w:val="20"/>
                <w:szCs w:val="20"/>
              </w:rPr>
              <w:t>-</w:t>
            </w:r>
            <w:r>
              <w:rPr>
                <w:sz w:val="20"/>
                <w:szCs w:val="20"/>
              </w:rPr>
              <w:t xml:space="preserve">Contamination accidentelle des animaux </w:t>
            </w:r>
          </w:p>
        </w:tc>
        <w:tc>
          <w:tcPr>
            <w:tcW w:w="788" w:type="pct"/>
            <w:tcBorders/>
            <w:tcMar>
              <w:left w:w="28" w:type="dxa"/>
              <w:right w:w="28" w:type="dxa"/>
            </w:tcMar>
            <w:vAlign w:val="center"/>
          </w:tcPr>
          <w:p>
            <w:pPr>
              <w:pStyle w:val="style0"/>
              <w:spacing w:before="0"/>
              <w:jc w:val="left"/>
              <w:rPr>
                <w:sz w:val="20"/>
                <w:szCs w:val="20"/>
              </w:rPr>
            </w:pPr>
            <w:r>
              <w:rPr>
                <w:sz w:val="20"/>
                <w:szCs w:val="20"/>
              </w:rPr>
              <w:t>Contamination lors des destructions des emballages par contact dermique ou l’inhalation</w:t>
            </w:r>
          </w:p>
        </w:tc>
        <w:tc>
          <w:tcPr>
            <w:tcW w:w="1804" w:type="pct"/>
            <w:tcBorders/>
            <w:shd w:val="clear" w:color="auto" w:fill="auto"/>
            <w:tcMar>
              <w:left w:w="28" w:type="dxa"/>
              <w:right w:w="28" w:type="dxa"/>
            </w:tcMar>
            <w:vAlign w:val="center"/>
          </w:tcPr>
          <w:p>
            <w:pPr>
              <w:pStyle w:val="style0"/>
              <w:numPr>
                <w:ilvl w:val="0"/>
                <w:numId w:val="73"/>
              </w:numPr>
              <w:spacing w:before="0"/>
              <w:ind w:left="0" w:firstLine="0"/>
              <w:jc w:val="left"/>
              <w:rPr>
                <w:sz w:val="20"/>
                <w:szCs w:val="20"/>
              </w:rPr>
            </w:pPr>
            <w:r>
              <w:rPr>
                <w:sz w:val="20"/>
                <w:szCs w:val="20"/>
              </w:rPr>
              <w:t>Sensibilis</w:t>
            </w:r>
            <w:r>
              <w:rPr>
                <w:sz w:val="20"/>
                <w:szCs w:val="20"/>
              </w:rPr>
              <w:t>er</w:t>
            </w:r>
            <w:r>
              <w:rPr>
                <w:sz w:val="20"/>
                <w:szCs w:val="20"/>
              </w:rPr>
              <w:t xml:space="preserve"> /édu</w:t>
            </w:r>
            <w:r>
              <w:rPr>
                <w:sz w:val="20"/>
                <w:szCs w:val="20"/>
              </w:rPr>
              <w:t>quer</w:t>
            </w:r>
            <w:r>
              <w:rPr>
                <w:sz w:val="20"/>
                <w:szCs w:val="20"/>
              </w:rPr>
              <w:t xml:space="preserve"> </w:t>
            </w:r>
            <w:r>
              <w:rPr>
                <w:sz w:val="20"/>
                <w:szCs w:val="20"/>
              </w:rPr>
              <w:t>l</w:t>
            </w:r>
            <w:r>
              <w:rPr>
                <w:sz w:val="20"/>
                <w:szCs w:val="20"/>
              </w:rPr>
              <w:t xml:space="preserve">es </w:t>
            </w:r>
            <w:r>
              <w:rPr>
                <w:sz w:val="20"/>
                <w:szCs w:val="20"/>
              </w:rPr>
              <w:t>intervenants</w:t>
            </w:r>
          </w:p>
          <w:p>
            <w:pPr>
              <w:pStyle w:val="style0"/>
              <w:numPr>
                <w:ilvl w:val="0"/>
                <w:numId w:val="73"/>
              </w:numPr>
              <w:spacing w:before="0"/>
              <w:ind w:left="0" w:firstLine="0"/>
              <w:jc w:val="left"/>
              <w:rPr>
                <w:sz w:val="20"/>
                <w:szCs w:val="20"/>
              </w:rPr>
            </w:pPr>
            <w:r>
              <w:rPr>
                <w:sz w:val="20"/>
                <w:szCs w:val="20"/>
              </w:rPr>
              <w:t>Collecte</w:t>
            </w:r>
            <w:r>
              <w:rPr>
                <w:sz w:val="20"/>
                <w:szCs w:val="20"/>
              </w:rPr>
              <w:t>r</w:t>
            </w:r>
            <w:r>
              <w:rPr>
                <w:sz w:val="20"/>
                <w:szCs w:val="20"/>
              </w:rPr>
              <w:t xml:space="preserve"> et </w:t>
            </w:r>
            <w:r>
              <w:rPr>
                <w:sz w:val="20"/>
                <w:szCs w:val="20"/>
              </w:rPr>
              <w:t>détru</w:t>
            </w:r>
            <w:r>
              <w:rPr>
                <w:sz w:val="20"/>
                <w:szCs w:val="20"/>
              </w:rPr>
              <w:t>ire</w:t>
            </w:r>
            <w:r>
              <w:rPr>
                <w:sz w:val="20"/>
                <w:szCs w:val="20"/>
              </w:rPr>
              <w:t xml:space="preserve"> de façon</w:t>
            </w:r>
            <w:r>
              <w:rPr>
                <w:sz w:val="20"/>
                <w:szCs w:val="20"/>
              </w:rPr>
              <w:t xml:space="preserve"> </w:t>
            </w:r>
            <w:r>
              <w:rPr>
                <w:sz w:val="20"/>
                <w:szCs w:val="20"/>
              </w:rPr>
              <w:t xml:space="preserve">appropriée </w:t>
            </w:r>
            <w:r>
              <w:rPr>
                <w:sz w:val="20"/>
                <w:szCs w:val="20"/>
              </w:rPr>
              <w:t>l</w:t>
            </w:r>
            <w:r>
              <w:rPr>
                <w:sz w:val="20"/>
                <w:szCs w:val="20"/>
              </w:rPr>
              <w:t xml:space="preserve">es </w:t>
            </w:r>
            <w:r>
              <w:rPr>
                <w:sz w:val="20"/>
                <w:szCs w:val="20"/>
              </w:rPr>
              <w:t>emballages au niveau des points de vente</w:t>
            </w:r>
          </w:p>
          <w:p>
            <w:pPr>
              <w:pStyle w:val="style0"/>
              <w:numPr>
                <w:ilvl w:val="0"/>
                <w:numId w:val="73"/>
              </w:numPr>
              <w:spacing w:before="0"/>
              <w:ind w:left="0" w:firstLine="0"/>
              <w:jc w:val="left"/>
              <w:rPr>
                <w:sz w:val="20"/>
                <w:szCs w:val="20"/>
              </w:rPr>
            </w:pPr>
            <w:r>
              <w:rPr>
                <w:sz w:val="20"/>
                <w:szCs w:val="20"/>
              </w:rPr>
              <w:t>Acqu</w:t>
            </w:r>
            <w:r>
              <w:rPr>
                <w:sz w:val="20"/>
                <w:szCs w:val="20"/>
              </w:rPr>
              <w:t>érir</w:t>
            </w:r>
            <w:r>
              <w:rPr>
                <w:sz w:val="20"/>
                <w:szCs w:val="20"/>
              </w:rPr>
              <w:t xml:space="preserve"> </w:t>
            </w:r>
            <w:r>
              <w:rPr>
                <w:sz w:val="20"/>
                <w:szCs w:val="20"/>
              </w:rPr>
              <w:t>d</w:t>
            </w:r>
            <w:r>
              <w:rPr>
                <w:sz w:val="20"/>
                <w:szCs w:val="20"/>
              </w:rPr>
              <w:t xml:space="preserve">es </w:t>
            </w:r>
            <w:r>
              <w:rPr>
                <w:sz w:val="20"/>
                <w:szCs w:val="20"/>
              </w:rPr>
              <w:t xml:space="preserve">incinérateurs </w:t>
            </w:r>
            <w:r>
              <w:rPr>
                <w:sz w:val="20"/>
                <w:szCs w:val="20"/>
              </w:rPr>
              <w:t>pour l</w:t>
            </w:r>
            <w:r>
              <w:rPr>
                <w:sz w:val="20"/>
                <w:szCs w:val="20"/>
              </w:rPr>
              <w:t xml:space="preserve">es </w:t>
            </w:r>
            <w:r>
              <w:rPr>
                <w:sz w:val="20"/>
                <w:szCs w:val="20"/>
              </w:rPr>
              <w:t>emballages vides</w:t>
            </w:r>
          </w:p>
          <w:p>
            <w:pPr>
              <w:pStyle w:val="style0"/>
              <w:numPr>
                <w:ilvl w:val="0"/>
                <w:numId w:val="73"/>
              </w:numPr>
              <w:spacing w:before="0"/>
              <w:ind w:left="0" w:firstLine="0"/>
              <w:jc w:val="left"/>
              <w:rPr>
                <w:sz w:val="20"/>
                <w:szCs w:val="20"/>
              </w:rPr>
            </w:pPr>
            <w:r>
              <w:rPr>
                <w:sz w:val="20"/>
                <w:szCs w:val="20"/>
              </w:rPr>
              <w:t>Form</w:t>
            </w:r>
            <w:r>
              <w:rPr>
                <w:sz w:val="20"/>
                <w:szCs w:val="20"/>
              </w:rPr>
              <w:t>er les acteurs</w:t>
            </w:r>
            <w:r>
              <w:rPr>
                <w:sz w:val="20"/>
                <w:szCs w:val="20"/>
              </w:rPr>
              <w:t xml:space="preserve"> </w:t>
            </w:r>
            <w:r>
              <w:rPr>
                <w:sz w:val="20"/>
                <w:szCs w:val="20"/>
              </w:rPr>
              <w:t xml:space="preserve">sur la gestion des contenants vides pour une élimination sécuritaire et </w:t>
            </w:r>
            <w:r>
              <w:rPr>
                <w:sz w:val="20"/>
                <w:szCs w:val="20"/>
              </w:rPr>
              <w:t>renforce</w:t>
            </w:r>
            <w:r>
              <w:rPr>
                <w:sz w:val="20"/>
                <w:szCs w:val="20"/>
              </w:rPr>
              <w:t>r les capacités techniques et logistiques</w:t>
            </w:r>
            <w:r>
              <w:rPr>
                <w:sz w:val="20"/>
                <w:szCs w:val="20"/>
              </w:rPr>
              <w:t xml:space="preserve"> </w:t>
            </w:r>
            <w:r>
              <w:rPr>
                <w:sz w:val="20"/>
                <w:szCs w:val="20"/>
              </w:rPr>
              <w:t>du centre de décontamination de la DPVC</w:t>
            </w:r>
          </w:p>
        </w:tc>
      </w:tr>
      <w:tr>
        <w:tblPrEx/>
        <w:trPr>
          <w:cantSplit/>
        </w:trPr>
        <w:tc>
          <w:tcPr>
            <w:tcW w:w="387" w:type="pct"/>
            <w:tcBorders/>
            <w:tcMar>
              <w:left w:w="28" w:type="dxa"/>
              <w:right w:w="28" w:type="dxa"/>
            </w:tcMar>
            <w:vAlign w:val="center"/>
          </w:tcPr>
          <w:p>
            <w:pPr>
              <w:pStyle w:val="style0"/>
              <w:spacing w:before="0"/>
              <w:jc w:val="left"/>
              <w:rPr>
                <w:sz w:val="20"/>
                <w:szCs w:val="20"/>
              </w:rPr>
            </w:pPr>
            <w:r>
              <w:rPr>
                <w:sz w:val="20"/>
                <w:szCs w:val="20"/>
              </w:rPr>
              <w:t>Lavage des contenants vides</w:t>
            </w:r>
          </w:p>
        </w:tc>
        <w:tc>
          <w:tcPr>
            <w:tcW w:w="753" w:type="pct"/>
            <w:tcBorders/>
            <w:tcMar>
              <w:left w:w="28" w:type="dxa"/>
              <w:right w:w="28" w:type="dxa"/>
            </w:tcMar>
            <w:vAlign w:val="center"/>
          </w:tcPr>
          <w:p>
            <w:pPr>
              <w:pStyle w:val="style0"/>
              <w:spacing w:before="0"/>
              <w:jc w:val="left"/>
              <w:rPr>
                <w:sz w:val="20"/>
                <w:szCs w:val="20"/>
              </w:rPr>
            </w:pPr>
            <w:r>
              <w:rPr>
                <w:sz w:val="20"/>
                <w:szCs w:val="20"/>
              </w:rPr>
              <w:t>-</w:t>
            </w:r>
            <w:r>
              <w:rPr>
                <w:sz w:val="20"/>
                <w:szCs w:val="20"/>
              </w:rPr>
              <w:t>Déficit de formation, d’information, de sensibilisation et d’équipement approprié</w:t>
            </w:r>
          </w:p>
        </w:tc>
        <w:tc>
          <w:tcPr>
            <w:tcW w:w="730" w:type="pct"/>
            <w:tcBorders/>
            <w:tcMar>
              <w:left w:w="28" w:type="dxa"/>
              <w:right w:w="28" w:type="dxa"/>
            </w:tcMar>
            <w:vAlign w:val="center"/>
          </w:tcPr>
          <w:p>
            <w:pPr>
              <w:pStyle w:val="style0"/>
              <w:spacing w:before="0"/>
              <w:jc w:val="left"/>
              <w:rPr>
                <w:sz w:val="20"/>
                <w:szCs w:val="20"/>
              </w:rPr>
            </w:pPr>
            <w:r>
              <w:rPr>
                <w:sz w:val="20"/>
                <w:szCs w:val="20"/>
              </w:rPr>
              <w:t>Contact dermique, contamination des puits</w:t>
            </w:r>
          </w:p>
        </w:tc>
        <w:tc>
          <w:tcPr>
            <w:tcW w:w="538" w:type="pct"/>
            <w:tcBorders/>
            <w:tcMar>
              <w:left w:w="28" w:type="dxa"/>
              <w:right w:w="28" w:type="dxa"/>
            </w:tcMar>
            <w:vAlign w:val="center"/>
          </w:tcPr>
          <w:p>
            <w:pPr>
              <w:pStyle w:val="style0"/>
              <w:spacing w:before="0"/>
              <w:jc w:val="left"/>
              <w:rPr>
                <w:sz w:val="20"/>
                <w:szCs w:val="20"/>
              </w:rPr>
            </w:pPr>
            <w:r>
              <w:rPr>
                <w:sz w:val="20"/>
                <w:szCs w:val="20"/>
              </w:rPr>
              <w:t>Intoxication aigue des poissons et autres crustacées, pollution des puits et mares, nappe</w:t>
            </w:r>
          </w:p>
        </w:tc>
        <w:tc>
          <w:tcPr>
            <w:tcW w:w="788" w:type="pct"/>
            <w:tcBorders/>
            <w:tcMar>
              <w:left w:w="28" w:type="dxa"/>
              <w:right w:w="28" w:type="dxa"/>
            </w:tcMar>
            <w:vAlign w:val="center"/>
          </w:tcPr>
          <w:p>
            <w:pPr>
              <w:pStyle w:val="style0"/>
              <w:spacing w:before="0"/>
              <w:jc w:val="left"/>
              <w:rPr>
                <w:sz w:val="20"/>
                <w:szCs w:val="20"/>
              </w:rPr>
            </w:pPr>
            <w:r>
              <w:rPr>
                <w:sz w:val="20"/>
                <w:szCs w:val="20"/>
              </w:rPr>
              <w:t>Contamination par contact dermique</w:t>
            </w:r>
          </w:p>
        </w:tc>
        <w:tc>
          <w:tcPr>
            <w:tcW w:w="1804" w:type="pct"/>
            <w:tcBorders/>
            <w:shd w:val="clear" w:color="auto" w:fill="auto"/>
            <w:tcMar>
              <w:left w:w="28" w:type="dxa"/>
              <w:right w:w="28" w:type="dxa"/>
            </w:tcMar>
            <w:vAlign w:val="center"/>
          </w:tcPr>
          <w:p>
            <w:pPr>
              <w:pStyle w:val="style0"/>
              <w:numPr>
                <w:ilvl w:val="0"/>
                <w:numId w:val="73"/>
              </w:numPr>
              <w:spacing w:before="0"/>
              <w:ind w:left="0" w:firstLine="0"/>
              <w:jc w:val="left"/>
              <w:rPr>
                <w:sz w:val="20"/>
                <w:szCs w:val="20"/>
              </w:rPr>
            </w:pPr>
            <w:r>
              <w:rPr>
                <w:sz w:val="20"/>
                <w:szCs w:val="20"/>
              </w:rPr>
              <w:t>Form</w:t>
            </w:r>
            <w:r>
              <w:rPr>
                <w:sz w:val="20"/>
                <w:szCs w:val="20"/>
              </w:rPr>
              <w:t>er les acteurs</w:t>
            </w:r>
            <w:r>
              <w:rPr>
                <w:sz w:val="20"/>
                <w:szCs w:val="20"/>
              </w:rPr>
              <w:t xml:space="preserve"> </w:t>
            </w:r>
            <w:r>
              <w:rPr>
                <w:sz w:val="20"/>
                <w:szCs w:val="20"/>
              </w:rPr>
              <w:t>sur la gestion des contenants vides pour une élimination sécuritaire et renforce</w:t>
            </w:r>
            <w:r>
              <w:rPr>
                <w:sz w:val="20"/>
                <w:szCs w:val="20"/>
              </w:rPr>
              <w:t>r</w:t>
            </w:r>
            <w:r>
              <w:rPr>
                <w:sz w:val="20"/>
                <w:szCs w:val="20"/>
              </w:rPr>
              <w:t xml:space="preserve"> </w:t>
            </w:r>
            <w:r>
              <w:rPr>
                <w:sz w:val="20"/>
                <w:szCs w:val="20"/>
              </w:rPr>
              <w:t>les capacités techniques et logistiques</w:t>
            </w:r>
            <w:r>
              <w:rPr>
                <w:sz w:val="20"/>
                <w:szCs w:val="20"/>
              </w:rPr>
              <w:t xml:space="preserve"> </w:t>
            </w:r>
            <w:r>
              <w:rPr>
                <w:sz w:val="20"/>
                <w:szCs w:val="20"/>
              </w:rPr>
              <w:t>du centre de décontamination de la DPVC</w:t>
            </w:r>
          </w:p>
        </w:tc>
      </w:tr>
      <w:tr>
        <w:tblPrEx/>
        <w:trPr>
          <w:cantSplit/>
        </w:trPr>
        <w:tc>
          <w:tcPr>
            <w:tcW w:w="387" w:type="pct"/>
            <w:tcBorders/>
            <w:tcMar>
              <w:left w:w="28" w:type="dxa"/>
              <w:right w:w="28" w:type="dxa"/>
            </w:tcMar>
            <w:vAlign w:val="center"/>
          </w:tcPr>
          <w:p>
            <w:pPr>
              <w:pStyle w:val="style0"/>
              <w:spacing w:before="0"/>
              <w:jc w:val="left"/>
              <w:rPr>
                <w:sz w:val="20"/>
                <w:szCs w:val="20"/>
              </w:rPr>
            </w:pPr>
            <w:r>
              <w:rPr>
                <w:sz w:val="20"/>
                <w:szCs w:val="20"/>
              </w:rPr>
              <w:t xml:space="preserve">Gestion des emballages  vides des </w:t>
            </w:r>
            <w:r>
              <w:rPr>
                <w:sz w:val="20"/>
                <w:szCs w:val="20"/>
              </w:rPr>
              <w:t>déparasitant</w:t>
            </w:r>
            <w:r>
              <w:rPr>
                <w:sz w:val="20"/>
                <w:szCs w:val="20"/>
              </w:rPr>
              <w:t>s</w:t>
            </w:r>
          </w:p>
        </w:tc>
        <w:tc>
          <w:tcPr>
            <w:tcW w:w="753" w:type="pct"/>
            <w:tcBorders/>
            <w:tcMar>
              <w:left w:w="28" w:type="dxa"/>
              <w:right w:w="28" w:type="dxa"/>
            </w:tcMar>
            <w:vAlign w:val="center"/>
          </w:tcPr>
          <w:p>
            <w:pPr>
              <w:pStyle w:val="style0"/>
              <w:spacing w:before="0"/>
              <w:jc w:val="left"/>
              <w:rPr>
                <w:sz w:val="20"/>
                <w:szCs w:val="20"/>
              </w:rPr>
            </w:pPr>
            <w:r>
              <w:rPr>
                <w:sz w:val="20"/>
                <w:szCs w:val="20"/>
              </w:rPr>
              <w:t>Déficit de formation,  d’information/sensibilisation sur la gestion des emballages vides</w:t>
            </w:r>
          </w:p>
        </w:tc>
        <w:tc>
          <w:tcPr>
            <w:tcW w:w="730" w:type="pct"/>
            <w:tcBorders/>
            <w:tcMar>
              <w:left w:w="28" w:type="dxa"/>
              <w:right w:w="28" w:type="dxa"/>
            </w:tcMar>
            <w:vAlign w:val="center"/>
          </w:tcPr>
          <w:p>
            <w:pPr>
              <w:pStyle w:val="style0"/>
              <w:spacing w:before="0"/>
              <w:jc w:val="left"/>
              <w:rPr>
                <w:sz w:val="20"/>
                <w:szCs w:val="20"/>
              </w:rPr>
            </w:pPr>
            <w:r>
              <w:rPr>
                <w:sz w:val="20"/>
                <w:szCs w:val="20"/>
              </w:rPr>
              <w:t>Intoxication des personnes par réutilisation des emballages</w:t>
            </w:r>
          </w:p>
        </w:tc>
        <w:tc>
          <w:tcPr>
            <w:tcW w:w="538" w:type="pct"/>
            <w:tcBorders/>
            <w:tcMar>
              <w:left w:w="28" w:type="dxa"/>
              <w:right w:w="28" w:type="dxa"/>
            </w:tcMar>
            <w:vAlign w:val="center"/>
          </w:tcPr>
          <w:p>
            <w:pPr>
              <w:pStyle w:val="style0"/>
              <w:spacing w:before="0"/>
              <w:jc w:val="left"/>
              <w:rPr>
                <w:sz w:val="20"/>
                <w:szCs w:val="20"/>
              </w:rPr>
            </w:pPr>
          </w:p>
        </w:tc>
        <w:tc>
          <w:tcPr>
            <w:tcW w:w="788" w:type="pct"/>
            <w:tcBorders/>
            <w:tcMar>
              <w:left w:w="28" w:type="dxa"/>
              <w:right w:w="28" w:type="dxa"/>
            </w:tcMar>
            <w:vAlign w:val="center"/>
          </w:tcPr>
          <w:p>
            <w:pPr>
              <w:pStyle w:val="style0"/>
              <w:spacing w:before="0"/>
              <w:jc w:val="left"/>
              <w:rPr>
                <w:sz w:val="20"/>
                <w:szCs w:val="20"/>
              </w:rPr>
            </w:pPr>
            <w:r>
              <w:rPr>
                <w:sz w:val="20"/>
                <w:szCs w:val="20"/>
              </w:rPr>
              <w:t xml:space="preserve">Contamination lors des destructions des emballages </w:t>
            </w:r>
          </w:p>
        </w:tc>
        <w:tc>
          <w:tcPr>
            <w:tcW w:w="1804" w:type="pct"/>
            <w:tcBorders/>
            <w:shd w:val="clear" w:color="auto" w:fill="auto"/>
            <w:tcMar>
              <w:left w:w="28" w:type="dxa"/>
              <w:right w:w="28" w:type="dxa"/>
            </w:tcMar>
            <w:vAlign w:val="center"/>
          </w:tcPr>
          <w:p>
            <w:pPr>
              <w:pStyle w:val="style0"/>
              <w:numPr>
                <w:ilvl w:val="0"/>
                <w:numId w:val="73"/>
              </w:numPr>
              <w:tabs>
                <w:tab w:val="clear" w:pos="360"/>
              </w:tabs>
              <w:spacing w:before="0"/>
              <w:ind w:left="0" w:firstLine="0"/>
              <w:jc w:val="left"/>
              <w:rPr>
                <w:sz w:val="20"/>
                <w:szCs w:val="20"/>
              </w:rPr>
            </w:pPr>
            <w:r>
              <w:rPr>
                <w:sz w:val="20"/>
                <w:szCs w:val="20"/>
              </w:rPr>
              <w:t>Procéder des a</w:t>
            </w:r>
            <w:r>
              <w:rPr>
                <w:sz w:val="20"/>
                <w:szCs w:val="20"/>
              </w:rPr>
              <w:t>chat</w:t>
            </w:r>
            <w:r>
              <w:rPr>
                <w:sz w:val="20"/>
                <w:szCs w:val="20"/>
              </w:rPr>
              <w:t>s</w:t>
            </w:r>
            <w:r>
              <w:rPr>
                <w:sz w:val="20"/>
                <w:szCs w:val="20"/>
              </w:rPr>
              <w:t xml:space="preserve"> en gros des </w:t>
            </w:r>
            <w:r>
              <w:rPr>
                <w:sz w:val="20"/>
                <w:szCs w:val="20"/>
              </w:rPr>
              <w:t>déparasitant</w:t>
            </w:r>
            <w:r>
              <w:rPr>
                <w:sz w:val="20"/>
                <w:szCs w:val="20"/>
              </w:rPr>
              <w:t>s</w:t>
            </w:r>
            <w:r>
              <w:rPr>
                <w:sz w:val="20"/>
                <w:szCs w:val="20"/>
              </w:rPr>
              <w:t>, ce qui diminue la quantité des emballages</w:t>
            </w:r>
          </w:p>
          <w:p>
            <w:pPr>
              <w:pStyle w:val="style0"/>
              <w:numPr>
                <w:ilvl w:val="0"/>
                <w:numId w:val="73"/>
              </w:numPr>
              <w:tabs>
                <w:tab w:val="clear" w:pos="360"/>
              </w:tabs>
              <w:spacing w:before="0"/>
              <w:ind w:left="0" w:firstLine="0"/>
              <w:jc w:val="left"/>
              <w:rPr>
                <w:sz w:val="20"/>
                <w:szCs w:val="20"/>
              </w:rPr>
            </w:pPr>
            <w:r>
              <w:rPr>
                <w:sz w:val="20"/>
                <w:szCs w:val="20"/>
              </w:rPr>
              <w:t>Inform</w:t>
            </w:r>
            <w:r>
              <w:rPr>
                <w:sz w:val="20"/>
                <w:szCs w:val="20"/>
              </w:rPr>
              <w:t>er</w:t>
            </w:r>
            <w:r>
              <w:rPr>
                <w:sz w:val="20"/>
                <w:szCs w:val="20"/>
              </w:rPr>
              <w:t>/sensibilis</w:t>
            </w:r>
            <w:r>
              <w:rPr>
                <w:sz w:val="20"/>
                <w:szCs w:val="20"/>
              </w:rPr>
              <w:t>er</w:t>
            </w:r>
            <w:r>
              <w:rPr>
                <w:sz w:val="20"/>
                <w:szCs w:val="20"/>
              </w:rPr>
              <w:t xml:space="preserve"> </w:t>
            </w:r>
            <w:r>
              <w:rPr>
                <w:sz w:val="20"/>
                <w:szCs w:val="20"/>
              </w:rPr>
              <w:t>l</w:t>
            </w:r>
            <w:r>
              <w:rPr>
                <w:sz w:val="20"/>
                <w:szCs w:val="20"/>
              </w:rPr>
              <w:t xml:space="preserve">es </w:t>
            </w:r>
            <w:r>
              <w:rPr>
                <w:sz w:val="20"/>
                <w:szCs w:val="20"/>
              </w:rPr>
              <w:t xml:space="preserve">éleveurs sur les méthodes rationnelles de destruction </w:t>
            </w:r>
          </w:p>
        </w:tc>
      </w:tr>
    </w:tbl>
    <w:p>
      <w:pPr>
        <w:pStyle w:val="style0"/>
        <w:spacing w:before="0"/>
        <w:rPr>
          <w:sz w:val="23"/>
          <w:szCs w:val="23"/>
        </w:rPr>
        <w:sectPr>
          <w:pgSz w:w="16838" w:h="11906" w:orient="landscape"/>
          <w:pgMar w:top="567" w:right="720" w:bottom="567" w:left="720" w:header="709" w:footer="1094" w:gutter="0"/>
          <w:cols w:space="708"/>
          <w:docGrid w:linePitch="360"/>
        </w:sectPr>
      </w:pPr>
    </w:p>
    <w:p>
      <w:pPr>
        <w:pStyle w:val="style4"/>
        <w:numPr>
          <w:ilvl w:val="1"/>
          <w:numId w:val="22"/>
        </w:numPr>
        <w:rPr/>
      </w:pPr>
      <w:r>
        <w:t xml:space="preserve">Exemples d’incidents liés à l’utilisation des pesticides </w:t>
      </w:r>
    </w:p>
    <w:p>
      <w:pPr>
        <w:pStyle w:val="style0"/>
        <w:rPr/>
      </w:pPr>
      <w:r>
        <w:t>Dans le cadre</w:t>
      </w:r>
      <w:r>
        <w:t xml:space="preserve"> de l’élaboration de leur plan de gestion des pestes et des pesticides, l’AMVS a évalué les connaissances et la capacité de prise en charge des intoxications par les formations sanitaires </w:t>
      </w:r>
      <w:r>
        <w:t>à travers</w:t>
      </w:r>
      <w:r>
        <w:t xml:space="preserve"> des enquêtes auprès de </w:t>
      </w:r>
      <w:r>
        <w:t>quatre (</w:t>
      </w:r>
      <w:r>
        <w:t>04)</w:t>
      </w:r>
      <w:r>
        <w:t xml:space="preserve"> </w:t>
      </w:r>
      <w:r>
        <w:t>Centre de Santé et de Promotion Sociale (</w:t>
      </w:r>
      <w:r>
        <w:t>CSPS</w:t>
      </w:r>
      <w:r>
        <w:t>)</w:t>
      </w:r>
      <w:r>
        <w:t xml:space="preserve"> que sont c</w:t>
      </w:r>
      <w:r>
        <w:t xml:space="preserve">eux de Niassan, Lanfiéra, Débé </w:t>
      </w:r>
      <w:r>
        <w:t>du district sanitaire de Tougan et de Sonon du district sanitaire de Nouna. Les enquêtés étaient les infirmiers</w:t>
      </w:r>
      <w:r>
        <w:t>,</w:t>
      </w:r>
      <w:r>
        <w:t xml:space="preserve"> chef</w:t>
      </w:r>
      <w:r>
        <w:t>s</w:t>
      </w:r>
      <w:r>
        <w:t xml:space="preserve"> de poste</w:t>
      </w:r>
      <w:r>
        <w:t xml:space="preserve"> (AMVS, 2016)</w:t>
      </w:r>
      <w:r>
        <w:t>.</w:t>
      </w:r>
    </w:p>
    <w:p>
      <w:pPr>
        <w:pStyle w:val="style0"/>
        <w:rPr/>
      </w:pPr>
      <w:r>
        <w:t>De l’analyse des résultats, il ressort</w:t>
      </w:r>
      <w:r>
        <w:t>ait</w:t>
      </w:r>
      <w:r>
        <w:t xml:space="preserve"> que </w:t>
      </w:r>
      <w:r>
        <w:t xml:space="preserve">les ¾ des infirmiers affirmaient avoir été informés sur les processus de prise en charge de cas d’intoxication aux pesticides. </w:t>
      </w:r>
      <w:r>
        <w:t xml:space="preserve">Le nombre de cas d’intoxication aux pesticides admis </w:t>
      </w:r>
      <w:r>
        <w:t>dans les CSPS</w:t>
      </w:r>
      <w:r>
        <w:t xml:space="preserve"> </w:t>
      </w:r>
      <w:r>
        <w:t xml:space="preserve">était de 114 entre 2006 et 2014 avec une augmentation du nombre entre 2011 et 2014. </w:t>
      </w:r>
      <w:r>
        <w:t xml:space="preserve">Cette augmentation du nombre de cas d’intoxication pourrait être liée à l'augmentation de la main d’œuvre dans les périmètres aménagés </w:t>
      </w:r>
      <w:r>
        <w:t xml:space="preserve">durant cette période, </w:t>
      </w:r>
      <w:r>
        <w:t>ce qui conduirait à une utilisation intensive de</w:t>
      </w:r>
      <w:r>
        <w:t xml:space="preserve"> pesticides pour accroître l</w:t>
      </w:r>
      <w:r>
        <w:t>es rendements</w:t>
      </w:r>
      <w:r>
        <w:t xml:space="preserve">. Ainsi, il se pourrait, qu’il y’ait un plus grand nombre ces dernières années, vu le nombre de plus en plus croissant d’ouvriers dans le périmètre de la vallée du Sourou, qui abrite deux sites prioritaires pour le PDCA. </w:t>
      </w:r>
    </w:p>
    <w:p>
      <w:pPr>
        <w:pStyle w:val="style0"/>
        <w:rPr/>
      </w:pPr>
      <w:r>
        <w:t xml:space="preserve">L’issue des cas d’intoxication a été de 99 cas de guérison, 10 cas de transfert à l’échelon supérieur pour une meilleure prise en charge, 03 décès et 02 </w:t>
      </w:r>
      <w:r>
        <w:t xml:space="preserve">ayant </w:t>
      </w:r>
      <w:r>
        <w:t xml:space="preserve">perdu </w:t>
      </w:r>
      <w:r>
        <w:t>la</w:t>
      </w:r>
      <w:r>
        <w:t xml:space="preserve"> vue. Un enquêté sur les quatre</w:t>
      </w:r>
      <w:r>
        <w:t>(04)</w:t>
      </w:r>
      <w:r>
        <w:t xml:space="preserve"> dit avoir connaissance d’autres cas d’intoxications à ces pesticides non référés </w:t>
      </w:r>
      <w:r>
        <w:t xml:space="preserve">aux </w:t>
      </w:r>
      <w:r>
        <w:t>formation</w:t>
      </w:r>
      <w:r>
        <w:t>s</w:t>
      </w:r>
      <w:r>
        <w:t xml:space="preserve"> sanitaire</w:t>
      </w:r>
      <w:r>
        <w:t>s</w:t>
      </w:r>
      <w:r>
        <w:t>. Ce cas a été une tentative d’autolyse et a été rapporté par les agents de santé communautaire</w:t>
      </w:r>
      <w:r>
        <w:t>.</w:t>
      </w:r>
    </w:p>
    <w:p>
      <w:pPr>
        <w:pStyle w:val="style0"/>
        <w:rPr/>
      </w:pPr>
      <w:r>
        <w:t xml:space="preserve">D’autres cas d’intoxication aux pesticides sont rapportés dans le pays. Certains sont datés, et d’autres non. </w:t>
      </w:r>
    </w:p>
    <w:p>
      <w:pPr>
        <w:pStyle w:val="style179"/>
        <w:numPr>
          <w:ilvl w:val="0"/>
          <w:numId w:val="68"/>
        </w:numPr>
        <w:rPr/>
      </w:pPr>
      <w:r>
        <w:t>Cas d’intoxication alimentaire d’une famille suivi de mort de 4 personnes à Saponé</w:t>
      </w:r>
      <w:r>
        <w:t> ;</w:t>
      </w:r>
    </w:p>
    <w:p>
      <w:pPr>
        <w:pStyle w:val="style179"/>
        <w:numPr>
          <w:ilvl w:val="0"/>
          <w:numId w:val="68"/>
        </w:numPr>
        <w:rPr/>
      </w:pPr>
      <w:r>
        <w:t>2014 : intoxication sévère de 3 manœuvres dans l’équipe de lutte anti</w:t>
      </w:r>
      <w:r>
        <w:t>-</w:t>
      </w:r>
      <w:r>
        <w:t>aviaire de Bouro (Soum) ;</w:t>
      </w:r>
    </w:p>
    <w:p>
      <w:pPr>
        <w:pStyle w:val="style179"/>
        <w:numPr>
          <w:ilvl w:val="0"/>
          <w:numId w:val="68"/>
        </w:numPr>
        <w:rPr/>
      </w:pPr>
      <w:r>
        <w:t>2004 : intoxication</w:t>
      </w:r>
      <w:r>
        <w:t>s</w:t>
      </w:r>
      <w:r>
        <w:t xml:space="preserve"> sévères de 2 manœuvres dans l’équipe de lutte antiacridienne d’Arbinda (Soum) ;</w:t>
      </w:r>
    </w:p>
    <w:p>
      <w:pPr>
        <w:pStyle w:val="style179"/>
        <w:numPr>
          <w:ilvl w:val="0"/>
          <w:numId w:val="68"/>
        </w:numPr>
        <w:rPr/>
      </w:pPr>
      <w:r>
        <w:t>Intoxication et mort d’un producteur à Toécé (Centre-Sud) par suite d’une mauvaise manipulation du phostoxin ;</w:t>
      </w:r>
    </w:p>
    <w:p>
      <w:pPr>
        <w:pStyle w:val="style0"/>
        <w:rPr/>
      </w:pPr>
      <w:r>
        <w:t>Les pesticides ayant fait l’objet d’intoxication dans les équipes de lutte phytosanitaire sont des organophosphorés notamment le Fénitrothion 1000 et le Fenthion 640.</w:t>
      </w:r>
    </w:p>
    <w:p>
      <w:pPr>
        <w:pStyle w:val="style0"/>
        <w:rPr/>
      </w:pPr>
    </w:p>
    <w:p>
      <w:pPr>
        <w:pStyle w:val="style0"/>
        <w:spacing w:lineRule="auto" w:line="276"/>
        <w:rPr>
          <w:sz w:val="23"/>
          <w:szCs w:val="23"/>
        </w:rPr>
      </w:pPr>
    </w:p>
    <w:p>
      <w:pPr>
        <w:pStyle w:val="style0"/>
        <w:autoSpaceDE w:val="false"/>
        <w:autoSpaceDN w:val="false"/>
        <w:adjustRightInd w:val="false"/>
        <w:rPr>
          <w:sz w:val="22"/>
          <w:szCs w:val="22"/>
        </w:rPr>
      </w:pPr>
    </w:p>
    <w:p>
      <w:pPr>
        <w:pStyle w:val="style0"/>
        <w:autoSpaceDE w:val="false"/>
        <w:autoSpaceDN w:val="false"/>
        <w:adjustRightInd w:val="false"/>
        <w:rPr>
          <w:sz w:val="22"/>
          <w:szCs w:val="22"/>
        </w:rPr>
        <w:sectPr>
          <w:footerReference w:type="default" r:id="rId35"/>
          <w:pgSz w:w="11906" w:h="16838" w:orient="portrait"/>
          <w:pgMar w:top="1418" w:right="1134" w:bottom="1418" w:left="1134" w:header="709" w:footer="709" w:gutter="0"/>
          <w:cols w:space="708"/>
          <w:docGrid w:linePitch="360"/>
        </w:sectPr>
      </w:pPr>
    </w:p>
    <w:p>
      <w:pPr>
        <w:pStyle w:val="style0"/>
        <w:autoSpaceDE w:val="false"/>
        <w:autoSpaceDN w:val="false"/>
        <w:adjustRightInd w:val="false"/>
        <w:rPr>
          <w:sz w:val="22"/>
          <w:szCs w:val="22"/>
        </w:rPr>
      </w:pPr>
    </w:p>
    <w:bookmarkStart w:id="275" w:name="_Toc2831208"/>
    <w:p>
      <w:pPr>
        <w:pStyle w:val="style1"/>
        <w:numPr>
          <w:ilvl w:val="0"/>
          <w:numId w:val="0"/>
        </w:numPr>
        <w:rPr/>
      </w:pPr>
      <w:r>
        <w:t>E. Cadre politique, juridique et institutionnel de gestion intégrée des pestes (GIP)</w:t>
      </w:r>
      <w:bookmarkEnd w:id="275"/>
    </w:p>
    <w:p>
      <w:pPr>
        <w:pStyle w:val="style0"/>
        <w:rPr/>
      </w:pPr>
      <w:r>
        <w:t xml:space="preserve">Au regard des enjeux environnementaux et sanitaires de la gestion et de l’utilisation des pesticides, le Burkina Faso a élaboré des textes législatifs et réglementaires nationaux et a signé plusieurs textes internationaux et sous régionaux pour y faire face. Nous présentons dans ce qui suit </w:t>
      </w:r>
      <w:r>
        <w:t xml:space="preserve">le cadre politique, </w:t>
      </w:r>
      <w:r>
        <w:t>l</w:t>
      </w:r>
      <w:r>
        <w:rPr>
          <w:w w:val="102"/>
        </w:rPr>
        <w:t xml:space="preserve">a législation phytosanitaire </w:t>
      </w:r>
      <w:r>
        <w:t xml:space="preserve">et la règlementation des pesticides et par la suite, le cadre institutionnel de gestion des pesticides. </w:t>
      </w:r>
    </w:p>
    <w:p>
      <w:pPr>
        <w:pStyle w:val="style0"/>
        <w:spacing w:lineRule="auto" w:line="276"/>
        <w:rPr>
          <w:sz w:val="23"/>
          <w:szCs w:val="23"/>
        </w:rPr>
      </w:pPr>
    </w:p>
    <w:bookmarkStart w:id="276" w:name="_Toc284400583"/>
    <w:bookmarkStart w:id="277" w:name="_Toc295902964"/>
    <w:bookmarkStart w:id="278" w:name="_Toc381371801"/>
    <w:bookmarkStart w:id="279" w:name="_Toc385280074"/>
    <w:bookmarkStart w:id="280" w:name="_Toc412731861"/>
    <w:bookmarkStart w:id="281" w:name="_Toc412732245"/>
    <w:bookmarkStart w:id="282" w:name="_Toc458331308"/>
    <w:bookmarkStart w:id="283" w:name="_Toc462221551"/>
    <w:bookmarkStart w:id="284" w:name="_Toc514190131"/>
    <w:p>
      <w:pPr>
        <w:pStyle w:val="style2"/>
        <w:numPr>
          <w:ilvl w:val="1"/>
          <w:numId w:val="112"/>
        </w:numPr>
        <w:rPr>
          <w:w w:val="102"/>
        </w:rPr>
      </w:pPr>
      <w:r>
        <w:rPr>
          <w:w w:val="102"/>
        </w:rPr>
        <w:t xml:space="preserve"> </w:t>
      </w:r>
      <w:r>
        <w:rPr>
          <w:w w:val="102"/>
        </w:rPr>
        <w:tab/>
      </w:r>
      <w:bookmarkStart w:id="285" w:name="_Toc2831209"/>
      <w:r>
        <w:rPr>
          <w:w w:val="102"/>
        </w:rPr>
        <w:t>C</w:t>
      </w:r>
      <w:r>
        <w:rPr>
          <w:w w:val="102"/>
        </w:rPr>
        <w:t>adre Politique</w:t>
      </w:r>
      <w:r>
        <w:rPr>
          <w:w w:val="102"/>
        </w:rPr>
        <w:t xml:space="preserve"> de la gestion des pestes</w:t>
      </w:r>
      <w:bookmarkEnd w:id="285"/>
    </w:p>
    <w:p>
      <w:pPr>
        <w:pStyle w:val="style0"/>
        <w:spacing w:after="120"/>
        <w:rPr/>
      </w:pPr>
      <w:r>
        <w:t>Le cadre politique applicable au Programme</w:t>
      </w:r>
      <w:r>
        <w:t xml:space="preserve"> et relatif à la gestion des pestes</w:t>
      </w:r>
      <w:r>
        <w:t xml:space="preserve"> comprend une série de référentiels en cours de mise en œuvre au Burkina Faso.</w:t>
      </w:r>
    </w:p>
    <w:p>
      <w:pPr>
        <w:pStyle w:val="style0"/>
        <w:numPr>
          <w:ilvl w:val="0"/>
          <w:numId w:val="88"/>
        </w:numPr>
        <w:autoSpaceDE w:val="false"/>
        <w:autoSpaceDN w:val="false"/>
        <w:adjustRightInd w:val="false"/>
        <w:spacing w:before="0"/>
        <w:ind w:left="360"/>
        <w:rPr/>
      </w:pPr>
      <w:r>
        <w:rPr>
          <w:b/>
        </w:rPr>
        <w:t xml:space="preserve">Plan National de Développement Economique et Social (PNDES). </w:t>
      </w:r>
      <w:r>
        <w:t>Adopté par le</w:t>
      </w:r>
      <w:r>
        <w:rPr>
          <w:color w:val="000000"/>
        </w:rPr>
        <w:t xml:space="preserve"> Gouvernement du Burkina Faso le 20 juillet 2016, le PNDES vise à réformer les institutions et à moderniser l’administration, à développer le capital humain et à dynamiser les secteurs porteurs pour l’économie et l’emploi. </w:t>
      </w:r>
    </w:p>
    <w:p>
      <w:pPr>
        <w:pStyle w:val="style0"/>
        <w:numPr>
          <w:ilvl w:val="0"/>
          <w:numId w:val="84"/>
        </w:numPr>
        <w:spacing w:before="0"/>
        <w:ind w:left="360"/>
        <w:rPr/>
      </w:pPr>
      <w:r>
        <w:rPr>
          <w:b/>
        </w:rPr>
        <w:t>Politique Nationale de Développement Durable (PNDD)</w:t>
      </w:r>
      <w:r>
        <w:t>. Adoptée par le Gouvernement en septembre 2013, la Politique Nationale de Développement Durable (PNDD) définit les principes et les orientations stratégiques pour la planification du développement, c’est-à-dire l’élaboration des plans, stratégies, programmes et projets de développement. Son Principe de protection de l’environnement stipule que « la protection de l’environnement fait partie intégrante du processus de développement durable ». Le programme s’inscrit dans les principes et les orientations stratégiques définis par le PNDD en matière de planification du développement.</w:t>
      </w:r>
    </w:p>
    <w:p>
      <w:pPr>
        <w:pStyle w:val="style0"/>
        <w:numPr>
          <w:ilvl w:val="0"/>
          <w:numId w:val="84"/>
        </w:numPr>
        <w:spacing w:before="0"/>
        <w:ind w:left="360"/>
        <w:rPr/>
      </w:pPr>
      <w:r>
        <w:rPr>
          <w:b/>
        </w:rPr>
        <w:t xml:space="preserve">Politique et stratégie en matière d’eau. </w:t>
      </w:r>
      <w:r>
        <w:t>Adopté par le décret N°98-365/PRES/PM/MEE du 10 septembre 1998, la politique nationale de l’eau qui y est définie ouvre des perspectives pour un développement durable à travers :</w:t>
      </w:r>
    </w:p>
    <w:p>
      <w:pPr>
        <w:pStyle w:val="style0"/>
        <w:numPr>
          <w:ilvl w:val="1"/>
          <w:numId w:val="84"/>
        </w:numPr>
        <w:spacing w:before="0"/>
        <w:rPr/>
      </w:pPr>
      <w:r>
        <w:t xml:space="preserve">une mobilisation institutionnelle et financière concertée de l’État, des collectivités locales et des usagers ; </w:t>
      </w:r>
    </w:p>
    <w:p>
      <w:pPr>
        <w:pStyle w:val="style0"/>
        <w:numPr>
          <w:ilvl w:val="1"/>
          <w:numId w:val="84"/>
        </w:numPr>
        <w:spacing w:before="0"/>
        <w:rPr/>
      </w:pPr>
      <w:r>
        <w:t>l’intégration du secteur dans le cadre général des ambitions de développement politique, social et économique du pays (décentralisation, genre, développement du secteur privé, création d’emplois et de revenus).</w:t>
      </w:r>
    </w:p>
    <w:p>
      <w:pPr>
        <w:pStyle w:val="style0"/>
        <w:numPr>
          <w:ilvl w:val="0"/>
          <w:numId w:val="84"/>
        </w:numPr>
        <w:spacing w:before="0"/>
        <w:ind w:left="360"/>
        <w:rPr/>
      </w:pPr>
      <w:r>
        <w:rPr>
          <w:b/>
        </w:rPr>
        <w:t>Politique Nationale d’Environnement (PNE)</w:t>
      </w:r>
      <w:r>
        <w:t>. Adoptée par le Gouvernement en janvier 2007, la Politique Nationale d’Environnement (PNE) vise à créer un cadre de référence pour la prise en compte des questions environnementales dans les politiques et stratégies de développement. Parmi les orientations qui y sont définies, on note : i) la gestion rationnelle des ressources naturelles, ii) l’assurance de la qualité de l’environnement aux populations afin de leur garantir un cadre de vie sain.</w:t>
      </w:r>
    </w:p>
    <w:bookmarkStart w:id="286" w:name="_Toc380371334"/>
    <w:bookmarkStart w:id="287" w:name="_Toc441775485"/>
    <w:bookmarkStart w:id="288" w:name="_Toc479064178"/>
    <w:bookmarkStart w:id="289" w:name="_Toc479589669"/>
    <w:p>
      <w:pPr>
        <w:pStyle w:val="style0"/>
        <w:numPr>
          <w:ilvl w:val="0"/>
          <w:numId w:val="84"/>
        </w:numPr>
        <w:spacing w:before="0"/>
        <w:ind w:left="360"/>
        <w:rPr/>
      </w:pPr>
      <w:r>
        <w:rPr>
          <w:b/>
        </w:rPr>
        <w:t>L</w:t>
      </w:r>
      <w:r>
        <w:rPr>
          <w:b/>
        </w:rPr>
        <w:t>e Plan d’Action National pour l’Environnement (PANE)</w:t>
      </w:r>
      <w:bookmarkEnd w:id="286"/>
      <w:bookmarkEnd w:id="287"/>
      <w:bookmarkEnd w:id="288"/>
      <w:bookmarkEnd w:id="289"/>
      <w:r>
        <w:t>,</w:t>
      </w:r>
      <w:r>
        <w:t> Adopté en 1991 et révisé en 1994, il constitue l’agenda 21 national, avec pour objectif principal la recherche d’un équilibre socio-écologique et socio-économique susceptible de contribuer à l’autosuffisance et à la sécurité alimentaire et d’offrir les meilleures conditions de vie aux populations.</w:t>
      </w:r>
    </w:p>
    <w:p>
      <w:pPr>
        <w:pStyle w:val="style0"/>
        <w:numPr>
          <w:ilvl w:val="0"/>
          <w:numId w:val="84"/>
        </w:numPr>
        <w:spacing w:before="0" w:lineRule="auto" w:line="276"/>
        <w:ind w:left="360"/>
        <w:rPr>
          <w:szCs w:val="22"/>
        </w:rPr>
      </w:pPr>
      <w:r>
        <w:rPr>
          <w:b/>
          <w:szCs w:val="22"/>
        </w:rPr>
        <w:t>Politique Nationale d’Aménagement du Territoire</w:t>
      </w:r>
      <w:r>
        <w:rPr>
          <w:szCs w:val="22"/>
        </w:rPr>
        <w:t xml:space="preserve">. La politique nationale d’aménagement du territoire du Burkina Faso adoptée par décret N° 2006-362/PRES/PM/MEDEV/MATD/MFB/MAHRH/MID/MECV du 20 juillet 2006 repose sur les 3 orientations fondamentales ci-après au centre desquelles la question se pose avec acuité : i) le développement économique, ii) l’intégration sociale, iii) la gestion durable du milieu naturel. La politique nationale d’aménagement du territoire précise le rôle des différents acteurs et décline les grands principes d’aménagement du territoire à prendre en compte dans le cadre du Programme. </w:t>
      </w:r>
    </w:p>
    <w:p>
      <w:pPr>
        <w:pStyle w:val="style0"/>
        <w:numPr>
          <w:ilvl w:val="0"/>
          <w:numId w:val="84"/>
        </w:numPr>
        <w:spacing w:before="0" w:lineRule="auto" w:line="276"/>
        <w:ind w:left="360"/>
        <w:rPr>
          <w:szCs w:val="22"/>
        </w:rPr>
      </w:pPr>
      <w:r>
        <w:rPr>
          <w:b/>
          <w:szCs w:val="22"/>
        </w:rPr>
        <w:t>Politique Nationale Genre (PNG) du Burkina Faso</w:t>
      </w:r>
      <w:r>
        <w:rPr>
          <w:szCs w:val="22"/>
        </w:rPr>
        <w:t>. L’objectif général de la Politique Nationale Genre</w:t>
      </w:r>
      <w:r>
        <w:rPr>
          <w:szCs w:val="22"/>
        </w:rPr>
        <w:t xml:space="preserve"> adoptée en 2009</w:t>
      </w:r>
      <w:r>
        <w:rPr>
          <w:szCs w:val="22"/>
        </w:rPr>
        <w:t xml:space="preserve"> est de promouvoir un développement participatif et équitable des hommes et des femmes (en leur assurant un accès et un contrôle égal et équitable aux ressources et aux sphères de décision) dans le respect de leurs droits fondamentaux. Le Programme dans sa conception et son exécution, est sensible </w:t>
      </w:r>
      <w:r>
        <w:rPr>
          <w:szCs w:val="22"/>
        </w:rPr>
        <w:t xml:space="preserve">aux conditions de vie des producteurs ruraux et notamment celles vulnérables pour la génération de revenus à partir des activités agricoles. </w:t>
      </w:r>
    </w:p>
    <w:p>
      <w:pPr>
        <w:pStyle w:val="style0"/>
        <w:numPr>
          <w:ilvl w:val="0"/>
          <w:numId w:val="84"/>
        </w:numPr>
        <w:spacing w:before="0" w:lineRule="auto" w:line="276"/>
        <w:ind w:left="360"/>
        <w:rPr>
          <w:szCs w:val="22"/>
        </w:rPr>
      </w:pPr>
      <w:r>
        <w:rPr>
          <w:b/>
          <w:szCs w:val="22"/>
        </w:rPr>
        <w:t>Plan national d’adaptation aux changements climatiques (PNA)</w:t>
      </w:r>
      <w:r>
        <w:rPr>
          <w:szCs w:val="22"/>
        </w:rPr>
        <w:t xml:space="preserve">. L’intégration des questions d’Adaptation aux Changements Climatiques (ACC) aux efforts de développement est une préoccupation majeure du Gouvernement du Burkina Faso. Le Plan national d’adaptation aux changements climatiques (PNA Burkina Faso » adopté en juin 2015, est le résultat d’une approche interinstitutionnelle, multisectorielle, fondée sur l’évolution de la science dans le long terme : il prend en compte tous les secteurs exposés aux changements climatiques : environnement et ressources naturelles, santé, agriculture, productions animales, météorologie, infrastructures et habitat, ressources en eau, catastrophes naturelles et énergies. </w:t>
      </w:r>
    </w:p>
    <w:bookmarkStart w:id="290" w:name="_Toc2831210"/>
    <w:p>
      <w:pPr>
        <w:pStyle w:val="style2"/>
        <w:numPr>
          <w:ilvl w:val="1"/>
          <w:numId w:val="112"/>
        </w:numPr>
        <w:rPr>
          <w:w w:val="102"/>
        </w:rPr>
      </w:pPr>
      <w:r>
        <w:rPr>
          <w:w w:val="102"/>
        </w:rPr>
        <w:t>Cadre juridique de la gestion des Pestes</w:t>
      </w:r>
      <w:bookmarkEnd w:id="290"/>
      <w:r>
        <w:rPr>
          <w:w w:val="102"/>
        </w:rPr>
        <w:t xml:space="preserve"> </w:t>
      </w:r>
    </w:p>
    <w:p>
      <w:pPr>
        <w:pStyle w:val="style0"/>
        <w:rPr>
          <w:color w:val="000000"/>
          <w:spacing w:val="-1"/>
          <w:w w:val="102"/>
          <w:sz w:val="23"/>
          <w:szCs w:val="23"/>
        </w:rPr>
      </w:pPr>
      <w:r>
        <w:t>Dans le cadre de la gestion des pestes et d</w:t>
      </w:r>
      <w:r>
        <w:t>e l</w:t>
      </w:r>
      <w:r>
        <w:t xml:space="preserve">’utilisation </w:t>
      </w:r>
      <w:r>
        <w:t xml:space="preserve">sécurisée </w:t>
      </w:r>
      <w:r>
        <w:t xml:space="preserve">des pesticides, le Burkina Faso a pris un certain nombre d’engagements au niveau international et national et </w:t>
      </w:r>
      <w:r>
        <w:t>a élaboré ou ratifié des textes législatifs et réglementaires</w:t>
      </w:r>
      <w:r>
        <w:t xml:space="preserve"> </w:t>
      </w:r>
      <w:r>
        <w:t>y relatifs</w:t>
      </w:r>
      <w:r>
        <w:t xml:space="preserve">. </w:t>
      </w:r>
      <w:bookmarkEnd w:id="276"/>
      <w:bookmarkEnd w:id="277"/>
      <w:bookmarkEnd w:id="278"/>
      <w:bookmarkEnd w:id="279"/>
      <w:bookmarkEnd w:id="280"/>
      <w:bookmarkEnd w:id="281"/>
      <w:bookmarkEnd w:id="282"/>
      <w:bookmarkEnd w:id="283"/>
      <w:bookmarkEnd w:id="284"/>
      <w:r>
        <w:rPr>
          <w:w w:val="102"/>
          <w:sz w:val="23"/>
          <w:szCs w:val="23"/>
        </w:rPr>
        <w:t>C</w:t>
      </w:r>
      <w:r>
        <w:rPr>
          <w:spacing w:val="-3"/>
          <w:w w:val="102"/>
        </w:rPr>
        <w:t>es législations et réglementations phytosanitaires sont des instrum</w:t>
      </w:r>
      <w:r>
        <w:rPr>
          <w:w w:val="102"/>
        </w:rPr>
        <w:t xml:space="preserve">ents juridiques dont la mise en œuvre permet </w:t>
      </w:r>
      <w:r>
        <w:rPr>
          <w:w w:val="102"/>
        </w:rPr>
        <w:t>au</w:t>
      </w:r>
      <w:r>
        <w:rPr>
          <w:w w:val="102"/>
        </w:rPr>
        <w:t xml:space="preserve"> </w:t>
      </w:r>
      <w:r>
        <w:rPr>
          <w:w w:val="102"/>
        </w:rPr>
        <w:t xml:space="preserve">pays d'empêcher non seulement l'introduction de nouveaux ennemis dangereux pour </w:t>
      </w:r>
      <w:r>
        <w:rPr>
          <w:spacing w:val="-2"/>
          <w:w w:val="102"/>
        </w:rPr>
        <w:t>les cultures mais aussi celle de molécules chimiques non homologuées</w:t>
      </w:r>
      <w:r>
        <w:rPr>
          <w:spacing w:val="-1"/>
          <w:w w:val="102"/>
        </w:rPr>
        <w:t xml:space="preserve"> pour la santé humaine, animale et l'environnement. </w:t>
      </w:r>
    </w:p>
    <w:bookmarkStart w:id="291" w:name="_Toc2831211"/>
    <w:p>
      <w:pPr>
        <w:pStyle w:val="style3"/>
        <w:rPr>
          <w:rStyle w:val="style4176"/>
          <w:rFonts w:eastAsia="Calibri"/>
          <w:sz w:val="23"/>
          <w:szCs w:val="23"/>
        </w:rPr>
      </w:pPr>
      <w:r>
        <w:rPr>
          <w:color w:val="000000"/>
          <w:spacing w:val="-1"/>
          <w:w w:val="102"/>
        </w:rPr>
        <w:t>5.2.1.</w:t>
      </w:r>
      <w:r>
        <w:rPr>
          <w:rStyle w:val="style4176"/>
          <w:sz w:val="23"/>
          <w:szCs w:val="23"/>
        </w:rPr>
        <w:t xml:space="preserve"> Réglementations phytosanitaires</w:t>
      </w:r>
      <w:bookmarkEnd w:id="291"/>
      <w:r>
        <w:rPr>
          <w:rStyle w:val="style4176"/>
          <w:sz w:val="23"/>
          <w:szCs w:val="23"/>
        </w:rPr>
        <w:t xml:space="preserve"> </w:t>
      </w:r>
    </w:p>
    <w:bookmarkStart w:id="292" w:name="_Toc284400584"/>
    <w:bookmarkStart w:id="293" w:name="_Toc381371802"/>
    <w:bookmarkStart w:id="294" w:name="_Toc385280075"/>
    <w:bookmarkStart w:id="295" w:name="_Toc412731862"/>
    <w:bookmarkStart w:id="296" w:name="_Toc412732246"/>
    <w:bookmarkStart w:id="297" w:name="_Toc458331309"/>
    <w:bookmarkStart w:id="298" w:name="_Toc462221552"/>
    <w:bookmarkStart w:id="299" w:name="_Toc514190132"/>
    <w:p>
      <w:pPr>
        <w:pStyle w:val="style4"/>
        <w:numPr>
          <w:ilvl w:val="0"/>
          <w:numId w:val="0"/>
        </w:numPr>
        <w:ind w:left="57"/>
        <w:rPr>
          <w:rStyle w:val="style4176"/>
          <w:rFonts w:eastAsia="Calibri"/>
          <w:b w:val="false"/>
          <w:bCs w:val="false"/>
          <w:sz w:val="23"/>
          <w:szCs w:val="23"/>
        </w:rPr>
      </w:pPr>
      <w:r>
        <w:rPr>
          <w:w w:val="102"/>
        </w:rPr>
        <w:t>5.</w:t>
      </w:r>
      <w:r>
        <w:rPr>
          <w:w w:val="102"/>
        </w:rPr>
        <w:t>2</w:t>
      </w:r>
      <w:r>
        <w:rPr>
          <w:w w:val="102"/>
        </w:rPr>
        <w:t>.1.</w:t>
      </w:r>
      <w:r>
        <w:rPr>
          <w:w w:val="102"/>
        </w:rPr>
        <w:t>1.</w:t>
      </w:r>
      <w:r>
        <w:rPr>
          <w:rStyle w:val="style4176"/>
          <w:sz w:val="23"/>
          <w:szCs w:val="23"/>
        </w:rPr>
        <w:t xml:space="preserve"> Réglementations phytosanitaires internationales et </w:t>
      </w:r>
      <w:bookmarkEnd w:id="292"/>
      <w:bookmarkEnd w:id="293"/>
      <w:bookmarkEnd w:id="294"/>
      <w:r>
        <w:rPr>
          <w:rStyle w:val="style4176"/>
          <w:sz w:val="23"/>
          <w:szCs w:val="23"/>
        </w:rPr>
        <w:t>sous régionales</w:t>
      </w:r>
      <w:bookmarkEnd w:id="295"/>
      <w:bookmarkEnd w:id="296"/>
      <w:bookmarkEnd w:id="297"/>
      <w:bookmarkEnd w:id="298"/>
      <w:bookmarkEnd w:id="299"/>
    </w:p>
    <w:p>
      <w:pPr>
        <w:pStyle w:val="style0"/>
        <w:rPr>
          <w:w w:val="101"/>
        </w:rPr>
      </w:pPr>
      <w:r>
        <w:rPr>
          <w:spacing w:val="-3"/>
          <w:w w:val="101"/>
        </w:rPr>
        <w:t>L</w:t>
      </w:r>
      <w:r>
        <w:rPr>
          <w:spacing w:val="-2"/>
          <w:w w:val="101"/>
        </w:rPr>
        <w:t xml:space="preserve">e Burkina a </w:t>
      </w:r>
      <w:r>
        <w:rPr>
          <w:w w:val="101"/>
        </w:rPr>
        <w:t xml:space="preserve">adhéré à la Convention de Rome créée sous l'égide de l'Organisation des Nations Unies pour l'Alimentation et l'Agriculture (FAO) le 6 novembre 1951 et révisée par 2 fois en novembre 1979 et en novembre 1997. </w:t>
      </w:r>
    </w:p>
    <w:p>
      <w:pPr>
        <w:pStyle w:val="style0"/>
        <w:rPr>
          <w:w w:val="101"/>
        </w:rPr>
      </w:pPr>
      <w:r>
        <w:rPr>
          <w:w w:val="101"/>
        </w:rPr>
        <w:t xml:space="preserve">Au niveau régional, l'Union Africaine (UA) appuie la convention de Rome à travers le Conseil Phytosanitaire Inter-Africain (CPI). </w:t>
      </w:r>
    </w:p>
    <w:p>
      <w:pPr>
        <w:pStyle w:val="style0"/>
        <w:rPr>
          <w:w w:val="101"/>
        </w:rPr>
      </w:pPr>
      <w:r>
        <w:rPr>
          <w:w w:val="101"/>
        </w:rPr>
        <w:t xml:space="preserve">Au niveau sous régional, le Comité permanent inter-Etats de lutte contre la sécheresse au sahel (CILSS) a adopté une réglementation commune en matière de quarantaine végétale en s'inspirant de la convention de Rome. </w:t>
      </w:r>
      <w:bookmarkStart w:id="300" w:name="_Toc284400585"/>
      <w:bookmarkStart w:id="301" w:name="_Toc381371803"/>
      <w:bookmarkStart w:id="302" w:name="_Toc385280076"/>
      <w:bookmarkStart w:id="303" w:name="_Toc412731863"/>
      <w:bookmarkStart w:id="304" w:name="_Toc412732247"/>
    </w:p>
    <w:p>
      <w:pPr>
        <w:pStyle w:val="style0"/>
        <w:shd w:val="clear" w:color="auto" w:fill="ffffff"/>
        <w:spacing w:lineRule="auto" w:line="276"/>
        <w:rPr>
          <w:w w:val="101"/>
          <w:sz w:val="23"/>
          <w:szCs w:val="23"/>
        </w:rPr>
      </w:pPr>
    </w:p>
    <w:bookmarkStart w:id="305" w:name="_Toc458331310"/>
    <w:bookmarkStart w:id="306" w:name="_Toc462221553"/>
    <w:bookmarkStart w:id="307" w:name="_Toc514190133"/>
    <w:p>
      <w:pPr>
        <w:pStyle w:val="style4"/>
        <w:numPr>
          <w:ilvl w:val="3"/>
          <w:numId w:val="19"/>
        </w:numPr>
        <w:rPr>
          <w:w w:val="101"/>
        </w:rPr>
      </w:pPr>
      <w:r>
        <w:rPr>
          <w:rStyle w:val="style4176"/>
          <w:sz w:val="23"/>
          <w:szCs w:val="23"/>
        </w:rPr>
        <w:t>Réglementations</w:t>
      </w:r>
      <w:r>
        <w:rPr>
          <w:w w:val="101"/>
        </w:rPr>
        <w:t xml:space="preserve"> phytosanitaires nationales</w:t>
      </w:r>
      <w:bookmarkEnd w:id="300"/>
      <w:bookmarkEnd w:id="301"/>
      <w:bookmarkEnd w:id="302"/>
      <w:bookmarkEnd w:id="303"/>
      <w:bookmarkEnd w:id="304"/>
      <w:bookmarkEnd w:id="305"/>
      <w:bookmarkEnd w:id="306"/>
      <w:bookmarkEnd w:id="307"/>
    </w:p>
    <w:p>
      <w:pPr>
        <w:pStyle w:val="style0"/>
        <w:rPr/>
      </w:pPr>
      <w:r>
        <w:rPr>
          <w:color w:val="000000"/>
          <w:spacing w:val="-1"/>
          <w:w w:val="102"/>
        </w:rPr>
        <w:t>La législation phytosanitaire du Burkina Faso date de 1961 avec la signature du décret N°</w:t>
      </w:r>
      <w:r>
        <w:rPr>
          <w:color w:val="000000"/>
          <w:w w:val="102"/>
        </w:rPr>
        <w:t>348/PRES/ECNA du 16/08/1961 i</w:t>
      </w:r>
      <w:r>
        <w:t xml:space="preserve">nstituant un contrôle phytosanitaire et réglementant les conditions d’importation et d’exportation des végétaux, parties de végétaux, produits d’origine végétale ou animale et autres matières entrant ou sortant du territoire. </w:t>
      </w:r>
    </w:p>
    <w:p>
      <w:pPr>
        <w:pStyle w:val="style0"/>
        <w:rPr>
          <w:color w:val="000000"/>
          <w:spacing w:val="-3"/>
          <w:w w:val="102"/>
          <w:sz w:val="23"/>
          <w:szCs w:val="23"/>
        </w:rPr>
      </w:pPr>
      <w:r>
        <w:rPr>
          <w:w w:val="102"/>
        </w:rPr>
        <w:t xml:space="preserve">Pour son application, l’État a mis en place des services de surveillance avec des structures organisationnelles aux différents points d’entrée du pays (frontières terrestres, aéroports, gares ferroviaires). </w:t>
      </w:r>
    </w:p>
    <w:bookmarkStart w:id="308" w:name="_Toc284400586"/>
    <w:bookmarkStart w:id="309" w:name="_Toc295902965"/>
    <w:bookmarkStart w:id="310" w:name="_Toc381371804"/>
    <w:bookmarkStart w:id="311" w:name="_Toc385280077"/>
    <w:bookmarkStart w:id="312" w:name="_Toc412731864"/>
    <w:bookmarkStart w:id="313" w:name="_Toc412732248"/>
    <w:bookmarkStart w:id="314" w:name="_Toc458331311"/>
    <w:bookmarkStart w:id="315" w:name="_Toc462221554"/>
    <w:bookmarkStart w:id="316" w:name="_Toc514190134"/>
    <w:bookmarkStart w:id="317" w:name="_Toc2831212"/>
    <w:p>
      <w:pPr>
        <w:pStyle w:val="style3"/>
        <w:rPr/>
      </w:pPr>
      <w:r>
        <w:t>5.2.</w:t>
      </w:r>
      <w:r>
        <w:t>2.</w:t>
      </w:r>
      <w:r>
        <w:t xml:space="preserve"> Législation et règlementation </w:t>
      </w:r>
      <w:r>
        <w:t>sur l</w:t>
      </w:r>
      <w:r>
        <w:t>es pesticides</w:t>
      </w:r>
      <w:bookmarkEnd w:id="308"/>
      <w:bookmarkEnd w:id="309"/>
      <w:bookmarkEnd w:id="310"/>
      <w:bookmarkEnd w:id="311"/>
      <w:bookmarkEnd w:id="312"/>
      <w:bookmarkEnd w:id="313"/>
      <w:bookmarkEnd w:id="314"/>
      <w:bookmarkEnd w:id="315"/>
      <w:bookmarkEnd w:id="316"/>
      <w:bookmarkEnd w:id="317"/>
    </w:p>
    <w:p>
      <w:pPr>
        <w:pStyle w:val="style0"/>
        <w:rPr/>
      </w:pPr>
      <w:r>
        <w:t>Dans le souci d’atteindre l’objectif d’une agriculture durable tout en assurant la sécurité alimentaire des populations, le Burkina Faso a adopté un ensemble de textes législatifs et réglementaires nationaux. L’adoption de ces textes nationaux permet également au Burkina Faso d’honorer ses engagements internationaux et régionaux à travers les accords qu’il a signés.</w:t>
      </w:r>
    </w:p>
    <w:p>
      <w:pPr>
        <w:pStyle w:val="style0"/>
        <w:rPr/>
      </w:pPr>
    </w:p>
    <w:bookmarkStart w:id="318" w:name="_Toc381371805"/>
    <w:bookmarkStart w:id="319" w:name="_Toc385280078"/>
    <w:bookmarkStart w:id="320" w:name="_Toc412731865"/>
    <w:bookmarkStart w:id="321" w:name="_Toc412732249"/>
    <w:bookmarkStart w:id="322" w:name="_Toc458331312"/>
    <w:bookmarkStart w:id="323" w:name="_Toc462221555"/>
    <w:bookmarkStart w:id="324" w:name="_Toc514190135"/>
    <w:p>
      <w:pPr>
        <w:pStyle w:val="style4"/>
        <w:rPr/>
      </w:pPr>
      <w:r>
        <w:rPr>
          <w:rStyle w:val="style4176"/>
          <w:sz w:val="23"/>
          <w:szCs w:val="23"/>
        </w:rPr>
        <w:t>C</w:t>
      </w:r>
      <w:r>
        <w:t xml:space="preserve">onventions </w:t>
      </w:r>
      <w:r>
        <w:t>Internationales</w:t>
      </w:r>
      <w:r>
        <w:t xml:space="preserve"> relatives aux pesticides</w:t>
      </w:r>
      <w:bookmarkEnd w:id="318"/>
      <w:bookmarkEnd w:id="319"/>
      <w:bookmarkEnd w:id="320"/>
      <w:bookmarkEnd w:id="321"/>
      <w:bookmarkEnd w:id="322"/>
      <w:bookmarkEnd w:id="323"/>
      <w:bookmarkEnd w:id="324"/>
    </w:p>
    <w:p>
      <w:pPr>
        <w:pStyle w:val="style5"/>
        <w:numPr>
          <w:ilvl w:val="0"/>
          <w:numId w:val="0"/>
        </w:numPr>
        <w:rPr/>
      </w:pPr>
      <w:r>
        <w:t>5.2.</w:t>
      </w:r>
      <w:r>
        <w:t>2</w:t>
      </w:r>
      <w:r>
        <w:t>.</w:t>
      </w:r>
      <w:r>
        <w:t>2</w:t>
      </w:r>
      <w:r>
        <w:t>.</w:t>
      </w:r>
      <w:r>
        <w:t>1.</w:t>
      </w:r>
      <w:r>
        <w:t xml:space="preserve"> Niveau International</w:t>
      </w:r>
    </w:p>
    <w:p>
      <w:pPr>
        <w:pStyle w:val="style0"/>
        <w:rPr/>
      </w:pPr>
      <w:r>
        <w:t>Les Conventions internationales ratifiées et mis</w:t>
      </w:r>
      <w:r>
        <w:t>es</w:t>
      </w:r>
      <w:r>
        <w:t xml:space="preserve"> en œuvre par le Burkina, qui s’appliquent aux pesticides sont : </w:t>
      </w:r>
    </w:p>
    <w:p>
      <w:pPr>
        <w:pStyle w:val="style179"/>
        <w:numPr>
          <w:ilvl w:val="0"/>
          <w:numId w:val="82"/>
        </w:numPr>
        <w:spacing w:lineRule="auto" w:line="276"/>
        <w:ind w:left="470" w:hanging="357"/>
        <w:contextualSpacing/>
        <w:rPr>
          <w:szCs w:val="23"/>
        </w:rPr>
      </w:pPr>
      <w:r>
        <w:rPr>
          <w:b/>
          <w:szCs w:val="23"/>
        </w:rPr>
        <w:t xml:space="preserve">“ Le code international de conduite pour la distribution et l’utilisation des pesticides ” de la FAO : </w:t>
      </w:r>
      <w:r>
        <w:rPr>
          <w:bCs/>
          <w:szCs w:val="23"/>
        </w:rPr>
        <w:t>il stipule en son article 6.1.1 que : « Les gouvernements doivent prendre des mesures pour introduire la réglementation nécessaire des pesticides, notamment en matière d’homologation, et prendre des dispositions pour assurer son application effective » (FAO, 2002) ;</w:t>
      </w:r>
    </w:p>
    <w:p>
      <w:pPr>
        <w:pStyle w:val="style179"/>
        <w:numPr>
          <w:ilvl w:val="0"/>
          <w:numId w:val="82"/>
        </w:numPr>
        <w:spacing w:lineRule="auto" w:line="276"/>
        <w:ind w:left="470" w:hanging="357"/>
        <w:contextualSpacing/>
        <w:rPr>
          <w:b/>
          <w:szCs w:val="23"/>
        </w:rPr>
      </w:pPr>
      <w:r>
        <w:rPr>
          <w:b/>
          <w:szCs w:val="23"/>
        </w:rPr>
        <w:t xml:space="preserve">La Convention de Rotterdam : </w:t>
      </w:r>
      <w:r>
        <w:rPr>
          <w:szCs w:val="23"/>
        </w:rPr>
        <w:t>elle</w:t>
      </w:r>
      <w:r>
        <w:rPr>
          <w:b/>
          <w:szCs w:val="23"/>
        </w:rPr>
        <w:t xml:space="preserve"> </w:t>
      </w:r>
      <w:r>
        <w:rPr>
          <w:szCs w:val="23"/>
        </w:rPr>
        <w:t>porte sur la procédure de consentement préalable en connaissance de cause (PIC) applicable à certains produits chimiques et pesticides dangereux qui font l’objet d’un commerce international. Le Burkina Faso a ratifié cette convention le 10 septembre 1998 et a nommé deux Autorités Nationales Désignées (AND), au niveau du ministère en charge de l’Environnement pour les produits chimiques (C) autres que les pesticides et l’autre au niveau du ministère en charge de l’Agriculture pour les pesticides (P) ;</w:t>
      </w:r>
      <w:bookmarkStart w:id="325" w:name="_Toc36012140"/>
    </w:p>
    <w:p>
      <w:pPr>
        <w:pStyle w:val="style179"/>
        <w:numPr>
          <w:ilvl w:val="0"/>
          <w:numId w:val="82"/>
        </w:numPr>
        <w:spacing w:lineRule="auto" w:line="276"/>
        <w:ind w:left="470" w:hanging="357"/>
        <w:contextualSpacing/>
        <w:rPr>
          <w:b/>
          <w:szCs w:val="23"/>
        </w:rPr>
      </w:pPr>
      <w:r>
        <w:rPr>
          <w:b/>
          <w:szCs w:val="23"/>
        </w:rPr>
        <w:t>La Convention de Stockholm sur les Polluants Organiques Persistants (POPs)</w:t>
      </w:r>
      <w:bookmarkEnd w:id="325"/>
      <w:r>
        <w:rPr>
          <w:b/>
          <w:szCs w:val="23"/>
        </w:rPr>
        <w:t xml:space="preserve"> : </w:t>
      </w:r>
      <w:r>
        <w:rPr>
          <w:szCs w:val="23"/>
        </w:rPr>
        <w:t>le Burkina Faso a signé cette convention le 23 Mai 2001 et l’a adopté le 20 juillet 2004. Pour le bilan final, le document du plan national de mise en œuvre a été adopté par le conseil de ministres du 03 octobre 2007. De même que pour les pesticides de la liste PIC, un manuel conseil indiquant les pesticides de substitution aux pesticides présents sur la liste des pesticides POPs a été élaboré ;</w:t>
      </w:r>
    </w:p>
    <w:p>
      <w:pPr>
        <w:pStyle w:val="style179"/>
        <w:numPr>
          <w:ilvl w:val="0"/>
          <w:numId w:val="82"/>
        </w:numPr>
        <w:spacing w:lineRule="auto" w:line="276"/>
        <w:ind w:left="470" w:hanging="357"/>
        <w:contextualSpacing/>
        <w:rPr>
          <w:b/>
          <w:szCs w:val="23"/>
        </w:rPr>
      </w:pPr>
      <w:r>
        <w:rPr>
          <w:b/>
          <w:szCs w:val="23"/>
        </w:rPr>
        <w:t xml:space="preserve">Les Conventions de Bâle et de Bamako sur le contrôle des mouvements transfrontaliers de déchets dangereux et de leur élimination : </w:t>
      </w:r>
      <w:r>
        <w:rPr>
          <w:szCs w:val="23"/>
        </w:rPr>
        <w:t xml:space="preserve">le Burkina Faso a signé la convention de Bâle le 29 Juillet 1998 et l’a ratifiée le 4 novembre 1999. </w:t>
      </w:r>
      <w:bookmarkStart w:id="326" w:name="_Toc283126164"/>
      <w:bookmarkStart w:id="327" w:name="_Toc283145725"/>
      <w:bookmarkStart w:id="328" w:name="_Toc283269397"/>
      <w:bookmarkStart w:id="329" w:name="_Toc283322918"/>
      <w:bookmarkStart w:id="330" w:name="_Toc283323173"/>
      <w:bookmarkStart w:id="331" w:name="_Toc283352187"/>
      <w:bookmarkStart w:id="332" w:name="_Toc283547387"/>
      <w:bookmarkStart w:id="333" w:name="_Toc284184032"/>
      <w:bookmarkStart w:id="334" w:name="_Toc284397410"/>
      <w:bookmarkStart w:id="335" w:name="_Toc284400588"/>
      <w:bookmarkStart w:id="336" w:name="_Toc295902966"/>
      <w:r>
        <w:rPr>
          <w:szCs w:val="23"/>
        </w:rPr>
        <w:t>Cette Convention interdit l'importation en Afrique de déchets dangereux et radioactifs en provenance de Parties non contractantes. Elle soumet les mouvements au sein du continent africain à un système proche des procédures de la convention de Bâle.</w:t>
      </w:r>
      <w:bookmarkEnd w:id="326"/>
      <w:bookmarkEnd w:id="327"/>
      <w:bookmarkEnd w:id="328"/>
      <w:bookmarkEnd w:id="329"/>
      <w:bookmarkEnd w:id="330"/>
      <w:bookmarkEnd w:id="331"/>
      <w:bookmarkEnd w:id="332"/>
      <w:bookmarkEnd w:id="333"/>
      <w:bookmarkEnd w:id="334"/>
      <w:bookmarkEnd w:id="335"/>
      <w:bookmarkEnd w:id="336"/>
    </w:p>
    <w:p>
      <w:pPr>
        <w:pStyle w:val="style0"/>
        <w:spacing w:lineRule="auto" w:line="276"/>
        <w:rPr>
          <w:b/>
          <w:sz w:val="23"/>
          <w:szCs w:val="23"/>
        </w:rPr>
      </w:pPr>
    </w:p>
    <w:p>
      <w:pPr>
        <w:pStyle w:val="style5"/>
        <w:numPr>
          <w:ilvl w:val="0"/>
          <w:numId w:val="0"/>
        </w:numPr>
        <w:ind w:left="170"/>
        <w:rPr/>
      </w:pPr>
      <w:r>
        <w:t>5.2.</w:t>
      </w:r>
      <w:r>
        <w:t>2.</w:t>
      </w:r>
      <w:r>
        <w:t>2</w:t>
      </w:r>
      <w:r>
        <w:t>.2</w:t>
      </w:r>
      <w:r>
        <w:t>. Niveau sous régional</w:t>
      </w:r>
    </w:p>
    <w:p>
      <w:pPr>
        <w:pStyle w:val="style0"/>
        <w:rPr/>
      </w:pPr>
      <w:r>
        <w:t>Certaines organisations ont adopté des initiatives pour la gestion sécurisée des pestes et l’utilisation des pesticides. Il s’agit notamment du CILSS et de la CEDEAO.</w:t>
      </w:r>
    </w:p>
    <w:p>
      <w:pPr>
        <w:pStyle w:val="style0"/>
        <w:spacing w:lineRule="auto" w:line="276"/>
        <w:rPr>
          <w:sz w:val="23"/>
          <w:szCs w:val="23"/>
        </w:rPr>
      </w:pPr>
      <w:r>
        <w:rPr>
          <w:sz w:val="23"/>
          <w:szCs w:val="23"/>
        </w:rPr>
        <w:t xml:space="preserve"> </w:t>
      </w:r>
    </w:p>
    <w:p>
      <w:pPr>
        <w:pStyle w:val="style6"/>
        <w:numPr>
          <w:ilvl w:val="0"/>
          <w:numId w:val="96"/>
        </w:numPr>
        <w:spacing w:lineRule="auto" w:line="276"/>
        <w:jc w:val="both"/>
        <w:rPr>
          <w:sz w:val="23"/>
          <w:szCs w:val="23"/>
        </w:rPr>
      </w:pPr>
      <w:r>
        <w:rPr>
          <w:sz w:val="23"/>
          <w:szCs w:val="23"/>
        </w:rPr>
        <w:t>Les initiatives du CILSS</w:t>
      </w:r>
    </w:p>
    <w:p>
      <w:pPr>
        <w:pStyle w:val="style0"/>
        <w:rPr/>
      </w:pPr>
      <w:r>
        <w:t xml:space="preserve">Afin d’assurer que les pesticides utilisés dans les différents pays du Sahel soient efficaces, d’une qualité appropriée et ne posent pas de risques inacceptables pour l’homme et l’environnement, les Etats membres du CILSS, dont le Burkina Faso, ont signé, en 1992, </w:t>
      </w:r>
      <w:r>
        <w:rPr>
          <w:i/>
        </w:rPr>
        <w:t xml:space="preserve">“ la Réglementation commune aux Etats membres du CILSS sur l’homologation des pesticides </w:t>
      </w:r>
      <w:r>
        <w:t xml:space="preserve">”. L’objectif principal de cette </w:t>
      </w:r>
      <w:r>
        <w:rPr>
          <w:i/>
          <w:iCs/>
        </w:rPr>
        <w:t xml:space="preserve">Réglementation commune </w:t>
      </w:r>
      <w:r>
        <w:rPr>
          <w:iCs/>
        </w:rPr>
        <w:t>est</w:t>
      </w:r>
      <w:r>
        <w:t xml:space="preserve"> de mettre en commun l’expertise en évaluation et en gestion des produits phytopharmaceutiques de l’ensemble des Etats membres du CILSS pour l’homologation des pesticides. Le Comité sahélien des pesticides (CSP), organe d’exécution de la </w:t>
      </w:r>
      <w:r>
        <w:rPr>
          <w:i/>
          <w:iCs/>
        </w:rPr>
        <w:t>Réglementation commune</w:t>
      </w:r>
      <w:r>
        <w:t xml:space="preserve">, est devenu opérationnel en 1994. Il évalue les dossiers d’homologation soumis par les firmes phytopharmaceutiques et octroie les autorisations de vente pour l’ensemble des Etats membres. </w:t>
      </w:r>
    </w:p>
    <w:p>
      <w:pPr>
        <w:pStyle w:val="style0"/>
        <w:rPr/>
      </w:pPr>
      <w:r>
        <w:t xml:space="preserve">La dernière version de la réglementation a été adoptée par le Conseil des Ministres du CILSS réuni le 16 décembre 1999 en sa 34ème session à N’Djaména par la résolution N°8/34/CM/99. La réglementation commune est applicable à l’homologation des pesticides et des bio-pesticides. </w:t>
      </w:r>
    </w:p>
    <w:p>
      <w:pPr>
        <w:pStyle w:val="style0"/>
        <w:spacing w:lineRule="auto" w:line="276"/>
        <w:rPr>
          <w:sz w:val="23"/>
          <w:szCs w:val="23"/>
        </w:rPr>
      </w:pPr>
    </w:p>
    <w:bookmarkStart w:id="337" w:name="_Toc284400590"/>
    <w:p>
      <w:pPr>
        <w:pStyle w:val="style6"/>
        <w:numPr>
          <w:ilvl w:val="0"/>
          <w:numId w:val="96"/>
        </w:numPr>
        <w:spacing w:lineRule="auto" w:line="276"/>
        <w:jc w:val="both"/>
        <w:rPr>
          <w:sz w:val="23"/>
          <w:szCs w:val="23"/>
        </w:rPr>
      </w:pPr>
      <w:r>
        <w:rPr>
          <w:sz w:val="23"/>
          <w:szCs w:val="23"/>
        </w:rPr>
        <w:t>Les initiatives de la CEDEAO sur les pesticides</w:t>
      </w:r>
    </w:p>
    <w:p>
      <w:pPr>
        <w:pStyle w:val="style0"/>
        <w:rPr/>
      </w:pPr>
      <w:r>
        <w:t xml:space="preserve">La Communauté Economique des Etats de l’Afrique de l’Ouest (CEDEAO) a développé des initiatives de gestion de pesticides, notamment dans le domaine de l’harmonisation des textes règlementaires au niveau de la sous-région, de l’homologation des pesticides et de la mise en œuvre de politiques communes de gestion des pesticides. C’est ainsi que dans le cadre de la mise en œuvre de sa politique agricole commune, la CEDEAO a élaboré le règlement C/REG.3/05/2008 portant harmonisation des règles régissant l’homologation des pesticides dans l’espace CEDEAO en </w:t>
      </w:r>
      <w:r>
        <w:t>M</w:t>
      </w:r>
      <w:r>
        <w:t xml:space="preserve">ai </w:t>
      </w:r>
      <w:r>
        <w:t xml:space="preserve">2008. L’article 9 de ce règlement crée le Comité Ouest Africain d’Homologation des Pesticides (COAHP). En 2012, le règlement d’exécution 02/06/12 relatif aux attributions, à l’organisation et au fonctionnement du comité Ouest Africain d’Homologation des pesticides fut promulgué. Le Règlement C/REG.3/05/2008 institue une réglementation commune aux Etats membres en matière de </w:t>
      </w:r>
      <w:r>
        <w:t>gestion des</w:t>
      </w:r>
      <w:r>
        <w:t xml:space="preserve"> pesticides. Ainsi, le Burkina Faso participe d’office à cette initiative de réglementation commune. La participation aux initiatives de la CEDEAO se réalise également avec le financement WAAPP/CEDEAO dont bénéficie la DPVC pour la mise en œuvre des activités de la Commission Nationale de Gestion des Pesticides (CNGP). </w:t>
      </w:r>
    </w:p>
    <w:p>
      <w:pPr>
        <w:pStyle w:val="style0"/>
        <w:spacing w:lineRule="auto" w:line="276"/>
        <w:rPr>
          <w:sz w:val="23"/>
          <w:szCs w:val="23"/>
        </w:rPr>
      </w:pPr>
    </w:p>
    <w:bookmarkStart w:id="338" w:name="_Toc381371806"/>
    <w:bookmarkStart w:id="339" w:name="_Toc385280079"/>
    <w:bookmarkStart w:id="340" w:name="_Toc412731866"/>
    <w:bookmarkStart w:id="341" w:name="_Toc412732250"/>
    <w:bookmarkStart w:id="342" w:name="_Toc458331313"/>
    <w:bookmarkStart w:id="343" w:name="_Toc462221556"/>
    <w:bookmarkStart w:id="344" w:name="_Toc514190136"/>
    <w:p>
      <w:pPr>
        <w:pStyle w:val="style4"/>
        <w:rPr/>
      </w:pPr>
      <w:r>
        <w:t>Niveau national</w:t>
      </w:r>
      <w:bookmarkEnd w:id="337"/>
      <w:bookmarkEnd w:id="338"/>
      <w:bookmarkEnd w:id="339"/>
      <w:bookmarkEnd w:id="340"/>
      <w:bookmarkEnd w:id="341"/>
      <w:bookmarkEnd w:id="342"/>
      <w:bookmarkEnd w:id="343"/>
      <w:bookmarkEnd w:id="344"/>
      <w:r>
        <w:t> </w:t>
      </w:r>
      <w:bookmarkStart w:id="345" w:name="_Toc329180913"/>
      <w:bookmarkStart w:id="346" w:name="_Toc329330938"/>
      <w:bookmarkStart w:id="347" w:name="_Toc329702636"/>
    </w:p>
    <w:p>
      <w:pPr>
        <w:pStyle w:val="style0"/>
        <w:rPr>
          <w:lang w:val="en-US"/>
        </w:rPr>
      </w:pPr>
      <w:r>
        <w:t xml:space="preserve">La loi fondamentale constitue le premier texte d’intérêt à prendre en considération dans le cadre de la présente étude. </w:t>
      </w:r>
      <w:r>
        <w:rPr>
          <w:lang w:eastAsia="fr-FR"/>
        </w:rPr>
        <w:t xml:space="preserve">Promulgué par Kiti n°AN-VIII-330/FP/PRES du 11 juin 1991, la Constitution du Burkina Faso comporte </w:t>
      </w:r>
      <w:r>
        <w:t xml:space="preserve">de nombreuses dispositions donnent une place de choix à la protection de l’environnement. </w:t>
      </w:r>
      <w:r>
        <w:rPr>
          <w:lang w:val="en-US"/>
        </w:rPr>
        <w:t xml:space="preserve">A </w:t>
      </w:r>
      <w:r>
        <w:t>titre</w:t>
      </w:r>
      <w:r>
        <w:rPr>
          <w:lang w:val="en-US"/>
        </w:rPr>
        <w:t xml:space="preserve"> </w:t>
      </w:r>
      <w:r>
        <w:t>indicatif</w:t>
      </w:r>
      <w:r>
        <w:rPr>
          <w:lang w:val="en-US"/>
        </w:rPr>
        <w:t xml:space="preserve">, on </w:t>
      </w:r>
      <w:r>
        <w:t>peut</w:t>
      </w:r>
      <w:r>
        <w:rPr>
          <w:lang w:val="en-US"/>
        </w:rPr>
        <w:t xml:space="preserve"> signaler </w:t>
      </w:r>
      <w:r>
        <w:t>que</w:t>
      </w:r>
      <w:r>
        <w:rPr>
          <w:lang w:val="en-US"/>
        </w:rPr>
        <w:t>:</w:t>
      </w:r>
    </w:p>
    <w:p>
      <w:pPr>
        <w:pStyle w:val="style0"/>
        <w:numPr>
          <w:ilvl w:val="0"/>
          <w:numId w:val="118"/>
        </w:numPr>
        <w:spacing w:before="0"/>
        <w:ind w:left="360"/>
        <w:rPr/>
      </w:pPr>
      <w:r>
        <w:t>le préambule de la Constitution souligne avec force «la nécessité absolue de protéger l’environnement… » ;</w:t>
      </w:r>
    </w:p>
    <w:p>
      <w:pPr>
        <w:pStyle w:val="style0"/>
        <w:numPr>
          <w:ilvl w:val="0"/>
          <w:numId w:val="118"/>
        </w:numPr>
        <w:spacing w:before="0"/>
        <w:ind w:left="360"/>
        <w:rPr/>
      </w:pPr>
      <w:r>
        <w:t>l’article 14 précise que «Les richesses et les ressources naturelles appartiennent au peuple. Elles sont utilisées pour l’amélioration de ses conditions de vie» ;</w:t>
      </w:r>
    </w:p>
    <w:p>
      <w:pPr>
        <w:pStyle w:val="style0"/>
        <w:numPr>
          <w:ilvl w:val="0"/>
          <w:numId w:val="118"/>
        </w:numPr>
        <w:spacing w:before="0"/>
        <w:ind w:left="360"/>
        <w:rPr/>
      </w:pPr>
      <w:r>
        <w:t>l’article 29 stipule que «le droit à un environnement sain est reconnu. La protection, la promotion et la défense de l’environnement sont un devoir pour tous» ;</w:t>
      </w:r>
    </w:p>
    <w:p>
      <w:pPr>
        <w:pStyle w:val="style0"/>
        <w:numPr>
          <w:ilvl w:val="0"/>
          <w:numId w:val="118"/>
        </w:numPr>
        <w:spacing w:before="0"/>
        <w:ind w:left="360"/>
        <w:rPr/>
      </w:pPr>
      <w:r>
        <w:t>dans la répartition des compétences entre la loi et le règlement, l’article 101 indique que «l’environnement relève du domaine de la loi».</w:t>
      </w:r>
    </w:p>
    <w:p>
      <w:pPr>
        <w:pStyle w:val="style0"/>
        <w:rPr/>
      </w:pPr>
    </w:p>
    <w:p>
      <w:pPr>
        <w:pStyle w:val="style0"/>
        <w:rPr/>
      </w:pPr>
      <w:r>
        <w:t xml:space="preserve">Les opérations d’homologation des pesticides pour les pays du CILSS sont assurées par le Comité sahélien des pesticides (CSP). Le Burkina Faso a créé en </w:t>
      </w:r>
      <w:r>
        <w:t>A</w:t>
      </w:r>
      <w:r>
        <w:t xml:space="preserve">oût 2000, une Commission nationale de contrôle des Pesticides (CNCP) chargée d’appliquer au niveau national les décisions du CSP à l’issue de ses sessions. Elle est placée sous la tutelle du ministère en charge de l’agriculture. </w:t>
      </w:r>
      <w:r>
        <w:t xml:space="preserve">Le contrôle étant une composante de la gestion, depuis la création du CNGP, </w:t>
      </w:r>
      <w:r>
        <w:t xml:space="preserve">par la </w:t>
      </w:r>
      <w:r>
        <w:rPr>
          <w:lang w:eastAsia="fr-FR"/>
        </w:rPr>
        <w:t>Loi N°026-2017/AN du 15 mai 2017, portant contrôle de la gestion des pesticides au Burkina Faso</w:t>
      </w:r>
      <w:r>
        <w:rPr>
          <w:lang w:eastAsia="fr-FR"/>
        </w:rPr>
        <w:t>,</w:t>
      </w:r>
      <w:r>
        <w:t xml:space="preserve"> </w:t>
      </w:r>
      <w:r>
        <w:t xml:space="preserve">le CNCP n’existe plus comme une entité indépendante. </w:t>
      </w:r>
    </w:p>
    <w:p>
      <w:pPr>
        <w:pStyle w:val="style0"/>
        <w:rPr/>
      </w:pPr>
      <w:r>
        <w:t>En ce qui concerne la gestion sécurisée des pesticides, le Gouvernement a promulgué plusieurs lois avec des décrets d’application. Celles qui s’appliquent au contrôle et au stockage sécurisé des pesticides se trouvent principalement au niveau des ministères en charge de l’agriculture, de l’environnement, de l’eau et de la santé animale et humaine.</w:t>
      </w:r>
    </w:p>
    <w:p>
      <w:pPr>
        <w:pStyle w:val="style0"/>
        <w:rPr/>
      </w:pPr>
      <w:r>
        <w:t>Ainsi, a</w:t>
      </w:r>
      <w:r>
        <w:t xml:space="preserve">u regard de l’article 23 de la réglementation commune aux Etats membres du CILSS sur l’homologation des pesticides, il a été élaboré </w:t>
      </w:r>
      <w:r>
        <w:t xml:space="preserve">trois (3) Lois </w:t>
      </w:r>
      <w:r>
        <w:t>et leurs textes d’application :</w:t>
      </w:r>
    </w:p>
    <w:p>
      <w:pPr>
        <w:pStyle w:val="style0"/>
        <w:numPr>
          <w:ilvl w:val="0"/>
          <w:numId w:val="71"/>
        </w:numPr>
        <w:spacing w:lineRule="auto" w:line="276"/>
        <w:ind w:left="284" w:hanging="218"/>
        <w:rPr>
          <w:szCs w:val="23"/>
        </w:rPr>
      </w:pPr>
      <w:r>
        <w:rPr>
          <w:szCs w:val="23"/>
          <w:lang w:eastAsia="fr-FR"/>
        </w:rPr>
        <w:t>Loi N°026-2017/AN du 15 mai 2017, portant contrôle de la gestion des pesticides au Burkina Faso</w:t>
      </w:r>
      <w:r>
        <w:rPr>
          <w:szCs w:val="23"/>
          <w:lang w:eastAsia="fr-FR"/>
        </w:rPr>
        <w:t> ;</w:t>
      </w:r>
    </w:p>
    <w:p>
      <w:pPr>
        <w:pStyle w:val="style0"/>
        <w:numPr>
          <w:ilvl w:val="0"/>
          <w:numId w:val="71"/>
        </w:numPr>
        <w:spacing w:lineRule="auto" w:line="276"/>
        <w:ind w:left="284" w:hanging="218"/>
        <w:rPr>
          <w:szCs w:val="23"/>
        </w:rPr>
      </w:pPr>
      <w:r>
        <w:rPr>
          <w:szCs w:val="23"/>
        </w:rPr>
        <w:t>Loi N°041/96/ADP du 08 novembre 1996 instituant un contrôle des pesticides au Burkina Faso ;</w:t>
      </w:r>
    </w:p>
    <w:p>
      <w:pPr>
        <w:pStyle w:val="style0"/>
        <w:numPr>
          <w:ilvl w:val="0"/>
          <w:numId w:val="71"/>
        </w:numPr>
        <w:spacing w:lineRule="auto" w:line="276"/>
        <w:ind w:left="284" w:hanging="218"/>
        <w:rPr>
          <w:szCs w:val="23"/>
        </w:rPr>
      </w:pPr>
      <w:r>
        <w:rPr>
          <w:szCs w:val="23"/>
        </w:rPr>
        <w:t>Loi N°006-98/AN du 26 Mars 1998 portant modification de la loi N°041/96/ADP du 08 Novembre 1996 instituant un contrôle des pesticides au Burkina Faso ;</w:t>
      </w:r>
    </w:p>
    <w:p>
      <w:pPr>
        <w:pStyle w:val="style0"/>
        <w:numPr>
          <w:ilvl w:val="0"/>
          <w:numId w:val="71"/>
        </w:numPr>
        <w:spacing w:lineRule="auto" w:line="276"/>
        <w:ind w:left="284" w:hanging="218"/>
        <w:rPr>
          <w:szCs w:val="23"/>
        </w:rPr>
      </w:pPr>
      <w:r>
        <w:rPr>
          <w:szCs w:val="23"/>
        </w:rPr>
        <w:t xml:space="preserve">Décret N°98-472/PRES/PM/AGRI du 20 Décembre 1998 portant attribution, composition et règles de fonctionnement de la Commission Nationale de Contrôle des Pesticides (CNCP) ; </w:t>
      </w:r>
    </w:p>
    <w:p>
      <w:pPr>
        <w:pStyle w:val="style0"/>
        <w:numPr>
          <w:ilvl w:val="0"/>
          <w:numId w:val="71"/>
        </w:numPr>
        <w:spacing w:lineRule="auto" w:line="276"/>
        <w:ind w:left="284" w:hanging="218"/>
        <w:rPr>
          <w:szCs w:val="23"/>
        </w:rPr>
      </w:pPr>
      <w:r>
        <w:rPr>
          <w:szCs w:val="23"/>
        </w:rPr>
        <w:t>Décret N°2005- 051 /PRES/PM/ MAHRH du 07 février 2005 portant modification du décret N°98-472/PRES/PM/AGRI du 20 décembre 1998 portant attribution, composition et règles de fonctionnement de la Commission Nationale de Contrôle des Pesticides (CNCP) ;</w:t>
      </w:r>
    </w:p>
    <w:p>
      <w:pPr>
        <w:pStyle w:val="style0"/>
        <w:numPr>
          <w:ilvl w:val="0"/>
          <w:numId w:val="71"/>
        </w:numPr>
        <w:spacing w:lineRule="auto" w:line="276"/>
        <w:ind w:left="284" w:hanging="218"/>
        <w:rPr>
          <w:szCs w:val="23"/>
        </w:rPr>
      </w:pPr>
      <w:r>
        <w:rPr>
          <w:szCs w:val="23"/>
        </w:rPr>
        <w:t>Décret N°2008-679/PRES/PM/MAHRH/MCPEA du 27 octobre 2008 portant conditions de délivrance d’agrément pour le formulateur, le reconditionneur, le vendeur grossiste, le vendeur détaillant et l’applicateur prestataire de services de pesticides.</w:t>
      </w:r>
    </w:p>
    <w:p>
      <w:pPr>
        <w:pStyle w:val="style0"/>
        <w:numPr>
          <w:ilvl w:val="0"/>
          <w:numId w:val="71"/>
        </w:numPr>
        <w:spacing w:lineRule="auto" w:line="276"/>
        <w:ind w:left="284" w:hanging="218"/>
        <w:rPr>
          <w:szCs w:val="23"/>
        </w:rPr>
      </w:pPr>
    </w:p>
    <w:p>
      <w:pPr>
        <w:pStyle w:val="style0"/>
        <w:rPr/>
      </w:pPr>
      <w:r>
        <w:t>Les dispositions juridiques suivant</w:t>
      </w:r>
      <w:r>
        <w:t>e</w:t>
      </w:r>
      <w:r>
        <w:t>s s’appliquent à la gestion des pestes et à l’utilisation des pesticides au Burkina Faso.</w:t>
      </w:r>
    </w:p>
    <w:p>
      <w:pPr>
        <w:pStyle w:val="style0"/>
        <w:rPr/>
      </w:pPr>
    </w:p>
    <w:p>
      <w:pPr>
        <w:pStyle w:val="style0"/>
        <w:numPr>
          <w:ilvl w:val="0"/>
          <w:numId w:val="103"/>
        </w:numPr>
        <w:spacing w:before="0"/>
        <w:jc w:val="left"/>
        <w:rPr>
          <w:b/>
          <w:lang w:val="en-US"/>
        </w:rPr>
      </w:pPr>
      <w:r>
        <w:t xml:space="preserve"> </w:t>
      </w:r>
      <w:bookmarkStart w:id="348" w:name="_Toc295814605"/>
      <w:r>
        <w:rPr>
          <w:b/>
          <w:lang w:val="en-US"/>
        </w:rPr>
        <w:t>Code de l’Environnement</w:t>
      </w:r>
      <w:bookmarkEnd w:id="348"/>
    </w:p>
    <w:p>
      <w:pPr>
        <w:pStyle w:val="style0"/>
        <w:rPr>
          <w:sz w:val="22"/>
          <w:szCs w:val="22"/>
        </w:rPr>
      </w:pPr>
      <w:r>
        <w:rPr>
          <w:sz w:val="22"/>
          <w:szCs w:val="22"/>
        </w:rPr>
        <w:t>L</w:t>
      </w:r>
      <w:r>
        <w:rPr>
          <w:sz w:val="22"/>
          <w:szCs w:val="22"/>
        </w:rPr>
        <w:t xml:space="preserve">a loi N°006-2013/AN du 02 avril 2013, </w:t>
      </w:r>
      <w:r>
        <w:rPr>
          <w:sz w:val="22"/>
          <w:szCs w:val="22"/>
        </w:rPr>
        <w:t xml:space="preserve">portant </w:t>
      </w:r>
      <w:r>
        <w:rPr>
          <w:sz w:val="22"/>
          <w:szCs w:val="22"/>
        </w:rPr>
        <w:t>code de l'environnement définit les règles relatives aux principes fondamentaux de préservation de l'environnement qui sont entre autres la lutte contre la désertification, l’assainissement et l'amélioration du cadre de vie des populations. Il s’intéresse par ailleurs, à la mise en œuvre des accords internationaux ratifiés par le Burkina Faso en matière de préservation de l'environnement, de prévention et de gestion des catastrophes naturelles et artificielles.</w:t>
      </w:r>
    </w:p>
    <w:p>
      <w:pPr>
        <w:pStyle w:val="style0"/>
        <w:rPr/>
      </w:pPr>
    </w:p>
    <w:p>
      <w:pPr>
        <w:pStyle w:val="style0"/>
        <w:numPr>
          <w:ilvl w:val="0"/>
          <w:numId w:val="103"/>
        </w:numPr>
        <w:spacing w:before="0"/>
        <w:jc w:val="left"/>
        <w:rPr>
          <w:b/>
        </w:rPr>
      </w:pPr>
      <w:r>
        <w:rPr>
          <w:b/>
        </w:rPr>
        <w:t>Le Code Forestier</w:t>
      </w:r>
    </w:p>
    <w:p>
      <w:pPr>
        <w:pStyle w:val="style0"/>
        <w:rPr/>
      </w:pPr>
      <w:r>
        <w:t>L</w:t>
      </w:r>
      <w:r>
        <w:t>a loi n°003/2011/AN du 05 Avril 2011 portant code forestier précise en son article 1 que : « le présent code a pour objet de fixer l</w:t>
      </w:r>
      <w:r>
        <w:t>es principes fondamentaux de gestion durable et de valorisation des ressources forestières, fauniques et halieutiques ». L’alinéa 2 de l’article 4 stipule que : « …la gestion durable de ces ressources est un devoir pour tous. Elle implique le r</w:t>
      </w:r>
      <w:r>
        <w:t>espect de la réglementation en vigueur en matière de protection, d’exploitation et de valorisation du patrimoine forestier, faunique et halieutique ». Pour cela, elle dispose en son article 48 que « toute réalisation de grands travaux entraînant un défrichement est soumise à une autorisation préalable du ministre chargé des forêts sur la base d’une étude d’impact sur l’environnement ». Les autres aspects de la loi qui présentent un intérêt particulier pour cette étude sont contenus dans les articles 235 ; 236 et 237.</w:t>
      </w:r>
    </w:p>
    <w:p>
      <w:pPr>
        <w:pStyle w:val="style0"/>
        <w:spacing w:lineRule="auto" w:line="276"/>
        <w:rPr>
          <w:sz w:val="23"/>
          <w:szCs w:val="23"/>
        </w:rPr>
      </w:pPr>
    </w:p>
    <w:p>
      <w:pPr>
        <w:pStyle w:val="style0"/>
        <w:numPr>
          <w:ilvl w:val="0"/>
          <w:numId w:val="103"/>
        </w:numPr>
        <w:spacing w:before="0"/>
        <w:jc w:val="left"/>
        <w:rPr>
          <w:b/>
        </w:rPr>
      </w:pPr>
      <w:r>
        <w:rPr>
          <w:b/>
        </w:rPr>
        <w:t xml:space="preserve">La Loi portant Code de la Santé Animale </w:t>
      </w:r>
    </w:p>
    <w:p>
      <w:pPr>
        <w:pStyle w:val="style0"/>
        <w:rPr/>
      </w:pPr>
      <w:r>
        <w:t xml:space="preserve">Portant principalement sur quatre (04) domaines que sont l’organisation vétérinaire, l’exercice de la médecine vétérinaire, la pharmacie vétérinaire et  les </w:t>
      </w:r>
      <w:r>
        <w:t>mesures sanitaires, la Loi n° AN VII 0016/FP/PRES du 22 novembre 1989 portant code de la santé animale au Burkina Faso pour son application s’est accompagnée des décrets que sont :</w:t>
      </w:r>
    </w:p>
    <w:p>
      <w:pPr>
        <w:pStyle w:val="style0"/>
        <w:spacing w:before="0"/>
        <w:jc w:val="left"/>
        <w:rPr>
          <w:b/>
        </w:rPr>
      </w:pPr>
    </w:p>
    <w:p>
      <w:pPr>
        <w:pStyle w:val="style179"/>
        <w:numPr>
          <w:ilvl w:val="0"/>
          <w:numId w:val="105"/>
        </w:numPr>
        <w:rPr/>
      </w:pPr>
      <w:r>
        <w:t>le décret N° AN VII-0113/FP/AGRI-EL du 22 novembre 1989 portant règlement de la police zoo sanitaire au Burkina ;</w:t>
      </w:r>
    </w:p>
    <w:p>
      <w:pPr>
        <w:pStyle w:val="style179"/>
        <w:numPr>
          <w:ilvl w:val="0"/>
          <w:numId w:val="105"/>
        </w:numPr>
        <w:rPr/>
      </w:pPr>
      <w:r>
        <w:t>le décret n° AN VII – 0114/FP/AGRI-EL du 22 novembre 1989, portant réglementation de la santé publique vétérinaire au Burkina Faso</w:t>
      </w:r>
    </w:p>
    <w:p>
      <w:pPr>
        <w:pStyle w:val="style0"/>
        <w:spacing w:lineRule="auto" w:line="276"/>
        <w:rPr>
          <w:sz w:val="23"/>
          <w:szCs w:val="23"/>
        </w:rPr>
      </w:pPr>
    </w:p>
    <w:bookmarkStart w:id="349" w:name="_Toc295814612"/>
    <w:p>
      <w:pPr>
        <w:pStyle w:val="style0"/>
        <w:numPr>
          <w:ilvl w:val="0"/>
          <w:numId w:val="103"/>
        </w:numPr>
        <w:spacing w:before="0"/>
        <w:jc w:val="left"/>
        <w:rPr>
          <w:b/>
        </w:rPr>
      </w:pPr>
      <w:r>
        <w:rPr>
          <w:b/>
        </w:rPr>
        <w:t>Le Code de Santé Publique</w:t>
      </w:r>
      <w:bookmarkEnd w:id="349"/>
    </w:p>
    <w:p>
      <w:pPr>
        <w:pStyle w:val="style0"/>
        <w:rPr/>
      </w:pPr>
      <w:r>
        <w:t>La loi n°23/94/ADP du 19 mai 1994 portant Code de Santé Publique autorise le ministère en charge de la santé de concert avec les ministères chargés de l’environnement et de l’eau à prendre toutes mesures jugées utiles pour la prévention contre la pollution des eaux potables aux fins de protéger l’environnement et la santé des populations. Cette loi s’intéresse particulièrement à la protection sanitaire de l’environnement</w:t>
      </w:r>
      <w:r>
        <w:t xml:space="preserve"> </w:t>
      </w:r>
      <w:r>
        <w:t>(pollution de l’air et de l’eau)  et prévoit de ce fait, une batterie de mesures destinées à prévenir la pollution des eaux livrées à la consommation du fait de l’usage incontrôlé de produits phytosanitaires ,de la mauvaise gestion des déchets de toutes sortes et de l’insalubrité des agglomérations.</w:t>
      </w:r>
    </w:p>
    <w:p>
      <w:pPr>
        <w:pStyle w:val="style0"/>
        <w:rPr>
          <w:sz w:val="22"/>
          <w:szCs w:val="22"/>
        </w:rPr>
      </w:pPr>
    </w:p>
    <w:bookmarkStart w:id="350" w:name="_Toc291800479"/>
    <w:p>
      <w:pPr>
        <w:pStyle w:val="style0"/>
        <w:numPr>
          <w:ilvl w:val="0"/>
          <w:numId w:val="103"/>
        </w:numPr>
        <w:spacing w:before="0"/>
        <w:jc w:val="left"/>
        <w:rPr>
          <w:b/>
        </w:rPr>
      </w:pPr>
      <w:r>
        <w:rPr>
          <w:b/>
        </w:rPr>
        <w:t xml:space="preserve">La Loi portant Code de la Santé Animale </w:t>
      </w:r>
      <w:bookmarkEnd w:id="350"/>
    </w:p>
    <w:p>
      <w:pPr>
        <w:pStyle w:val="style0"/>
        <w:rPr/>
      </w:pPr>
      <w:r>
        <w:t>Portant principalement sur quatre (04) domaines que sont l’organisation vétérinaire, l’exercice de la médecine vétérinair</w:t>
      </w:r>
      <w:r>
        <w:t xml:space="preserve">e, la pharmacie vétérinaire et </w:t>
      </w:r>
      <w:r>
        <w:t>les mesures sanitaires, la Loi n° AN VII 0016/FP/PRES du 22 novembre 1989 portant code de la santé animale au Burkina Faso pour son application s’est accompagnée des décrets que sont :</w:t>
      </w:r>
    </w:p>
    <w:p>
      <w:pPr>
        <w:pStyle w:val="style179"/>
        <w:numPr>
          <w:ilvl w:val="0"/>
          <w:numId w:val="64"/>
        </w:numPr>
        <w:rPr/>
      </w:pPr>
      <w:r>
        <w:t>le décret N° AN VII-0113/FP/AGRI-EL du 22 novembre 1989 portant règlement de la police zoo sanitaire au Burkina ;</w:t>
      </w:r>
    </w:p>
    <w:p>
      <w:pPr>
        <w:pStyle w:val="style179"/>
        <w:numPr>
          <w:ilvl w:val="0"/>
          <w:numId w:val="64"/>
        </w:numPr>
        <w:rPr/>
      </w:pPr>
      <w:r>
        <w:t>le décret n° AN VII – 0114/FP/AGRI-EL du 22 novembre 1989, portant réglementation de la santé publique vétérinaire au Burkina Faso</w:t>
      </w:r>
    </w:p>
    <w:p>
      <w:pPr>
        <w:pStyle w:val="style0"/>
        <w:rPr>
          <w:sz w:val="22"/>
          <w:szCs w:val="22"/>
        </w:rPr>
      </w:pPr>
    </w:p>
    <w:p>
      <w:pPr>
        <w:pStyle w:val="style0"/>
        <w:rPr/>
      </w:pPr>
      <w:r>
        <w:t xml:space="preserve">Plusieurs </w:t>
      </w:r>
      <w:r>
        <w:t xml:space="preserve">autres textes législatifs et réglementaires nationaux viennent compléter le dispositif de sécurisation de l’utilisation des pesticides au Burkina Faso. On peut citer : </w:t>
      </w:r>
    </w:p>
    <w:p>
      <w:pPr>
        <w:pStyle w:val="style179"/>
        <w:numPr>
          <w:ilvl w:val="0"/>
          <w:numId w:val="38"/>
        </w:numPr>
        <w:rPr/>
      </w:pPr>
      <w:r>
        <w:t>l</w:t>
      </w:r>
      <w:r>
        <w:t>e KITI N° AN VII-0114/FP/AGRI-E portant réglementation de la santé publique vétérinaire au Burkina Faso ;</w:t>
      </w:r>
    </w:p>
    <w:p>
      <w:pPr>
        <w:pStyle w:val="style179"/>
        <w:numPr>
          <w:ilvl w:val="0"/>
          <w:numId w:val="38"/>
        </w:numPr>
        <w:rPr/>
      </w:pPr>
      <w:r>
        <w:t xml:space="preserve">la </w:t>
      </w:r>
      <w:r>
        <w:t>Loi N°022-2005/AN du 24 mai 2005 portant Code de l’hygiène publique au Burkina Faso ;</w:t>
      </w:r>
    </w:p>
    <w:p>
      <w:pPr>
        <w:pStyle w:val="style179"/>
        <w:numPr>
          <w:ilvl w:val="0"/>
          <w:numId w:val="38"/>
        </w:numPr>
        <w:rPr/>
      </w:pPr>
      <w:r>
        <w:t xml:space="preserve">le décret N° 2006- 588 /PRES/PM/MAHRH/MECV/MATD/MFB/MS du 6 décembre 2006 portant détermination des périmètres de protection des plans et cours d’eau : </w:t>
      </w:r>
    </w:p>
    <w:p>
      <w:pPr>
        <w:pStyle w:val="style179"/>
        <w:numPr>
          <w:ilvl w:val="0"/>
          <w:numId w:val="38"/>
        </w:numPr>
        <w:rPr/>
      </w:pPr>
      <w:r>
        <w:t>le décret N° 2006- 590/PRES/PM/MAHRH/MECV/MRA du 6 décembre 2006 portant protection des écosystèmes aquatiques.</w:t>
      </w:r>
    </w:p>
    <w:p>
      <w:pPr>
        <w:pStyle w:val="style179"/>
        <w:numPr>
          <w:ilvl w:val="0"/>
          <w:numId w:val="38"/>
        </w:numPr>
        <w:rPr/>
      </w:pPr>
      <w:r>
        <w:t>le décret n°2001-185/PRE/PM/MEE du 07 mai 2001, portant fixation des normes de rejets des polluants dans l’air, l’eau et les sols; </w:t>
      </w:r>
    </w:p>
    <w:p>
      <w:pPr>
        <w:pStyle w:val="style179"/>
        <w:numPr>
          <w:ilvl w:val="0"/>
          <w:numId w:val="38"/>
        </w:numPr>
        <w:rPr/>
      </w:pPr>
      <w:r>
        <w:t xml:space="preserve">le </w:t>
      </w:r>
      <w:r>
        <w:t xml:space="preserve">Décret N°2015- 1187 /PRES- TRANS /PM /MERH/MATD /MME /MS/ MARHASA /MRA/MICA/MHU/MIDT/MCT du 22 octobre 2015 portant conditions et procédures de réalisation et de validation de l'évaluation environnementale stratégique, de l'étude et de la notice d'impact environnemental et sociale </w:t>
      </w:r>
    </w:p>
    <w:p>
      <w:pPr>
        <w:pStyle w:val="style179"/>
        <w:numPr>
          <w:ilvl w:val="0"/>
          <w:numId w:val="38"/>
        </w:numPr>
        <w:rPr/>
      </w:pPr>
      <w:r>
        <w:t>l</w:t>
      </w:r>
      <w:r>
        <w:t>e Décret N°98-107/PRES/PM/MRA portant attribution et exercice du mandat sanitaire vétérinaire ;</w:t>
      </w:r>
    </w:p>
    <w:p>
      <w:pPr>
        <w:pStyle w:val="style179"/>
        <w:numPr>
          <w:ilvl w:val="0"/>
          <w:numId w:val="38"/>
        </w:numPr>
        <w:rPr/>
      </w:pPr>
      <w:r>
        <w:t>l</w:t>
      </w:r>
      <w:r>
        <w:t>e Décret n°98-132/PRES/PM/MRA du 06/04/01998 portant règlement de la pharmacie vétérinaire.</w:t>
      </w:r>
    </w:p>
    <w:p>
      <w:pPr>
        <w:pStyle w:val="style179"/>
        <w:numPr>
          <w:ilvl w:val="0"/>
          <w:numId w:val="38"/>
        </w:numPr>
        <w:rPr/>
      </w:pPr>
      <w:r>
        <w:t>le Décret N°98-322/PRES/PM/MEE/MCIA/MEM/MS/MATS/METSS/MEF du 28 Juillet 1998 portant conditions d’ouverture et de fonctionnement des établissements dangereux, insalubres et incommodes ;</w:t>
      </w:r>
    </w:p>
    <w:p>
      <w:pPr>
        <w:pStyle w:val="style179"/>
        <w:numPr>
          <w:ilvl w:val="0"/>
          <w:numId w:val="38"/>
        </w:numPr>
        <w:rPr/>
      </w:pPr>
      <w:r>
        <w:t>l</w:t>
      </w:r>
      <w:r>
        <w:t xml:space="preserve">e Décret N°99-377 PRES/PM/MS portant création du Laboratoire national de santé publique (LNSP) ; </w:t>
      </w:r>
    </w:p>
    <w:p>
      <w:pPr>
        <w:pStyle w:val="style179"/>
        <w:numPr>
          <w:ilvl w:val="0"/>
          <w:numId w:val="38"/>
        </w:numPr>
        <w:rPr/>
      </w:pPr>
      <w:r>
        <w:t>l’Arrêté conjoint N°2009-073/MECV/MAHRH du 27 août 2009 portant réglementation des défrichements agricoles au Burkina Faso ;</w:t>
      </w:r>
    </w:p>
    <w:p>
      <w:pPr>
        <w:pStyle w:val="style179"/>
        <w:numPr>
          <w:ilvl w:val="0"/>
          <w:numId w:val="38"/>
        </w:numPr>
        <w:rPr/>
      </w:pPr>
      <w:r>
        <w:t>l’arrêté N°2010-029/MECV/SG/BUNED portant Missions, Organisation et Fonctionnement du Bureau National des Evaluations environnementales et de gestion des Déchets spéciaux. Le BUNED, actuellement BUNEE a pour missions la coordination de la mise en œuvre et du suivi de la politique nationale en matière d’évaluation et d’inspection environnementale. A ce titre, il joue un rôle essentiel dans la gestion d</w:t>
      </w:r>
      <w:r>
        <w:t xml:space="preserve">es pesticides au Burkina Faso. </w:t>
      </w:r>
    </w:p>
    <w:p>
      <w:pPr>
        <w:pStyle w:val="style179"/>
        <w:numPr>
          <w:ilvl w:val="0"/>
          <w:numId w:val="38"/>
        </w:numPr>
        <w:rPr/>
      </w:pPr>
      <w:r>
        <w:t>l’Arrêté N°98-8/MEE/SG/DGEF/DP du 12/05/1998 portant définition des mesures de protection et de conservation des ressource</w:t>
      </w:r>
      <w:r>
        <w:t>s halieutiques au Burkina Faso.</w:t>
      </w:r>
    </w:p>
    <w:bookmarkStart w:id="351" w:name="_Toc2831213"/>
    <w:p>
      <w:pPr>
        <w:pStyle w:val="style3"/>
        <w:ind w:left="38"/>
        <w:rPr>
          <w:rStyle w:val="style4176"/>
          <w:rFonts w:eastAsia="Calibri"/>
          <w:sz w:val="23"/>
          <w:szCs w:val="23"/>
        </w:rPr>
      </w:pPr>
      <w:r>
        <w:rPr>
          <w:rStyle w:val="style4176"/>
          <w:sz w:val="23"/>
          <w:szCs w:val="23"/>
        </w:rPr>
        <w:t>5.2.3.</w:t>
      </w:r>
      <w:r>
        <w:rPr>
          <w:rStyle w:val="style4176"/>
          <w:sz w:val="23"/>
          <w:szCs w:val="23"/>
        </w:rPr>
        <w:t>La politique opérationnelle de la Banque mondiale PO/PB 4.09 : Gestion des pestes</w:t>
      </w:r>
      <w:bookmarkEnd w:id="351"/>
    </w:p>
    <w:p>
      <w:pPr>
        <w:pStyle w:val="style0"/>
        <w:rPr/>
      </w:pPr>
      <w:r>
        <w:t xml:space="preserve">L'objectif de la politique PO4.09 de la Banque </w:t>
      </w:r>
      <w:r>
        <w:t>m</w:t>
      </w:r>
      <w:r>
        <w:t xml:space="preserve">ondiale est de promouvoir l'utilisation des méthodes de contrôle biologique ou environnemental et de réduire la dépendance à ces pesticides synthétiques chimiques et de s'assurer que les risques sanitaires et environnementaux associés aux pesticides chimiques sont réduits. Ainsi, dans les projets du secteur agricole financés par la Banque </w:t>
      </w:r>
      <w:r>
        <w:t>m</w:t>
      </w:r>
      <w:r>
        <w:t xml:space="preserve">ondiale, les ravageurs sont contrôlés via les approches de Gestion intégrée comme le contrôle biologique, les pratiques culturales, le développement et l'utilisation de variétés résistantes ou tolérantes aux ravageurs. </w:t>
      </w:r>
    </w:p>
    <w:p>
      <w:pPr>
        <w:pStyle w:val="style0"/>
        <w:rPr/>
      </w:pPr>
      <w:r>
        <w:t>Cependant, la Banque mondiale peut apporter un appui financier à l'acquisition de pesticides lorsque leur utilisation est justifiée sous une approche de gestion intégrée et lorsque les critères de sélection des pesticides ci-dessous sont remplis :</w:t>
      </w:r>
    </w:p>
    <w:p>
      <w:pPr>
        <w:pStyle w:val="style0"/>
        <w:numPr>
          <w:ilvl w:val="1"/>
          <w:numId w:val="26"/>
        </w:numPr>
        <w:tabs>
          <w:tab w:val="clear" w:pos="1440"/>
        </w:tabs>
        <w:spacing w:lineRule="auto" w:line="276"/>
        <w:ind w:left="283" w:hanging="113"/>
        <w:rPr>
          <w:szCs w:val="23"/>
        </w:rPr>
      </w:pPr>
      <w:r>
        <w:rPr>
          <w:szCs w:val="23"/>
        </w:rPr>
        <w:t>l'acquisition d'un pesticide dans un projet financé par la Banque mondiale est sujette à une évaluation de la nature et du degré des risques associés ;</w:t>
      </w:r>
    </w:p>
    <w:p>
      <w:pPr>
        <w:pStyle w:val="style0"/>
        <w:numPr>
          <w:ilvl w:val="1"/>
          <w:numId w:val="26"/>
        </w:numPr>
        <w:tabs>
          <w:tab w:val="clear" w:pos="1440"/>
        </w:tabs>
        <w:spacing w:lineRule="auto" w:line="276"/>
        <w:ind w:left="283" w:hanging="113"/>
        <w:rPr>
          <w:szCs w:val="23"/>
        </w:rPr>
      </w:pPr>
      <w:r>
        <w:rPr>
          <w:szCs w:val="23"/>
        </w:rPr>
        <w:t>les critères de sélection et d'utilisation des pesticides sont :</w:t>
      </w:r>
    </w:p>
    <w:p>
      <w:pPr>
        <w:pStyle w:val="style0"/>
        <w:numPr>
          <w:ilvl w:val="1"/>
          <w:numId w:val="43"/>
        </w:numPr>
        <w:tabs>
          <w:tab w:val="clear" w:pos="1440"/>
        </w:tabs>
        <w:autoSpaceDE w:val="false"/>
        <w:autoSpaceDN w:val="false"/>
        <w:adjustRightInd w:val="false"/>
        <w:spacing w:lineRule="auto" w:line="276"/>
        <w:ind w:left="851" w:hanging="306"/>
        <w:rPr>
          <w:szCs w:val="23"/>
        </w:rPr>
      </w:pPr>
      <w:r>
        <w:rPr>
          <w:szCs w:val="23"/>
        </w:rPr>
        <w:t>effets négatifs négligeables sur la santé humaine ;</w:t>
      </w:r>
    </w:p>
    <w:p>
      <w:pPr>
        <w:pStyle w:val="style0"/>
        <w:numPr>
          <w:ilvl w:val="1"/>
          <w:numId w:val="43"/>
        </w:numPr>
        <w:tabs>
          <w:tab w:val="clear" w:pos="1440"/>
        </w:tabs>
        <w:autoSpaceDE w:val="false"/>
        <w:autoSpaceDN w:val="false"/>
        <w:adjustRightInd w:val="false"/>
        <w:spacing w:lineRule="auto" w:line="276"/>
        <w:ind w:left="851" w:hanging="306"/>
        <w:rPr>
          <w:szCs w:val="23"/>
        </w:rPr>
      </w:pPr>
      <w:r>
        <w:rPr>
          <w:szCs w:val="23"/>
        </w:rPr>
        <w:t>efficacité prouvée sur les espèces cibles ;</w:t>
      </w:r>
    </w:p>
    <w:p>
      <w:pPr>
        <w:pStyle w:val="style0"/>
        <w:numPr>
          <w:ilvl w:val="1"/>
          <w:numId w:val="43"/>
        </w:numPr>
        <w:tabs>
          <w:tab w:val="clear" w:pos="1440"/>
        </w:tabs>
        <w:autoSpaceDE w:val="false"/>
        <w:autoSpaceDN w:val="false"/>
        <w:adjustRightInd w:val="false"/>
        <w:spacing w:lineRule="auto" w:line="276"/>
        <w:ind w:left="851" w:hanging="306"/>
        <w:rPr>
          <w:szCs w:val="23"/>
        </w:rPr>
      </w:pPr>
      <w:r>
        <w:rPr>
          <w:szCs w:val="23"/>
        </w:rPr>
        <w:t>avoir un effet minimal sur les espèces non cibles et l'environnement naturel ;</w:t>
      </w:r>
    </w:p>
    <w:p>
      <w:pPr>
        <w:pStyle w:val="style0"/>
        <w:numPr>
          <w:ilvl w:val="1"/>
          <w:numId w:val="43"/>
        </w:numPr>
        <w:tabs>
          <w:tab w:val="clear" w:pos="1440"/>
        </w:tabs>
        <w:autoSpaceDE w:val="false"/>
        <w:autoSpaceDN w:val="false"/>
        <w:adjustRightInd w:val="false"/>
        <w:spacing w:lineRule="auto" w:line="276"/>
        <w:ind w:left="851" w:hanging="306"/>
        <w:rPr>
          <w:szCs w:val="23"/>
        </w:rPr>
      </w:pPr>
      <w:r>
        <w:rPr>
          <w:szCs w:val="23"/>
        </w:rPr>
        <w:t>leur utilisation doit tenir compte du besoin de prévenir le développement de résistance chez les insectes vecteurs.</w:t>
      </w:r>
    </w:p>
    <w:p>
      <w:pPr>
        <w:pStyle w:val="style0"/>
        <w:numPr>
          <w:ilvl w:val="1"/>
          <w:numId w:val="26"/>
        </w:numPr>
        <w:tabs>
          <w:tab w:val="clear" w:pos="1440"/>
        </w:tabs>
        <w:spacing w:lineRule="auto" w:line="276"/>
        <w:ind w:left="255" w:hanging="113"/>
        <w:rPr>
          <w:szCs w:val="23"/>
        </w:rPr>
      </w:pPr>
      <w:r>
        <w:rPr>
          <w:szCs w:val="23"/>
        </w:rPr>
        <w:t>les pesticides doivent être préparés, emballés, manutentionnés, stockés, éliminés et appliqués selon les normes acceptables par la Banque mondiale ;</w:t>
      </w:r>
    </w:p>
    <w:p>
      <w:pPr>
        <w:pStyle w:val="style0"/>
        <w:numPr>
          <w:ilvl w:val="1"/>
          <w:numId w:val="26"/>
        </w:numPr>
        <w:tabs>
          <w:tab w:val="clear" w:pos="1440"/>
        </w:tabs>
        <w:spacing w:lineRule="auto" w:line="276"/>
        <w:ind w:left="255" w:hanging="113"/>
        <w:rPr>
          <w:szCs w:val="23"/>
        </w:rPr>
      </w:pPr>
      <w:r>
        <w:rPr>
          <w:szCs w:val="23"/>
        </w:rPr>
        <w:t>La Banque mondiale ne finance pas les produits formulés appartenant aux classes Ia et Ib de l'OMS ou les formulations de la classe II si :</w:t>
      </w:r>
    </w:p>
    <w:p>
      <w:pPr>
        <w:pStyle w:val="style0"/>
        <w:numPr>
          <w:ilvl w:val="1"/>
          <w:numId w:val="43"/>
        </w:numPr>
        <w:tabs>
          <w:tab w:val="clear" w:pos="1440"/>
        </w:tabs>
        <w:autoSpaceDE w:val="false"/>
        <w:autoSpaceDN w:val="false"/>
        <w:adjustRightInd w:val="false"/>
        <w:spacing w:lineRule="auto" w:line="276"/>
        <w:ind w:left="851" w:hanging="306"/>
        <w:rPr>
          <w:szCs w:val="23"/>
        </w:rPr>
      </w:pPr>
      <w:r>
        <w:rPr>
          <w:szCs w:val="23"/>
        </w:rPr>
        <w:t>le pays ne dispose pas de restrictions à leur distribution et leur utilisation ou</w:t>
      </w:r>
    </w:p>
    <w:p>
      <w:pPr>
        <w:pStyle w:val="style0"/>
        <w:numPr>
          <w:ilvl w:val="1"/>
          <w:numId w:val="43"/>
        </w:numPr>
        <w:tabs>
          <w:tab w:val="clear" w:pos="1440"/>
        </w:tabs>
        <w:autoSpaceDE w:val="false"/>
        <w:autoSpaceDN w:val="false"/>
        <w:adjustRightInd w:val="false"/>
        <w:spacing w:lineRule="auto" w:line="276"/>
        <w:ind w:left="851" w:hanging="306"/>
        <w:rPr>
          <w:szCs w:val="23"/>
        </w:rPr>
      </w:pPr>
      <w:r>
        <w:rPr>
          <w:szCs w:val="23"/>
        </w:rPr>
        <w:t>s'ils pourraient être utilisés ou être accessibles aux personnels d'application, aux agriculteurs ou autres sans formation, équipements et infrastructures pour la manutention, le stockage et l'application adéquate de ces produits</w:t>
      </w:r>
    </w:p>
    <w:p>
      <w:pPr>
        <w:pStyle w:val="style0"/>
        <w:rPr/>
      </w:pPr>
    </w:p>
    <w:bookmarkStart w:id="352" w:name="_Toc2831214"/>
    <w:p>
      <w:pPr>
        <w:pStyle w:val="style3"/>
        <w:rPr/>
      </w:pPr>
      <w:r>
        <w:t>5.2.4</w:t>
      </w:r>
      <w:r>
        <w:t>. Cadre institutionnel</w:t>
      </w:r>
      <w:r>
        <w:t xml:space="preserve"> de la gestion des pestes</w:t>
      </w:r>
      <w:bookmarkEnd w:id="352"/>
      <w:r>
        <w:t xml:space="preserve"> </w:t>
      </w:r>
    </w:p>
    <w:p>
      <w:pPr>
        <w:pStyle w:val="style0"/>
        <w:rPr>
          <w:lang w:eastAsia="fr-FR"/>
        </w:rPr>
      </w:pPr>
      <w:r>
        <w:rPr>
          <w:rFonts w:eastAsia="Calibri"/>
        </w:rPr>
        <w:t xml:space="preserve">La </w:t>
      </w:r>
      <w:r>
        <w:rPr>
          <w:lang w:eastAsia="fr-FR"/>
        </w:rPr>
        <w:t>Loi N°026-2017/AN du 15 mai 2017, portant contrôle de la gestion des pesticides au Burkina Faso stipule en son article 4 :</w:t>
      </w:r>
    </w:p>
    <w:p>
      <w:pPr>
        <w:pStyle w:val="style0"/>
        <w:rPr>
          <w:color w:val="000000"/>
          <w:spacing w:val="3"/>
        </w:rPr>
      </w:pPr>
      <w:r>
        <w:rPr>
          <w:rFonts w:eastAsia="Calibri"/>
          <w:lang w:eastAsia="fr-FR"/>
        </w:rPr>
        <w:t xml:space="preserve">Article 4 : Le contrôle de la gestion des pesticides relève de la compétence du ministère en charge de l’agriculture. A cet effet, il est créé un Comité national de gestion des pesticides, en abrégé CNGP. </w:t>
      </w:r>
      <w:r>
        <w:rPr>
          <w:rFonts w:eastAsia="Calibri"/>
          <w:lang w:eastAsia="fr-FR"/>
        </w:rPr>
        <w:t xml:space="preserve"> Ainsi, </w:t>
      </w:r>
      <w:r>
        <w:rPr>
          <w:color w:val="000000"/>
          <w:spacing w:val="3"/>
        </w:rPr>
        <w:t>l</w:t>
      </w:r>
      <w:r>
        <w:rPr>
          <w:color w:val="000000"/>
          <w:spacing w:val="3"/>
        </w:rPr>
        <w:t xml:space="preserve">'ossature institutionnelle de </w:t>
      </w:r>
      <w:r>
        <w:rPr>
          <w:color w:val="000000"/>
          <w:spacing w:val="3"/>
        </w:rPr>
        <w:t xml:space="preserve">la </w:t>
      </w:r>
      <w:r>
        <w:rPr>
          <w:color w:val="000000"/>
          <w:spacing w:val="3"/>
        </w:rPr>
        <w:t>gestion des</w:t>
      </w:r>
      <w:r>
        <w:rPr>
          <w:color w:val="000000"/>
          <w:spacing w:val="3"/>
        </w:rPr>
        <w:t xml:space="preserve"> pestes et des</w:t>
      </w:r>
      <w:r>
        <w:rPr>
          <w:color w:val="000000"/>
          <w:spacing w:val="3"/>
        </w:rPr>
        <w:t xml:space="preserve"> pesticides au Burkina Faso repose sur plusieurs ministères et acteurs représentés au sein de la CNGP. Ce contrôle </w:t>
      </w:r>
      <w:r>
        <w:t>porte sur la production, l’expérimentation, le reconditionnement, l’importation, l’exportation, le transit, le transport, la distribution, le stockage, l’utilisation, la destruction du pesticide et la publicité, la qualité des pesticides, le respect des normes d’étiquetage, d’emballages et de procédures d’homologation en vigueur au Burkina Faso.</w:t>
      </w:r>
      <w:r>
        <w:rPr>
          <w:color w:val="000000"/>
          <w:spacing w:val="3"/>
        </w:rPr>
        <w:t xml:space="preserve"> Outre les parties prenantes au niveau national, des observateurs (FAO, OMS …) et des ONGs participent au CNGP. </w:t>
      </w:r>
    </w:p>
    <w:p>
      <w:pPr>
        <w:pStyle w:val="style0"/>
        <w:rPr>
          <w:lang w:eastAsia="fr-FR"/>
        </w:rPr>
      </w:pPr>
      <w:r>
        <w:rPr>
          <w:lang w:eastAsia="fr-FR"/>
        </w:rPr>
        <w:t>Les acteurs institutionnels impliqués dans la mise en œuvre du PDCA sont constitués des départements ministériels, des collectivités territoriales, des organisations de la société civile, des institutions privées et des laboratoires d’analyse.</w:t>
      </w:r>
    </w:p>
    <w:p>
      <w:pPr>
        <w:pStyle w:val="style0"/>
        <w:rPr>
          <w:rFonts w:eastAsia="Calibri"/>
        </w:rPr>
      </w:pPr>
    </w:p>
    <w:bookmarkStart w:id="353" w:name="_Toc2831215"/>
    <w:p>
      <w:pPr>
        <w:pStyle w:val="style3"/>
        <w:rPr/>
      </w:pPr>
      <w:r>
        <w:t>5.2.4.1</w:t>
      </w:r>
      <w:r>
        <w:t>. Ministères impliqués dans la mise en œuvre du PGP du PDCA</w:t>
      </w:r>
      <w:bookmarkEnd w:id="353"/>
    </w:p>
    <w:bookmarkEnd w:id="345"/>
    <w:bookmarkEnd w:id="346"/>
    <w:bookmarkEnd w:id="347"/>
    <w:p>
      <w:pPr>
        <w:pStyle w:val="style4"/>
        <w:numPr>
          <w:ilvl w:val="0"/>
          <w:numId w:val="0"/>
        </w:numPr>
        <w:rPr/>
      </w:pPr>
      <w:r>
        <w:t>5</w:t>
      </w:r>
      <w:r>
        <w:t>.2.</w:t>
      </w:r>
      <w:r>
        <w:t>4</w:t>
      </w:r>
      <w:r>
        <w:t>.</w:t>
      </w:r>
      <w:r>
        <w:t>1</w:t>
      </w:r>
      <w:r>
        <w:t>.</w:t>
      </w:r>
      <w:r>
        <w:t xml:space="preserve">1. </w:t>
      </w:r>
      <w:r>
        <w:t xml:space="preserve"> Ministère de l’agriculture et des aménagements hydrauliques (MAAH</w:t>
      </w:r>
      <w:r>
        <w:rPr>
          <w:rStyle w:val="style87"/>
          <w:rFonts w:eastAsia="Arial Unicode MS"/>
        </w:rPr>
        <w:t>)</w:t>
      </w:r>
    </w:p>
    <w:p>
      <w:pPr>
        <w:pStyle w:val="style0"/>
        <w:rPr>
          <w:sz w:val="22"/>
          <w:szCs w:val="22"/>
        </w:rPr>
      </w:pPr>
      <w:r>
        <w:rPr>
          <w:sz w:val="22"/>
          <w:szCs w:val="22"/>
        </w:rPr>
        <w:t>Il est l</w:t>
      </w:r>
      <w:r>
        <w:rPr>
          <w:sz w:val="22"/>
          <w:szCs w:val="22"/>
        </w:rPr>
        <w:t xml:space="preserve">’un des acteurs majeurs impliqués dans la mise en œuvre du </w:t>
      </w:r>
      <w:r>
        <w:rPr>
          <w:sz w:val="22"/>
          <w:szCs w:val="22"/>
        </w:rPr>
        <w:t xml:space="preserve">programme </w:t>
      </w:r>
      <w:r>
        <w:rPr>
          <w:sz w:val="22"/>
          <w:szCs w:val="22"/>
        </w:rPr>
        <w:t>dont l’organisation est régie par le décret N°2016-293/PM/SG/MAAH du 28 avril 2016.</w:t>
      </w:r>
      <w:r>
        <w:rPr>
          <w:sz w:val="22"/>
          <w:szCs w:val="22"/>
        </w:rPr>
        <w:t xml:space="preserve"> Il assure la tutelle technique du Programme.</w:t>
      </w:r>
    </w:p>
    <w:p>
      <w:pPr>
        <w:pStyle w:val="style0"/>
        <w:rPr/>
      </w:pPr>
      <w:r>
        <w:t>En matière de gestion des produits chimiques, il intervient dans :</w:t>
      </w:r>
    </w:p>
    <w:p>
      <w:pPr>
        <w:pStyle w:val="style0"/>
        <w:numPr>
          <w:ilvl w:val="0"/>
          <w:numId w:val="81"/>
        </w:numPr>
        <w:spacing w:before="0" w:lineRule="auto" w:line="276"/>
        <w:ind w:left="709" w:hanging="357"/>
        <w:rPr>
          <w:szCs w:val="23"/>
        </w:rPr>
      </w:pPr>
      <w:r>
        <w:rPr>
          <w:szCs w:val="23"/>
        </w:rPr>
        <w:t>l’analyse, le suivi et la protection phytosanitaire des filières végétales ;</w:t>
      </w:r>
    </w:p>
    <w:p>
      <w:pPr>
        <w:pStyle w:val="style0"/>
        <w:numPr>
          <w:ilvl w:val="0"/>
          <w:numId w:val="81"/>
        </w:numPr>
        <w:spacing w:before="0" w:lineRule="auto" w:line="276"/>
        <w:ind w:left="709" w:hanging="357"/>
        <w:rPr>
          <w:szCs w:val="23"/>
        </w:rPr>
      </w:pPr>
      <w:r>
        <w:rPr>
          <w:szCs w:val="23"/>
        </w:rPr>
        <w:t>le contrôle de la qualité des intrants agricoles et des produits agricoles destinés à l’exportation ;</w:t>
      </w:r>
    </w:p>
    <w:p>
      <w:pPr>
        <w:pStyle w:val="style0"/>
        <w:numPr>
          <w:ilvl w:val="0"/>
          <w:numId w:val="81"/>
        </w:numPr>
        <w:spacing w:before="0" w:lineRule="auto" w:line="276"/>
        <w:ind w:left="709" w:hanging="357"/>
        <w:rPr>
          <w:szCs w:val="23"/>
        </w:rPr>
      </w:pPr>
      <w:r>
        <w:rPr>
          <w:szCs w:val="23"/>
        </w:rPr>
        <w:t>le contrôle de l’application de la réglementation en matière de protection phytosanitaire ;</w:t>
      </w:r>
    </w:p>
    <w:p>
      <w:pPr>
        <w:pStyle w:val="style0"/>
        <w:numPr>
          <w:ilvl w:val="0"/>
          <w:numId w:val="81"/>
        </w:numPr>
        <w:spacing w:before="0" w:lineRule="auto" w:line="276"/>
        <w:ind w:left="709" w:hanging="357"/>
        <w:rPr>
          <w:szCs w:val="23"/>
        </w:rPr>
      </w:pPr>
      <w:r>
        <w:rPr>
          <w:szCs w:val="23"/>
        </w:rPr>
        <w:t>l’appui-conseil aux producteurs et organisations professionnelles agricoles.</w:t>
      </w:r>
    </w:p>
    <w:p>
      <w:pPr>
        <w:pStyle w:val="style0"/>
        <w:rPr/>
      </w:pPr>
      <w:r>
        <w:t>Les produits chimiques qui sont particulièrement soumis au contrôle du ministère chargé de l’agriculture sont les pesticides et les engrais. La gestion de ces produits est assurée par la Direction de la protection des végétaux et du conditionnement (DPVC) logé au sein de la Direction générale des productions végétales (DGPV).</w:t>
      </w:r>
    </w:p>
    <w:p>
      <w:pPr>
        <w:pStyle w:val="style0"/>
        <w:spacing w:lineRule="auto" w:line="276"/>
        <w:rPr>
          <w:sz w:val="23"/>
          <w:szCs w:val="23"/>
        </w:rPr>
      </w:pPr>
    </w:p>
    <w:p>
      <w:pPr>
        <w:pStyle w:val="style6"/>
        <w:numPr>
          <w:ilvl w:val="0"/>
          <w:numId w:val="67"/>
        </w:numPr>
        <w:spacing w:lineRule="auto" w:line="276"/>
        <w:jc w:val="both"/>
        <w:rPr>
          <w:spacing w:val="-4"/>
          <w:sz w:val="23"/>
          <w:szCs w:val="23"/>
        </w:rPr>
      </w:pPr>
      <w:r>
        <w:rPr>
          <w:sz w:val="23"/>
          <w:szCs w:val="23"/>
        </w:rPr>
        <w:t xml:space="preserve">La Direction de la protection des végétaux et du conditionnement (DPVC) </w:t>
      </w:r>
    </w:p>
    <w:p>
      <w:pPr>
        <w:pStyle w:val="style0"/>
        <w:rPr/>
      </w:pPr>
      <w:r>
        <w:rPr>
          <w:spacing w:val="-5"/>
        </w:rPr>
        <w:t>La Direction de la protection des végét</w:t>
      </w:r>
      <w:r>
        <w:t>aux et du conditionnement (DPVC) a été créée pour répondre à l’</w:t>
      </w:r>
      <w:r>
        <w:rPr>
          <w:spacing w:val="-4"/>
        </w:rPr>
        <w:t xml:space="preserve">objectif </w:t>
      </w:r>
      <w:r>
        <w:rPr>
          <w:spacing w:val="-3"/>
        </w:rPr>
        <w:t>stratégique de développement agricole durable et d’atteinte de la sécurité alimentaire.</w:t>
      </w:r>
      <w:r>
        <w:rPr>
          <w:spacing w:val="-4"/>
        </w:rPr>
        <w:t xml:space="preserve"> L’</w:t>
      </w:r>
      <w:r>
        <w:rPr>
          <w:rFonts w:eastAsia="Batang"/>
          <w:bCs/>
        </w:rPr>
        <w:t>Arrêté N°2009</w:t>
      </w:r>
      <w:r>
        <w:rPr>
          <w:bCs/>
        </w:rPr>
        <w:t>/045</w:t>
      </w:r>
      <w:r>
        <w:t>/MAHRH/CAB portant attributions et fonctionnement de la Direction générale des productions végétales en son article</w:t>
      </w:r>
      <w:r>
        <w:rPr>
          <w:bCs/>
        </w:rPr>
        <w:t xml:space="preserve"> 31, définit les missions de la DPVC. Celle-ci</w:t>
      </w:r>
      <w:r>
        <w:t xml:space="preserve"> est chargée </w:t>
      </w:r>
      <w:r>
        <w:t>de</w:t>
      </w:r>
      <w:r>
        <w:t>:</w:t>
      </w:r>
    </w:p>
    <w:p>
      <w:pPr>
        <w:pStyle w:val="style0"/>
        <w:numPr>
          <w:ilvl w:val="0"/>
          <w:numId w:val="110"/>
        </w:numPr>
        <w:spacing w:before="0" w:lineRule="auto" w:line="276"/>
        <w:ind w:left="221" w:hanging="221"/>
        <w:rPr>
          <w:szCs w:val="23"/>
        </w:rPr>
      </w:pPr>
      <w:r>
        <w:rPr>
          <w:szCs w:val="23"/>
        </w:rPr>
        <w:t xml:space="preserve"> définir et d’assurer la mise en œuvre des programmes et méthodes de gestion durable des nuisibles des végétaux et produits végétaux ;</w:t>
      </w:r>
    </w:p>
    <w:p>
      <w:pPr>
        <w:pStyle w:val="style0"/>
        <w:numPr>
          <w:ilvl w:val="0"/>
          <w:numId w:val="110"/>
        </w:numPr>
        <w:spacing w:before="0" w:lineRule="auto" w:line="276"/>
        <w:ind w:left="221" w:hanging="221"/>
        <w:rPr>
          <w:szCs w:val="23"/>
        </w:rPr>
      </w:pPr>
      <w:r>
        <w:rPr>
          <w:szCs w:val="23"/>
        </w:rPr>
        <w:t xml:space="preserve"> contribuer à l’élaboration et à la diffusion des normes de qualité </w:t>
      </w:r>
      <w:r>
        <w:rPr>
          <w:color w:val="000000"/>
          <w:szCs w:val="23"/>
        </w:rPr>
        <w:t>des produits soumis au contrôle ;</w:t>
      </w:r>
    </w:p>
    <w:p>
      <w:pPr>
        <w:pStyle w:val="style0"/>
        <w:numPr>
          <w:ilvl w:val="0"/>
          <w:numId w:val="110"/>
        </w:numPr>
        <w:spacing w:before="0" w:lineRule="auto" w:line="276"/>
        <w:ind w:left="221" w:hanging="221"/>
        <w:rPr>
          <w:szCs w:val="23"/>
        </w:rPr>
      </w:pPr>
      <w:r>
        <w:rPr>
          <w:szCs w:val="23"/>
        </w:rPr>
        <w:t>assurer la surveillance phytosanitaire des cultures et la lutte contre les fléaux (acridiens, oiseaux granivores, rongeurs, etc.) ;</w:t>
      </w:r>
    </w:p>
    <w:p>
      <w:pPr>
        <w:pStyle w:val="style0"/>
        <w:numPr>
          <w:ilvl w:val="0"/>
          <w:numId w:val="110"/>
        </w:numPr>
        <w:spacing w:before="0" w:lineRule="auto" w:line="276"/>
        <w:ind w:left="221" w:hanging="221"/>
        <w:rPr>
          <w:szCs w:val="23"/>
        </w:rPr>
      </w:pPr>
      <w:r>
        <w:rPr>
          <w:szCs w:val="23"/>
        </w:rPr>
        <w:t>assurer l’élaboration/l’actualisation et l’application des textes législatifs et réglementaires sur le contrôle phytosanitaire, la qualité des pesticides, à l’intérieur du territoire national, à l’importation, à l’exportation et au transit ;</w:t>
      </w:r>
    </w:p>
    <w:p>
      <w:pPr>
        <w:pStyle w:val="style0"/>
        <w:numPr>
          <w:ilvl w:val="0"/>
          <w:numId w:val="110"/>
        </w:numPr>
        <w:spacing w:before="0" w:lineRule="auto" w:line="276"/>
        <w:ind w:left="221" w:hanging="221"/>
        <w:rPr>
          <w:szCs w:val="23"/>
        </w:rPr>
      </w:pPr>
      <w:r>
        <w:rPr>
          <w:szCs w:val="23"/>
        </w:rPr>
        <w:t>assurer les activités de post-homologation des pesticides dont la toxicovigilance ;</w:t>
      </w:r>
    </w:p>
    <w:p>
      <w:pPr>
        <w:pStyle w:val="style0"/>
        <w:numPr>
          <w:ilvl w:val="0"/>
          <w:numId w:val="110"/>
        </w:numPr>
        <w:spacing w:before="0" w:lineRule="auto" w:line="276"/>
        <w:ind w:left="221" w:hanging="221"/>
        <w:rPr>
          <w:szCs w:val="23"/>
        </w:rPr>
      </w:pPr>
      <w:r>
        <w:rPr>
          <w:szCs w:val="23"/>
        </w:rPr>
        <w:t>assurer la formation, l’information et l’appui technique aux acteurs en matière de qualité et de protection des végétaux ;</w:t>
      </w:r>
    </w:p>
    <w:p>
      <w:pPr>
        <w:pStyle w:val="style0"/>
        <w:numPr>
          <w:ilvl w:val="0"/>
          <w:numId w:val="110"/>
        </w:numPr>
        <w:spacing w:before="0" w:lineRule="auto" w:line="276"/>
        <w:ind w:left="221" w:hanging="221"/>
        <w:rPr>
          <w:b/>
          <w:szCs w:val="23"/>
          <w:u w:val="single"/>
        </w:rPr>
      </w:pPr>
      <w:r>
        <w:rPr>
          <w:szCs w:val="23"/>
        </w:rPr>
        <w:t>assurer la coordination de tous les projets et programmes intervenant dans le domaine de la protection des végétaux au niveau national.</w:t>
      </w:r>
    </w:p>
    <w:p>
      <w:pPr>
        <w:pStyle w:val="style0"/>
        <w:rPr/>
      </w:pPr>
      <w:r>
        <w:t xml:space="preserve">Dans le cadre </w:t>
      </w:r>
      <w:r>
        <w:t>de l’élaboration du présent PGP</w:t>
      </w:r>
      <w:r>
        <w:t xml:space="preserve">, </w:t>
      </w:r>
      <w:r>
        <w:t>d</w:t>
      </w:r>
      <w:r>
        <w:t xml:space="preserve">es responsables de la DPVC </w:t>
      </w:r>
      <w:r>
        <w:t>ont été rencontres afin d’</w:t>
      </w:r>
      <w:r>
        <w:t xml:space="preserve">échanger sur la gestion des pesticides et l’évolution de la structure, avec notamment le mise en place de la CNGP en lieu et place de la CNCP. </w:t>
      </w:r>
    </w:p>
    <w:p>
      <w:pPr>
        <w:pStyle w:val="style0"/>
        <w:spacing w:lineRule="auto" w:line="276"/>
        <w:rPr>
          <w:sz w:val="23"/>
          <w:szCs w:val="23"/>
        </w:rPr>
      </w:pPr>
    </w:p>
    <w:bookmarkStart w:id="354" w:name="_Toc370185598"/>
    <w:bookmarkStart w:id="355" w:name="_Toc370409945"/>
    <w:p>
      <w:pPr>
        <w:pStyle w:val="style6"/>
        <w:numPr>
          <w:ilvl w:val="0"/>
          <w:numId w:val="67"/>
        </w:numPr>
        <w:spacing w:lineRule="auto" w:line="276"/>
        <w:jc w:val="both"/>
        <w:rPr>
          <w:sz w:val="23"/>
          <w:szCs w:val="23"/>
        </w:rPr>
      </w:pPr>
      <w:r>
        <w:rPr>
          <w:sz w:val="23"/>
          <w:szCs w:val="23"/>
        </w:rPr>
        <w:t xml:space="preserve">La Commission nationale de </w:t>
      </w:r>
      <w:r>
        <w:rPr>
          <w:sz w:val="23"/>
          <w:szCs w:val="23"/>
        </w:rPr>
        <w:t>gestion des pesticides (CNG</w:t>
      </w:r>
      <w:r>
        <w:rPr>
          <w:sz w:val="23"/>
          <w:szCs w:val="23"/>
        </w:rPr>
        <w:t>P)</w:t>
      </w:r>
      <w:bookmarkEnd w:id="354"/>
      <w:bookmarkEnd w:id="355"/>
    </w:p>
    <w:p>
      <w:pPr>
        <w:pStyle w:val="style0"/>
        <w:rPr>
          <w:shd w:val="clear" w:color="auto" w:fill="ffffff"/>
          <w:lang w:eastAsia="fr-FR"/>
        </w:rPr>
      </w:pPr>
      <w:r>
        <w:t xml:space="preserve">Avec l’adoption le 15 mai 2017 par l’assemblée nationale de la loi N°026-2017/AN portant contrôle de la gestion des pesticides au Burkina Faso et créant en son article 4 le comité national de gestion des pesticides (CNGP), la CNCP </w:t>
      </w:r>
      <w:r>
        <w:t>a cédé</w:t>
      </w:r>
      <w:r>
        <w:t xml:space="preserve"> sa place à la CNGP, et cela conformément aux engagements pris vis</w:t>
      </w:r>
      <w:r>
        <w:t>-</w:t>
      </w:r>
      <w:r>
        <w:t>à</w:t>
      </w:r>
      <w:r>
        <w:t>-</w:t>
      </w:r>
      <w:r>
        <w:t xml:space="preserve">vis de la CEDEAO. </w:t>
      </w:r>
      <w:r>
        <w:t xml:space="preserve">En </w:t>
      </w:r>
      <w:r>
        <w:t xml:space="preserve">juillet 2016, il a été procédé à l’installation de </w:t>
      </w:r>
      <w:r>
        <w:rPr>
          <w:shd w:val="clear" w:color="auto" w:fill="ffffff"/>
          <w:lang w:eastAsia="fr-FR"/>
        </w:rPr>
        <w:t>treize (13) centres régionaux de toxicovigilance des pesticides (CRTP), soit une par région administrative du Burkina Faso. Chaque CRTP est présidé par le Secrétaire Général de la Région</w:t>
      </w:r>
      <w:r>
        <w:rPr>
          <w:shd w:val="clear" w:color="auto" w:fill="ffffff"/>
          <w:lang w:eastAsia="fr-FR"/>
        </w:rPr>
        <w:t>, avec des démembrements jusqu’au niveau village pour une couverture nationale.</w:t>
      </w:r>
    </w:p>
    <w:p>
      <w:pPr>
        <w:pStyle w:val="style0"/>
        <w:rPr>
          <w:shd w:val="clear" w:color="auto" w:fill="ffffff"/>
          <w:lang w:eastAsia="fr-FR"/>
        </w:rPr>
      </w:pPr>
      <w:r>
        <w:rPr>
          <w:shd w:val="clear" w:color="auto" w:fill="ffffff"/>
          <w:lang w:eastAsia="fr-FR"/>
        </w:rPr>
        <w:t>La CNGP tient deux sessions ordinaire</w:t>
      </w:r>
      <w:r>
        <w:rPr>
          <w:shd w:val="clear" w:color="auto" w:fill="ffffff"/>
          <w:lang w:eastAsia="fr-FR"/>
        </w:rPr>
        <w:t>s</w:t>
      </w:r>
      <w:r>
        <w:rPr>
          <w:shd w:val="clear" w:color="auto" w:fill="ffffff"/>
          <w:lang w:eastAsia="fr-FR"/>
        </w:rPr>
        <w:t xml:space="preserve"> chaque année, le premier en juin et le second en décembre. En plus de ces sessions ordinaires, des sessions extraordinaires peuvent être tenue</w:t>
      </w:r>
      <w:r>
        <w:rPr>
          <w:shd w:val="clear" w:color="auto" w:fill="ffffff"/>
          <w:lang w:eastAsia="fr-FR"/>
        </w:rPr>
        <w:t>s</w:t>
      </w:r>
      <w:r>
        <w:rPr>
          <w:shd w:val="clear" w:color="auto" w:fill="ffffff"/>
          <w:lang w:eastAsia="fr-FR"/>
        </w:rPr>
        <w:t xml:space="preserve"> en cas de besoin. Le PDCA, pourrait appuyer la CNGP lors des sessions ou chaque fois que de besoin.</w:t>
      </w:r>
    </w:p>
    <w:p>
      <w:pPr>
        <w:pStyle w:val="style0"/>
        <w:spacing w:lineRule="auto" w:line="276"/>
        <w:rPr>
          <w:sz w:val="23"/>
          <w:szCs w:val="23"/>
        </w:rPr>
      </w:pPr>
    </w:p>
    <w:p>
      <w:pPr>
        <w:pStyle w:val="style6"/>
        <w:numPr>
          <w:ilvl w:val="0"/>
          <w:numId w:val="67"/>
        </w:numPr>
        <w:spacing w:lineRule="auto" w:line="276"/>
        <w:jc w:val="both"/>
        <w:rPr>
          <w:sz w:val="23"/>
          <w:szCs w:val="23"/>
        </w:rPr>
      </w:pPr>
      <w:r>
        <w:rPr>
          <w:sz w:val="23"/>
          <w:szCs w:val="23"/>
        </w:rPr>
        <w:t xml:space="preserve">La Direction </w:t>
      </w:r>
      <w:r>
        <w:rPr>
          <w:sz w:val="23"/>
          <w:szCs w:val="23"/>
        </w:rPr>
        <w:t>générale des aménagements hydrauliques et du développement de l’irrigation (DGAHDI) </w:t>
      </w:r>
    </w:p>
    <w:p>
      <w:pPr>
        <w:pStyle w:val="style0"/>
        <w:rPr/>
      </w:pPr>
      <w:r>
        <w:t>Le décret N°2016- 29</w:t>
      </w:r>
      <w:r>
        <w:rPr>
          <w:color w:val="54595e"/>
        </w:rPr>
        <w:t xml:space="preserve">3 </w:t>
      </w:r>
      <w:r>
        <w:t>IPRES/PM/M</w:t>
      </w:r>
      <w:r>
        <w:rPr>
          <w:color w:val="54595e"/>
        </w:rPr>
        <w:t>AA</w:t>
      </w:r>
      <w:r>
        <w:t>H du 28 avril 2016 po</w:t>
      </w:r>
      <w:r>
        <w:rPr>
          <w:color w:val="54595e"/>
        </w:rPr>
        <w:t>rt</w:t>
      </w:r>
      <w:r>
        <w:t>an</w:t>
      </w:r>
      <w:r>
        <w:rPr>
          <w:color w:val="54595e"/>
        </w:rPr>
        <w:t xml:space="preserve">t </w:t>
      </w:r>
      <w:r>
        <w:t>organisation du Ministère de l'Agriculture et des Aménagements Hydrauliques stipule en son article 62 que la DGAHDI a pour mission principale de concevoir, coordonner et suivre la mise en œuvre de la politique en matière d'aménagements hydrauliques, de développement de l'irrigation et de gestion durable des terres agricoles. A ce titre, elle dispose en</w:t>
      </w:r>
      <w:r>
        <w:t>tre</w:t>
      </w:r>
      <w:r>
        <w:t xml:space="preserve"> autre</w:t>
      </w:r>
      <w:r>
        <w:t>s</w:t>
      </w:r>
      <w:r>
        <w:t xml:space="preserve"> </w:t>
      </w:r>
      <w:r>
        <w:t>l</w:t>
      </w:r>
      <w:r>
        <w:t xml:space="preserve">es </w:t>
      </w:r>
      <w:r>
        <w:t>attributions suivantes :</w:t>
      </w:r>
    </w:p>
    <w:p>
      <w:pPr>
        <w:pStyle w:val="style179"/>
        <w:numPr>
          <w:ilvl w:val="0"/>
          <w:numId w:val="48"/>
        </w:numPr>
        <w:spacing w:lineRule="auto" w:line="276"/>
        <w:contextualSpacing/>
        <w:rPr>
          <w:color w:val="000000"/>
          <w:szCs w:val="23"/>
        </w:rPr>
      </w:pPr>
      <w:r>
        <w:rPr>
          <w:color w:val="000000"/>
          <w:szCs w:val="23"/>
        </w:rPr>
        <w:t>contribuer à l'élaboration et à la mise en œuvre de la politique nationale en matière d'aménagements hydrauliques et d'irrigation;</w:t>
      </w:r>
    </w:p>
    <w:p>
      <w:pPr>
        <w:pStyle w:val="style179"/>
        <w:numPr>
          <w:ilvl w:val="0"/>
          <w:numId w:val="48"/>
        </w:numPr>
        <w:spacing w:lineRule="auto" w:line="276"/>
        <w:contextualSpacing/>
        <w:rPr>
          <w:color w:val="000000"/>
          <w:szCs w:val="23"/>
        </w:rPr>
      </w:pPr>
      <w:r>
        <w:rPr>
          <w:color w:val="000000"/>
          <w:szCs w:val="23"/>
        </w:rPr>
        <w:t>contribuer à la formulation et au suivi de la mise en œuvre des projets et des programmes d'aménagements hydrauliques et de développement de la culture irriguée;</w:t>
      </w:r>
    </w:p>
    <w:p>
      <w:pPr>
        <w:pStyle w:val="style179"/>
        <w:numPr>
          <w:ilvl w:val="0"/>
          <w:numId w:val="48"/>
        </w:numPr>
        <w:spacing w:lineRule="auto" w:line="276"/>
        <w:contextualSpacing/>
        <w:rPr>
          <w:color w:val="000000"/>
          <w:szCs w:val="23"/>
        </w:rPr>
      </w:pPr>
      <w:r>
        <w:rPr>
          <w:color w:val="000000"/>
          <w:szCs w:val="23"/>
        </w:rPr>
        <w:t>mener toute étude de recherche-développement en matière d'aménagements hydrauliques et de l'irrigation;</w:t>
      </w:r>
    </w:p>
    <w:p>
      <w:pPr>
        <w:pStyle w:val="style179"/>
        <w:numPr>
          <w:ilvl w:val="0"/>
          <w:numId w:val="48"/>
        </w:numPr>
        <w:spacing w:lineRule="auto" w:line="276"/>
        <w:contextualSpacing/>
        <w:rPr>
          <w:color w:val="000000"/>
          <w:szCs w:val="23"/>
        </w:rPr>
      </w:pPr>
      <w:r>
        <w:rPr>
          <w:color w:val="000000"/>
          <w:szCs w:val="23"/>
        </w:rPr>
        <w:t>apporter l'appui-conseil aux collectivités territoriales et démembrements de l'Etat en matière de planification, de réalisation, d'entretien des aménagements hydrauliques et de maintenance des ouvrages et équipements d'irrigation;</w:t>
      </w:r>
    </w:p>
    <w:p>
      <w:pPr>
        <w:pStyle w:val="style179"/>
        <w:numPr>
          <w:ilvl w:val="0"/>
          <w:numId w:val="48"/>
        </w:numPr>
        <w:spacing w:lineRule="auto" w:line="276"/>
        <w:contextualSpacing/>
        <w:rPr>
          <w:color w:val="000000"/>
          <w:szCs w:val="23"/>
        </w:rPr>
      </w:pPr>
      <w:r>
        <w:rPr>
          <w:color w:val="000000"/>
          <w:szCs w:val="23"/>
        </w:rPr>
        <w:t>promouvoir l'utilisation des techniques et technologies d'irrigation;</w:t>
      </w:r>
    </w:p>
    <w:p>
      <w:pPr>
        <w:pStyle w:val="style179"/>
        <w:numPr>
          <w:ilvl w:val="0"/>
          <w:numId w:val="48"/>
        </w:numPr>
        <w:spacing w:lineRule="auto" w:line="276"/>
        <w:contextualSpacing/>
        <w:rPr>
          <w:color w:val="000000"/>
          <w:szCs w:val="23"/>
        </w:rPr>
      </w:pPr>
      <w:r>
        <w:rPr>
          <w:color w:val="000000"/>
          <w:szCs w:val="23"/>
        </w:rPr>
        <w:t>promouvoir la réalisation des petits ouvrages de mobilisation de l'eau à usage agricole;</w:t>
      </w:r>
    </w:p>
    <w:p>
      <w:pPr>
        <w:pStyle w:val="style179"/>
        <w:numPr>
          <w:ilvl w:val="0"/>
          <w:numId w:val="48"/>
        </w:numPr>
        <w:spacing w:lineRule="auto" w:line="276"/>
        <w:contextualSpacing/>
        <w:rPr>
          <w:color w:val="000000"/>
          <w:szCs w:val="23"/>
        </w:rPr>
      </w:pPr>
      <w:r>
        <w:rPr>
          <w:color w:val="000000"/>
          <w:szCs w:val="23"/>
        </w:rPr>
        <w:t>exécuter toute autre mission commandée par l'autorité compétent</w:t>
      </w:r>
      <w:r>
        <w:rPr>
          <w:color w:val="000000"/>
          <w:szCs w:val="23"/>
        </w:rPr>
        <w:t>e</w:t>
      </w:r>
      <w:r>
        <w:rPr>
          <w:color w:val="000000"/>
          <w:szCs w:val="23"/>
        </w:rPr>
        <w:t>.</w:t>
      </w:r>
    </w:p>
    <w:p>
      <w:pPr>
        <w:pStyle w:val="style179"/>
        <w:spacing w:lineRule="auto" w:line="276"/>
        <w:ind w:left="890"/>
        <w:rPr>
          <w:color w:val="000000"/>
          <w:sz w:val="23"/>
          <w:szCs w:val="23"/>
        </w:rPr>
      </w:pPr>
    </w:p>
    <w:p>
      <w:pPr>
        <w:pStyle w:val="style4"/>
        <w:numPr>
          <w:ilvl w:val="0"/>
          <w:numId w:val="0"/>
        </w:numPr>
        <w:ind w:left="860" w:hanging="860"/>
        <w:rPr/>
      </w:pPr>
      <w:r>
        <w:t>5.2.4.</w:t>
      </w:r>
      <w:r>
        <w:t>1.</w:t>
      </w:r>
      <w:r>
        <w:t>2.</w:t>
      </w:r>
      <w:r>
        <w:t xml:space="preserve"> Ministère</w:t>
      </w:r>
      <w:r>
        <w:t xml:space="preserve"> de l’environnement, de l’économie verte et du changement climatique (MEEVCC)</w:t>
      </w:r>
    </w:p>
    <w:p>
      <w:pPr>
        <w:pStyle w:val="style0"/>
        <w:rPr>
          <w:sz w:val="23"/>
          <w:szCs w:val="23"/>
        </w:rPr>
      </w:pPr>
      <w:r>
        <w:t>Il assure la mise en œuvre et le suivi de la politique du Gouvernement en matière d’environnement et d’assainissement du cadre de vie. Il comporte en son sein la direction générale de la préservation de l’environnement (DGPE) qui a pour mission,  la coordination de la mise en œuvre et du suivi de la politique nationale en matière d’amélioration du cadre de vie, d’éducation environnementale, de lutte contre les pollutions et nuisances diverses et d’aménagement</w:t>
      </w:r>
      <w:r>
        <w:rPr>
          <w:lang w:eastAsia="fr-FR"/>
        </w:rPr>
        <w:t xml:space="preserve"> paysager (Article 43 du décret </w:t>
      </w:r>
      <w:r>
        <w:t>N° 2016­383/PRES/ PM/MEEVCC du 20 mai 2016 portant organisation du Ministère de l’Environnement, de l’Economie Verte et du Changement Climatique)</w:t>
      </w:r>
      <w:r>
        <w:t xml:space="preserve">, </w:t>
      </w:r>
      <w:r>
        <w:rPr>
          <w:lang w:eastAsia="fr-FR"/>
        </w:rPr>
        <w:t>le Bureau National des Evaluations Environnementales (BUNEE)</w:t>
      </w:r>
      <w:r>
        <w:rPr>
          <w:lang w:eastAsia="fr-FR"/>
        </w:rPr>
        <w:t>.</w:t>
      </w:r>
      <w:r>
        <w:rPr>
          <w:lang w:eastAsia="fr-FR"/>
        </w:rPr>
        <w:t xml:space="preserve"> </w:t>
      </w:r>
      <w:r>
        <w:rPr>
          <w:lang w:eastAsia="fr-FR"/>
        </w:rPr>
        <w:t xml:space="preserve">Le BUNEE, </w:t>
      </w:r>
      <w:r>
        <w:rPr>
          <w:lang w:eastAsia="fr-FR"/>
        </w:rPr>
        <w:t xml:space="preserve">qui </w:t>
      </w:r>
      <w:r>
        <w:rPr>
          <w:lang w:eastAsia="fr-FR"/>
        </w:rPr>
        <w:t>assure</w:t>
      </w:r>
      <w:r>
        <w:rPr>
          <w:lang w:eastAsia="fr-FR"/>
        </w:rPr>
        <w:t xml:space="preserve"> </w:t>
      </w:r>
      <w:r>
        <w:rPr>
          <w:lang w:eastAsia="fr-FR"/>
        </w:rPr>
        <w:t>l’examen et l’approbation de la classification environnementale des projets</w:t>
      </w:r>
      <w:r>
        <w:rPr>
          <w:lang w:eastAsia="fr-FR"/>
        </w:rPr>
        <w:t xml:space="preserve"> et programmes</w:t>
      </w:r>
      <w:r>
        <w:rPr>
          <w:lang w:eastAsia="fr-FR"/>
        </w:rPr>
        <w:t xml:space="preserve"> ainsi que l’approbation des</w:t>
      </w:r>
      <w:r>
        <w:rPr>
          <w:lang w:eastAsia="fr-FR"/>
        </w:rPr>
        <w:t xml:space="preserve"> études </w:t>
      </w:r>
      <w:r>
        <w:rPr>
          <w:lang w:eastAsia="fr-FR"/>
        </w:rPr>
        <w:t xml:space="preserve">et </w:t>
      </w:r>
      <w:r>
        <w:rPr>
          <w:lang w:eastAsia="fr-FR"/>
        </w:rPr>
        <w:t xml:space="preserve">participe </w:t>
      </w:r>
      <w:r>
        <w:rPr>
          <w:lang w:eastAsia="fr-FR"/>
        </w:rPr>
        <w:t>à</w:t>
      </w:r>
      <w:r>
        <w:rPr>
          <w:lang w:eastAsia="fr-FR"/>
        </w:rPr>
        <w:t xml:space="preserve"> la surveillance</w:t>
      </w:r>
      <w:r>
        <w:rPr>
          <w:lang w:eastAsia="fr-FR"/>
        </w:rPr>
        <w:t>, notamment en ce qui concerne les pollutions et nuisances, et l’amélioration de l’habitat et du cadre de vie</w:t>
      </w:r>
      <w:r>
        <w:rPr>
          <w:lang w:eastAsia="fr-FR"/>
        </w:rPr>
        <w:t xml:space="preserve">, ainsi que </w:t>
      </w:r>
      <w:r>
        <w:rPr>
          <w:lang w:eastAsia="fr-FR"/>
        </w:rPr>
        <w:t>l’examen et l’approbation de la classification environnementale des projets</w:t>
      </w:r>
      <w:r>
        <w:rPr>
          <w:lang w:eastAsia="fr-FR"/>
        </w:rPr>
        <w:t xml:space="preserve"> et programmes. Ainsi, le BUNEE se</w:t>
      </w:r>
      <w:r>
        <w:rPr>
          <w:lang w:eastAsia="fr-FR"/>
        </w:rPr>
        <w:t>ra responsable de la validation des rapports</w:t>
      </w:r>
      <w:r>
        <w:rPr>
          <w:lang w:eastAsia="fr-FR"/>
        </w:rPr>
        <w:t xml:space="preserve"> et</w:t>
      </w:r>
      <w:r>
        <w:rPr>
          <w:lang w:eastAsia="fr-FR"/>
        </w:rPr>
        <w:t xml:space="preserve"> de la surveillance environnementale</w:t>
      </w:r>
      <w:r>
        <w:rPr>
          <w:lang w:eastAsia="fr-FR"/>
        </w:rPr>
        <w:t>.  De plus, le MEEVCC a des</w:t>
      </w:r>
      <w:r>
        <w:rPr>
          <w:lang w:eastAsia="fr-FR"/>
        </w:rPr>
        <w:t xml:space="preserve"> </w:t>
      </w:r>
      <w:r>
        <w:rPr>
          <w:lang w:eastAsia="fr-FR"/>
        </w:rPr>
        <w:t>directions régionales</w:t>
      </w:r>
      <w:r>
        <w:rPr>
          <w:lang w:eastAsia="fr-FR"/>
        </w:rPr>
        <w:t xml:space="preserve"> et</w:t>
      </w:r>
      <w:r>
        <w:rPr>
          <w:lang w:eastAsia="fr-FR"/>
        </w:rPr>
        <w:t xml:space="preserve"> provinciales</w:t>
      </w:r>
      <w:r>
        <w:rPr>
          <w:lang w:eastAsia="fr-FR"/>
        </w:rPr>
        <w:t xml:space="preserve"> concernées</w:t>
      </w:r>
      <w:r>
        <w:rPr>
          <w:lang w:eastAsia="fr-FR"/>
        </w:rPr>
        <w:t xml:space="preserve"> qui seront impliquées dans la mise en œuvre du programme. </w:t>
      </w:r>
    </w:p>
    <w:p>
      <w:pPr>
        <w:pStyle w:val="style0"/>
        <w:rPr/>
      </w:pPr>
      <w:r>
        <w:t>Concernant la gestion des conventions internationales, la DGPE tient lieu d’ancrage administratif pour la mise en œuvre des conventions suivantes :</w:t>
      </w:r>
    </w:p>
    <w:p>
      <w:pPr>
        <w:pStyle w:val="style179"/>
        <w:numPr>
          <w:ilvl w:val="0"/>
          <w:numId w:val="32"/>
        </w:numPr>
        <w:spacing w:lineRule="auto" w:line="276"/>
        <w:ind w:left="380" w:hanging="170"/>
        <w:rPr>
          <w:szCs w:val="23"/>
        </w:rPr>
      </w:pPr>
      <w:r>
        <w:rPr>
          <w:szCs w:val="23"/>
        </w:rPr>
        <w:t>la Convention de Stockholm sur les polluants organiques persistants (POP) ;</w:t>
      </w:r>
    </w:p>
    <w:p>
      <w:pPr>
        <w:pStyle w:val="style179"/>
        <w:numPr>
          <w:ilvl w:val="0"/>
          <w:numId w:val="32"/>
        </w:numPr>
        <w:spacing w:lineRule="auto" w:line="276"/>
        <w:ind w:left="380" w:hanging="170"/>
        <w:rPr>
          <w:szCs w:val="23"/>
        </w:rPr>
      </w:pPr>
      <w:r>
        <w:rPr>
          <w:szCs w:val="23"/>
        </w:rPr>
        <w:t>la Convention de Rotterdam sur la procédure de consentement préalable en connaissance de cause (PIC) applicable à certains produits chimiques et pesticides dangereux  qui font l’objet d’un commerce international ;</w:t>
      </w:r>
    </w:p>
    <w:p>
      <w:pPr>
        <w:pStyle w:val="style179"/>
        <w:numPr>
          <w:ilvl w:val="0"/>
          <w:numId w:val="32"/>
        </w:numPr>
        <w:spacing w:lineRule="auto" w:line="276"/>
        <w:ind w:left="380" w:hanging="170"/>
        <w:rPr>
          <w:szCs w:val="23"/>
        </w:rPr>
      </w:pPr>
      <w:r>
        <w:rPr>
          <w:szCs w:val="23"/>
        </w:rPr>
        <w:t>la Convention de Bâle sur le contrôle des mouvements transfrontières de déchets dangereux et de leur élimination </w:t>
      </w:r>
      <w:r>
        <w:rPr>
          <w:szCs w:val="23"/>
        </w:rPr>
        <w:t xml:space="preserve"> </w:t>
      </w:r>
      <w:r>
        <w:rPr>
          <w:szCs w:val="23"/>
        </w:rPr>
        <w:t>le Protocole de Montréal relatif aux substances qui appauvrissent la couche d’ozone.</w:t>
      </w:r>
    </w:p>
    <w:p>
      <w:pPr>
        <w:pStyle w:val="style0"/>
        <w:rPr/>
      </w:pPr>
      <w:r>
        <w:t xml:space="preserve">La DGPE dispose d’une direction, </w:t>
      </w:r>
      <w:r>
        <w:t>d’un</w:t>
      </w:r>
      <w:r>
        <w:t xml:space="preserve"> </w:t>
      </w:r>
      <w:r>
        <w:t>laboratoire d’analyse de la qualité de l’environnement (LAQE) et ses missions en matière de lutte contre les pollutions sont assurées par sa Direction de la prévention des risques environnementaux (DPRE).</w:t>
      </w:r>
    </w:p>
    <w:p>
      <w:pPr>
        <w:pStyle w:val="style0"/>
        <w:spacing w:lineRule="auto" w:line="276"/>
        <w:rPr>
          <w:sz w:val="23"/>
          <w:szCs w:val="23"/>
        </w:rPr>
      </w:pPr>
    </w:p>
    <w:p>
      <w:pPr>
        <w:pStyle w:val="style4"/>
        <w:numPr>
          <w:ilvl w:val="0"/>
          <w:numId w:val="0"/>
        </w:numPr>
        <w:ind w:left="860" w:hanging="860"/>
        <w:rPr/>
      </w:pPr>
      <w:r>
        <w:t>5.2.4.</w:t>
      </w:r>
      <w:r>
        <w:t>1.</w:t>
      </w:r>
      <w:r>
        <w:t xml:space="preserve">3. </w:t>
      </w:r>
      <w:r>
        <w:t>Ministère de la Santé</w:t>
      </w:r>
    </w:p>
    <w:p>
      <w:pPr>
        <w:pStyle w:val="style0"/>
        <w:rPr>
          <w:szCs w:val="23"/>
        </w:rPr>
      </w:pPr>
      <w:r>
        <w:t xml:space="preserve">En matière de gestion des pesticides, ce ministère a en charge entre autres le contrôle et l’analyse de la formulation et des résidus de pesticides dans l’environnement et dans les aliments. </w:t>
      </w:r>
      <w:r>
        <w:t xml:space="preserve">Ainsi, le LNSP qui relève de ce ministère, </w:t>
      </w:r>
      <w:r>
        <w:t xml:space="preserve">a en charge le contrôle et la qualité des produits, mais aussi de l’analyse des résidus dans l’environnement et dans les aliments. </w:t>
      </w:r>
    </w:p>
    <w:p>
      <w:pPr>
        <w:pStyle w:val="style0"/>
        <w:spacing w:lineRule="auto" w:line="276"/>
        <w:ind w:left="511"/>
        <w:jc w:val="left"/>
        <w:rPr>
          <w:sz w:val="23"/>
          <w:szCs w:val="23"/>
        </w:rPr>
      </w:pPr>
    </w:p>
    <w:p>
      <w:pPr>
        <w:pStyle w:val="style4"/>
        <w:numPr>
          <w:ilvl w:val="0"/>
          <w:numId w:val="0"/>
        </w:numPr>
        <w:ind w:left="860" w:hanging="860"/>
        <w:rPr/>
      </w:pPr>
      <w:r>
        <w:t>5.2.4.</w:t>
      </w:r>
      <w:r>
        <w:t>1.</w:t>
      </w:r>
      <w:r>
        <w:t xml:space="preserve">4. </w:t>
      </w:r>
      <w:r>
        <w:t>Ministère des ressources animales et halieutiques (MRAH)</w:t>
      </w:r>
    </w:p>
    <w:p>
      <w:pPr>
        <w:pStyle w:val="style0"/>
        <w:rPr/>
      </w:pPr>
      <w:r>
        <w:t xml:space="preserve">Ce ministère s’occupe de la santé animale qui requiert parfois l’utilisation de produits chimiques. </w:t>
      </w:r>
      <w:r>
        <w:t>De plus, l</w:t>
      </w:r>
      <w:r>
        <w:t xml:space="preserve">es activités envisagées dans le cadre du Programme se dérouleront essentiellement en milieu rural où est pratiqué l’élevage. </w:t>
      </w:r>
      <w:r>
        <w:t>L</w:t>
      </w:r>
      <w:r>
        <w:t>es directions générales du MRAH pouvant être impliquées dans la mise en œuvre du projet sont : la Direction Générale des Espaces et des Aménagements Pastoraux (DGEAP), la Direction Générale des Productions Animales (DGPA), la Direction Générale des Services Vétérinaires (DGSV) et la Direction Générale des Ressources Halieutiques(DGRH).</w:t>
      </w:r>
    </w:p>
    <w:p>
      <w:pPr>
        <w:pStyle w:val="style0"/>
        <w:rPr/>
      </w:pPr>
      <w:r>
        <w:t>Au niveau déconcentré, les directions régionales et provinciales ainsi que les ZATE dans les départements concernés, sont chargés chacun en ce qui concerne son niveau de compétence de traduire en réalité, la politique du pays dans ce domaine.</w:t>
      </w:r>
    </w:p>
    <w:p>
      <w:pPr>
        <w:pStyle w:val="style0"/>
        <w:spacing w:after="120"/>
        <w:rPr>
          <w:sz w:val="22"/>
          <w:szCs w:val="22"/>
        </w:rPr>
      </w:pPr>
    </w:p>
    <w:p>
      <w:pPr>
        <w:pStyle w:val="style4"/>
        <w:numPr>
          <w:ilvl w:val="0"/>
          <w:numId w:val="0"/>
        </w:numPr>
        <w:ind w:left="860" w:hanging="860"/>
        <w:rPr/>
      </w:pPr>
      <w:r>
        <w:t>5.2.4.</w:t>
      </w:r>
      <w:r>
        <w:t>1.</w:t>
      </w:r>
      <w:r>
        <w:t xml:space="preserve">5. </w:t>
      </w:r>
      <w:r>
        <w:t>Ministère de l’eau et de l’assainissement (MEA)</w:t>
      </w:r>
    </w:p>
    <w:p>
      <w:pPr>
        <w:pStyle w:val="style0"/>
        <w:rPr/>
      </w:pPr>
      <w:r>
        <w:t>Au sein de ce ministère, et conformément au décret N° 2015-416/PRES-TRANS/PM/MARHASA du 30 mars 2015 portant organisation du Ministère de l’Agriculture, des Ressources Hydrauliques, de l’Assainissement et de la Sécurité Alimentaire, la Direction générale des ressources en eau (DGRE) a pour principale mission d’élaborer et de suivre la mise en œuvre des politiques et stratégies nationales dans le domaine de l’eau, en relation avec les structures du département, les autres ministères, les collectivités territoriales, les organismes de la société civile et les autres acteurs. A ce titre, elle est chargée en</w:t>
      </w:r>
      <w:r>
        <w:t>tre</w:t>
      </w:r>
      <w:r>
        <w:t xml:space="preserve"> autre</w:t>
      </w:r>
      <w:r>
        <w:t>s de</w:t>
      </w:r>
      <w:r>
        <w:t xml:space="preserve"> :</w:t>
      </w:r>
    </w:p>
    <w:p>
      <w:pPr>
        <w:pStyle w:val="style179"/>
        <w:numPr>
          <w:ilvl w:val="0"/>
          <w:numId w:val="80"/>
        </w:numPr>
        <w:spacing w:lineRule="auto" w:line="276"/>
        <w:contextualSpacing/>
        <w:rPr>
          <w:szCs w:val="23"/>
        </w:rPr>
      </w:pPr>
      <w:r>
        <w:rPr>
          <w:szCs w:val="23"/>
        </w:rPr>
        <w:t>contribuer à l’élaboration et à la mise en œuvre de la politique nationale de l’eau et les politiques sectorielles en matière de gestion intégrée des ressources en eau, tant au plan national que transfrontalier, de mobilisation de la ressource en eau et d’approvisionnement en eau potable ;</w:t>
      </w:r>
    </w:p>
    <w:p>
      <w:pPr>
        <w:pStyle w:val="style179"/>
        <w:numPr>
          <w:ilvl w:val="0"/>
          <w:numId w:val="80"/>
        </w:numPr>
        <w:spacing w:lineRule="auto" w:line="276"/>
        <w:contextualSpacing/>
        <w:rPr>
          <w:szCs w:val="23"/>
        </w:rPr>
      </w:pPr>
      <w:r>
        <w:rPr>
          <w:szCs w:val="23"/>
        </w:rPr>
        <w:t>mettre en place et promouvoir au niveau national un système d’information et de monitoring sur l’eau, des usages, des risques liés à l’eau et des besoins en eau de l’environnement ;</w:t>
      </w:r>
    </w:p>
    <w:p>
      <w:pPr>
        <w:pStyle w:val="style179"/>
        <w:numPr>
          <w:ilvl w:val="0"/>
          <w:numId w:val="80"/>
        </w:numPr>
        <w:spacing w:lineRule="auto" w:line="276"/>
        <w:contextualSpacing/>
        <w:rPr>
          <w:szCs w:val="23"/>
        </w:rPr>
      </w:pPr>
      <w:r>
        <w:rPr>
          <w:szCs w:val="23"/>
        </w:rPr>
        <w:t>assurer la mobilisation de la ressource en eau pour tous les usages ;</w:t>
      </w:r>
    </w:p>
    <w:p>
      <w:pPr>
        <w:pStyle w:val="style179"/>
        <w:numPr>
          <w:ilvl w:val="0"/>
          <w:numId w:val="80"/>
        </w:numPr>
        <w:spacing w:lineRule="auto" w:line="276"/>
        <w:contextualSpacing/>
        <w:rPr>
          <w:szCs w:val="23"/>
        </w:rPr>
      </w:pPr>
      <w:r>
        <w:rPr>
          <w:szCs w:val="23"/>
        </w:rPr>
        <w:t>assurer le suivi et la supervision des travaux de réalisation, d’entretien et de réhabilitation des ouvrages hydrauliques ;</w:t>
      </w:r>
    </w:p>
    <w:p>
      <w:pPr>
        <w:pStyle w:val="style179"/>
        <w:numPr>
          <w:ilvl w:val="0"/>
          <w:numId w:val="80"/>
        </w:numPr>
        <w:spacing w:lineRule="auto" w:line="276"/>
        <w:contextualSpacing/>
        <w:rPr>
          <w:szCs w:val="23"/>
        </w:rPr>
      </w:pPr>
      <w:r>
        <w:rPr>
          <w:szCs w:val="23"/>
        </w:rPr>
        <w:t>suivre et contrôler la qualité des ressources en eau ;</w:t>
      </w:r>
    </w:p>
    <w:p>
      <w:pPr>
        <w:pStyle w:val="style179"/>
        <w:numPr>
          <w:ilvl w:val="0"/>
          <w:numId w:val="80"/>
        </w:numPr>
        <w:spacing w:lineRule="auto" w:line="276"/>
        <w:contextualSpacing/>
        <w:rPr>
          <w:szCs w:val="23"/>
        </w:rPr>
      </w:pPr>
      <w:r>
        <w:rPr>
          <w:szCs w:val="23"/>
        </w:rPr>
        <w:t>capitaliser et harmoniser l’ensemble des données et informations nécessaires au suivi et à la mise en œuvre de la politique nationale de l’eau ;</w:t>
      </w:r>
    </w:p>
    <w:p>
      <w:pPr>
        <w:pStyle w:val="style179"/>
        <w:numPr>
          <w:ilvl w:val="0"/>
          <w:numId w:val="80"/>
        </w:numPr>
        <w:spacing w:lineRule="auto" w:line="276"/>
        <w:contextualSpacing/>
        <w:rPr>
          <w:szCs w:val="23"/>
        </w:rPr>
      </w:pPr>
      <w:r>
        <w:rPr>
          <w:szCs w:val="23"/>
        </w:rPr>
        <w:t>mettre en place et assurer le fonctionnement de la police de l’eau ;</w:t>
      </w:r>
    </w:p>
    <w:p>
      <w:pPr>
        <w:pStyle w:val="style179"/>
        <w:numPr>
          <w:ilvl w:val="0"/>
          <w:numId w:val="80"/>
        </w:numPr>
        <w:spacing w:lineRule="auto" w:line="276"/>
        <w:contextualSpacing/>
        <w:rPr>
          <w:szCs w:val="23"/>
        </w:rPr>
      </w:pPr>
      <w:r>
        <w:rPr>
          <w:szCs w:val="23"/>
        </w:rPr>
        <w:t>élaborer les éléments de création d’un environnement juridique, économique, financier et fiscal favorable à la promotion et au développement durable des usages de l’eau et à sa protection ;</w:t>
      </w:r>
    </w:p>
    <w:p>
      <w:pPr>
        <w:pStyle w:val="style179"/>
        <w:numPr>
          <w:ilvl w:val="0"/>
          <w:numId w:val="80"/>
        </w:numPr>
        <w:spacing w:lineRule="auto" w:line="276"/>
        <w:contextualSpacing/>
        <w:rPr>
          <w:szCs w:val="23"/>
        </w:rPr>
      </w:pPr>
      <w:r>
        <w:rPr>
          <w:szCs w:val="23"/>
        </w:rPr>
        <w:t>contribuer à la formulation et au suivi de la mise en œuvre des projets et programmes nationaux de développement des ressources en eau ;</w:t>
      </w:r>
    </w:p>
    <w:p>
      <w:pPr>
        <w:pStyle w:val="style179"/>
        <w:numPr>
          <w:ilvl w:val="0"/>
          <w:numId w:val="80"/>
        </w:numPr>
        <w:spacing w:lineRule="auto" w:line="276"/>
        <w:contextualSpacing/>
        <w:rPr>
          <w:szCs w:val="23"/>
        </w:rPr>
      </w:pPr>
      <w:r>
        <w:rPr>
          <w:szCs w:val="23"/>
        </w:rPr>
        <w:t>exécuter toutes autres missions assignées par la hiérarchie…</w:t>
      </w:r>
    </w:p>
    <w:p>
      <w:pPr>
        <w:pStyle w:val="style0"/>
        <w:rPr>
          <w:lang w:eastAsia="fr-FR"/>
        </w:rPr>
      </w:pPr>
      <w:r>
        <w:rPr>
          <w:lang w:eastAsia="fr-FR"/>
        </w:rPr>
        <w:t xml:space="preserve">En sus, et </w:t>
      </w:r>
      <w:r>
        <w:rPr>
          <w:shd w:val="clear" w:color="auto" w:fill="ffffff"/>
          <w:lang w:eastAsia="fr-FR"/>
        </w:rPr>
        <w:t>conformément à l'article N°29 du décret N°2002-317/PRES/PM/MAHRH du 02/08/2002 portant organisation du Ministère de l'Agriculture, de l'Hydraulique et des Ressources Halieutiques, la Direction Générale de l'Hydraulique Agricole (DGHA) est chargée de définir et de veiller à la mise en œuvre de toute la politique nationale en matière de valorisation de la ressource eau pour la production agricole, pastorale, halieutique, énergétique et environnementale.</w:t>
      </w:r>
      <w:r>
        <w:rPr>
          <w:lang w:eastAsia="fr-FR"/>
        </w:rPr>
        <w:t xml:space="preserve"> Dans ce sens, </w:t>
      </w:r>
      <w:r>
        <w:rPr>
          <w:lang w:eastAsia="fr-FR"/>
        </w:rPr>
        <w:t>elle</w:t>
      </w:r>
      <w:r>
        <w:rPr>
          <w:lang w:eastAsia="fr-FR"/>
        </w:rPr>
        <w:t xml:space="preserve"> </w:t>
      </w:r>
      <w:r>
        <w:rPr>
          <w:lang w:eastAsia="fr-FR"/>
        </w:rPr>
        <w:t>est chargé</w:t>
      </w:r>
      <w:r>
        <w:rPr>
          <w:lang w:eastAsia="fr-FR"/>
        </w:rPr>
        <w:t>e</w:t>
      </w:r>
      <w:r>
        <w:rPr>
          <w:lang w:eastAsia="fr-FR"/>
        </w:rPr>
        <w:t> </w:t>
      </w:r>
      <w:r>
        <w:rPr>
          <w:lang w:eastAsia="fr-FR"/>
        </w:rPr>
        <w:t>de</w:t>
      </w:r>
      <w:r>
        <w:rPr>
          <w:lang w:eastAsia="fr-FR"/>
        </w:rPr>
        <w:t xml:space="preserve">: </w:t>
      </w:r>
    </w:p>
    <w:p>
      <w:pPr>
        <w:pStyle w:val="style179"/>
        <w:numPr>
          <w:ilvl w:val="0"/>
          <w:numId w:val="13"/>
        </w:numPr>
        <w:spacing w:lineRule="auto" w:line="276"/>
        <w:ind w:left="470" w:hanging="357"/>
        <w:contextualSpacing/>
        <w:rPr>
          <w:szCs w:val="23"/>
          <w:lang w:eastAsia="fr-FR"/>
        </w:rPr>
      </w:pPr>
      <w:r>
        <w:rPr>
          <w:szCs w:val="23"/>
          <w:lang w:eastAsia="fr-FR"/>
        </w:rPr>
        <w:t xml:space="preserve"> mener toutes études visant à réorienter la politique nationale en matière d’hydraulique agricole ;</w:t>
      </w:r>
    </w:p>
    <w:p>
      <w:pPr>
        <w:pStyle w:val="style179"/>
        <w:numPr>
          <w:ilvl w:val="0"/>
          <w:numId w:val="13"/>
        </w:numPr>
        <w:spacing w:lineRule="auto" w:line="276"/>
        <w:ind w:left="470" w:hanging="357"/>
        <w:contextualSpacing/>
        <w:rPr>
          <w:szCs w:val="23"/>
          <w:lang w:eastAsia="fr-FR"/>
        </w:rPr>
      </w:pPr>
      <w:r>
        <w:rPr>
          <w:szCs w:val="23"/>
          <w:lang w:eastAsia="fr-FR"/>
        </w:rPr>
        <w:t xml:space="preserve"> concevoir, de réaliser et de gérer les aménagements hydrauliques ;</w:t>
      </w:r>
    </w:p>
    <w:p>
      <w:pPr>
        <w:pStyle w:val="style179"/>
        <w:numPr>
          <w:ilvl w:val="0"/>
          <w:numId w:val="13"/>
        </w:numPr>
        <w:spacing w:lineRule="auto" w:line="276"/>
        <w:ind w:left="470" w:hanging="357"/>
        <w:contextualSpacing/>
        <w:rPr>
          <w:szCs w:val="23"/>
          <w:lang w:eastAsia="fr-FR"/>
        </w:rPr>
      </w:pPr>
      <w:r>
        <w:rPr>
          <w:szCs w:val="23"/>
          <w:lang w:eastAsia="fr-FR"/>
        </w:rPr>
        <w:t>assurer l’évaluation et le suivi des performances de l’agriculture irriguée et des aménagements hydro-agricoles, des équipements et infrastructures d’accompagnement ainsi que leur impact sur la lutte contre la pauvreté ;</w:t>
      </w:r>
    </w:p>
    <w:p>
      <w:pPr>
        <w:pStyle w:val="style179"/>
        <w:numPr>
          <w:ilvl w:val="0"/>
          <w:numId w:val="13"/>
        </w:numPr>
        <w:spacing w:lineRule="auto" w:line="276"/>
        <w:ind w:left="470" w:hanging="357"/>
        <w:contextualSpacing/>
        <w:rPr>
          <w:szCs w:val="23"/>
          <w:lang w:eastAsia="fr-FR"/>
        </w:rPr>
      </w:pPr>
      <w:r>
        <w:rPr>
          <w:szCs w:val="23"/>
          <w:lang w:eastAsia="fr-FR"/>
        </w:rPr>
        <w:t>assurer l’évaluation et le suivi des potentiels aménageables, irrigables, en terre, en eau et leur adéquation ;</w:t>
      </w:r>
    </w:p>
    <w:p>
      <w:pPr>
        <w:pStyle w:val="style179"/>
        <w:numPr>
          <w:ilvl w:val="0"/>
          <w:numId w:val="13"/>
        </w:numPr>
        <w:spacing w:lineRule="auto" w:line="276"/>
        <w:ind w:left="470" w:hanging="357"/>
        <w:contextualSpacing/>
        <w:rPr>
          <w:szCs w:val="23"/>
          <w:lang w:eastAsia="fr-FR"/>
        </w:rPr>
      </w:pPr>
      <w:r>
        <w:rPr>
          <w:szCs w:val="23"/>
          <w:lang w:eastAsia="fr-FR"/>
        </w:rPr>
        <w:t xml:space="preserve"> concevoir et gérer les aménagements hydro-agricoles ;</w:t>
      </w:r>
    </w:p>
    <w:p>
      <w:pPr>
        <w:pStyle w:val="style179"/>
        <w:numPr>
          <w:ilvl w:val="0"/>
          <w:numId w:val="13"/>
        </w:numPr>
        <w:spacing w:lineRule="auto" w:line="276"/>
        <w:ind w:left="470" w:hanging="357"/>
        <w:contextualSpacing/>
        <w:rPr>
          <w:szCs w:val="23"/>
          <w:lang w:eastAsia="fr-FR"/>
        </w:rPr>
      </w:pPr>
      <w:r>
        <w:rPr>
          <w:szCs w:val="23"/>
          <w:lang w:eastAsia="fr-FR"/>
        </w:rPr>
        <w:t>élaborer, de suivre et accompagner l’application de la législation, de la réglementation et de la normalisation en matière d’hydraulique agricole …</w:t>
      </w:r>
    </w:p>
    <w:p>
      <w:pPr>
        <w:pStyle w:val="style0"/>
        <w:spacing w:lineRule="auto" w:line="276"/>
        <w:rPr>
          <w:sz w:val="23"/>
          <w:szCs w:val="23"/>
        </w:rPr>
      </w:pPr>
    </w:p>
    <w:bookmarkStart w:id="356" w:name="_Toc222305937"/>
    <w:bookmarkStart w:id="357" w:name="_Toc385280080"/>
    <w:bookmarkStart w:id="358" w:name="_Toc412731867"/>
    <w:bookmarkStart w:id="359" w:name="_Toc412732251"/>
    <w:bookmarkStart w:id="360" w:name="_Toc458331314"/>
    <w:bookmarkStart w:id="361" w:name="_Toc462221557"/>
    <w:bookmarkStart w:id="362" w:name="_Toc514190137"/>
    <w:p>
      <w:pPr>
        <w:pStyle w:val="style4"/>
        <w:numPr>
          <w:ilvl w:val="0"/>
          <w:numId w:val="0"/>
        </w:numPr>
        <w:rPr>
          <w:sz w:val="22"/>
          <w:szCs w:val="22"/>
        </w:rPr>
      </w:pPr>
      <w:r>
        <w:rPr>
          <w:rStyle w:val="style4176"/>
          <w:sz w:val="23"/>
          <w:szCs w:val="23"/>
        </w:rPr>
        <w:t>5.2.4.</w:t>
      </w:r>
      <w:r>
        <w:rPr>
          <w:rStyle w:val="style4176"/>
          <w:sz w:val="23"/>
          <w:szCs w:val="23"/>
        </w:rPr>
        <w:t>1.</w:t>
      </w:r>
      <w:r>
        <w:rPr>
          <w:rStyle w:val="style4176"/>
          <w:sz w:val="23"/>
          <w:szCs w:val="23"/>
        </w:rPr>
        <w:t>6.</w:t>
      </w:r>
      <w:bookmarkStart w:id="363" w:name="_Toc686103"/>
      <w:bookmarkEnd w:id="356"/>
      <w:bookmarkEnd w:id="357"/>
      <w:bookmarkEnd w:id="358"/>
      <w:bookmarkEnd w:id="359"/>
      <w:bookmarkEnd w:id="360"/>
      <w:bookmarkEnd w:id="361"/>
      <w:bookmarkEnd w:id="362"/>
      <w:r>
        <w:rPr>
          <w:rStyle w:val="style4176"/>
          <w:sz w:val="23"/>
          <w:szCs w:val="23"/>
        </w:rPr>
        <w:t xml:space="preserve"> </w:t>
      </w:r>
      <w:r>
        <w:rPr>
          <w:sz w:val="22"/>
          <w:szCs w:val="22"/>
        </w:rPr>
        <w:t xml:space="preserve">Ministère l’Enseignement Supérieur, de la Recherche Scientifique et de </w:t>
      </w:r>
      <w:r>
        <w:rPr>
          <w:sz w:val="22"/>
          <w:szCs w:val="22"/>
        </w:rPr>
        <w:t>l’</w:t>
      </w:r>
      <w:r>
        <w:rPr>
          <w:sz w:val="22"/>
          <w:szCs w:val="22"/>
        </w:rPr>
        <w:t>Innovation (MESRI)</w:t>
      </w:r>
    </w:p>
    <w:p>
      <w:pPr>
        <w:pStyle w:val="style0"/>
        <w:rPr/>
      </w:pPr>
      <w:r>
        <w:t xml:space="preserve">Ce ministère constitue un acteur </w:t>
      </w:r>
      <w:r>
        <w:t xml:space="preserve">important </w:t>
      </w:r>
      <w:r>
        <w:t>dans le cadre de la mise en œ</w:t>
      </w:r>
      <w:r>
        <w:t>uvre du Programme ce, à travers</w:t>
      </w:r>
      <w:r>
        <w:t xml:space="preserve"> ses structures de recherche de référence avec les producteurs et/ou les transformateurs ou transformatrices dans le domaine agro-sylvo-pastoral (technologies de production ou de transformation des produits, etc.) sur le plan national. Il s’agit de l’Institut de l’Environnement et des Recherches Agricoles (INERA) et de l’Institut de Recherche en Sciences Appliquées et Technologies (IR</w:t>
      </w:r>
      <w:r>
        <w:t xml:space="preserve">SAT), qui pourront mettre à la </w:t>
      </w:r>
      <w:r>
        <w:t>disposition du Programme des variétés plus performantes et plus productives et des technologies de production et transformation des produits.</w:t>
      </w:r>
      <w:bookmarkEnd w:id="363"/>
    </w:p>
    <w:bookmarkStart w:id="364" w:name="_Toc2831216"/>
    <w:p>
      <w:pPr>
        <w:pStyle w:val="style3"/>
        <w:rPr/>
      </w:pPr>
      <w:r>
        <w:t xml:space="preserve">5.2.4.2. </w:t>
      </w:r>
      <w:r>
        <w:t>Collectivités territoriales</w:t>
      </w:r>
      <w:bookmarkEnd w:id="364"/>
      <w:r>
        <w:t xml:space="preserve"> </w:t>
      </w:r>
    </w:p>
    <w:p>
      <w:pPr>
        <w:pStyle w:val="style0"/>
        <w:rPr/>
      </w:pPr>
      <w:r>
        <w:t>Les collectivités territoriales selon les zones de couverture du Programme, seront impliquées dans la mise en œuvre des sous-projets du PDCA. Leur concours sera requis dans la conduite des tâches suivantes sur le terrain :</w:t>
      </w:r>
    </w:p>
    <w:p>
      <w:pPr>
        <w:pStyle w:val="style179"/>
        <w:numPr>
          <w:ilvl w:val="0"/>
          <w:numId w:val="93"/>
        </w:numPr>
        <w:rPr/>
      </w:pPr>
      <w:r>
        <w:t>mise en place et application de procédures formelles relatives à l'acquisition et l'occupation des terrains par les sous-projets ;</w:t>
      </w:r>
    </w:p>
    <w:p>
      <w:pPr>
        <w:pStyle w:val="style179"/>
        <w:numPr>
          <w:ilvl w:val="0"/>
          <w:numId w:val="93"/>
        </w:numPr>
        <w:rPr/>
      </w:pPr>
      <w:r>
        <w:t>diffusion de l’information sur le Programme et les mesures de sauvegarde environnementales et sociales (PGES et PAR) ;</w:t>
      </w:r>
    </w:p>
    <w:p>
      <w:pPr>
        <w:pStyle w:val="style179"/>
        <w:numPr>
          <w:ilvl w:val="0"/>
          <w:numId w:val="93"/>
        </w:numPr>
        <w:rPr/>
      </w:pPr>
      <w:r>
        <w:t>mobilisation sociale</w:t>
      </w:r>
      <w:r>
        <w:rPr>
          <w:color w:val="ff0000"/>
        </w:rPr>
        <w:t xml:space="preserve"> </w:t>
      </w:r>
      <w:r>
        <w:t>pour la contribution effective et l’engagement des populations ;</w:t>
      </w:r>
    </w:p>
    <w:p>
      <w:pPr>
        <w:pStyle w:val="style179"/>
        <w:numPr>
          <w:ilvl w:val="0"/>
          <w:numId w:val="93"/>
        </w:numPr>
        <w:rPr/>
      </w:pPr>
      <w:r>
        <w:t>identification des bénéficiaires des parcelles irriguées;</w:t>
      </w:r>
    </w:p>
    <w:p>
      <w:pPr>
        <w:pStyle w:val="style179"/>
        <w:numPr>
          <w:ilvl w:val="0"/>
          <w:numId w:val="93"/>
        </w:numPr>
        <w:rPr/>
      </w:pPr>
      <w:r>
        <w:t>suivi-évaluation ;</w:t>
      </w:r>
    </w:p>
    <w:p>
      <w:pPr>
        <w:pStyle w:val="style179"/>
        <w:numPr>
          <w:ilvl w:val="0"/>
          <w:numId w:val="93"/>
        </w:numPr>
        <w:rPr/>
      </w:pPr>
      <w:r>
        <w:t>recueil et résolution des plaintes à travers les structures habilitées.</w:t>
      </w:r>
    </w:p>
    <w:p>
      <w:pPr>
        <w:pStyle w:val="style179"/>
        <w:numPr>
          <w:ilvl w:val="0"/>
          <w:numId w:val="93"/>
        </w:numPr>
        <w:rPr/>
      </w:pPr>
      <w:r>
        <w:t>Outre la sécurisation foncière, les collectivités territoriales participeront aux instances d’orientation du Programme.</w:t>
      </w:r>
    </w:p>
    <w:bookmarkStart w:id="365" w:name="_Toc2831217"/>
    <w:p>
      <w:pPr>
        <w:pStyle w:val="style3"/>
        <w:rPr/>
      </w:pPr>
      <w:r>
        <w:t xml:space="preserve">5.2.4.3. Chambres d’agricultures, Organisations faîtières et </w:t>
      </w:r>
      <w:r>
        <w:t>Organisations des Producteurs</w:t>
      </w:r>
      <w:bookmarkEnd w:id="365"/>
    </w:p>
    <w:p>
      <w:pPr>
        <w:pStyle w:val="style0"/>
        <w:rPr/>
      </w:pPr>
      <w:r>
        <w:t>Conscientes de leur rôle dans l’encadrement, le conseil et le renforcement des capacités des acteurs du monde rural dans le but d’améliorer les performances de la mise en œuvre des projets et programmes, ces différentes structures occupent une place de choix dans ce dispositif institutionnel du pro</w:t>
      </w:r>
      <w:r>
        <w:t>gramme</w:t>
      </w:r>
      <w:r>
        <w:t>. Organisées tant au plan national que local et présentes dans tous les secteurs d’activités, les structures regroupant les producteurs interviennent aussi dans la mobilisation, l’organisation en filière, l’appréciation des activités et la protection des producteurs.</w:t>
      </w:r>
    </w:p>
    <w:p>
      <w:pPr>
        <w:pStyle w:val="style0"/>
        <w:rPr>
          <w:rFonts w:eastAsia="Calibri"/>
        </w:rPr>
      </w:pPr>
      <w:r>
        <w:t>Il s’agit au niveau national de la Chambre Nationale d’Agriculture (CNA) et au niveau déconcentré, des Chambres Régionales d’Agriculture (CRA) dans leur</w:t>
      </w:r>
      <w:r>
        <w:rPr>
          <w:b/>
          <w:bCs/>
        </w:rPr>
        <w:t xml:space="preserve"> </w:t>
      </w:r>
      <w:r>
        <w:t>rôle de maître d’ouvrage délégué dans le cadre de la mise en œuvre des activités d’appui-conseil dans le cadre du Programme. Il y a également les organisations des producteurs qui accomplissent un rôle plus actif dans le transfert de technologies et la mise en marché des produits agricoles.</w:t>
      </w:r>
      <w:r>
        <w:t xml:space="preserve"> </w:t>
      </w:r>
      <w:r>
        <w:t>Le Programme s’appuiera au niveau local sur les organisations professionnelles des producteurs dont les groupements mis en place pour la production agrosylvopastorale.</w:t>
      </w:r>
    </w:p>
    <w:bookmarkStart w:id="366" w:name="_Toc2831218"/>
    <w:p>
      <w:pPr>
        <w:pStyle w:val="style3"/>
        <w:rPr/>
      </w:pPr>
      <w:r>
        <w:t>5.2.4.4. Organisations Non Gouvernementales (ONG) et Associations</w:t>
      </w:r>
      <w:bookmarkEnd w:id="366"/>
      <w:r>
        <w:t xml:space="preserve"> </w:t>
      </w:r>
    </w:p>
    <w:p>
      <w:pPr>
        <w:pStyle w:val="style0"/>
        <w:rPr/>
      </w:pPr>
      <w:r>
        <w:t xml:space="preserve">Ces organisations non gouvernementales </w:t>
      </w:r>
      <w:r>
        <w:t xml:space="preserve">et celles de la société civile </w:t>
      </w:r>
      <w:r>
        <w:t>sont des partenaires de choix du Programme. En effet, elles interviennent pour outiller le plus souvent les bénéficiaires du projet, lui permettant ainsi d’avoir plus d’impacts dans sa mise en œuvre. Que ce soit dans la production végétale, de l’irrigation ou de gestion environnementale, il existe de nombreuses ONG et associations tant au niveau national que local qui y interviennent et qui sont de véritables partenaires de mobilisation et de suivi de proximité des activités.</w:t>
      </w:r>
    </w:p>
    <w:bookmarkStart w:id="367" w:name="_Toc2831219"/>
    <w:p>
      <w:pPr>
        <w:pStyle w:val="style3"/>
        <w:rPr/>
      </w:pPr>
      <w:r>
        <w:t>5.2.4.5. Laboratoires d’analyse</w:t>
      </w:r>
      <w:bookmarkEnd w:id="367"/>
      <w:r>
        <w:t xml:space="preserve"> </w:t>
      </w:r>
    </w:p>
    <w:p>
      <w:pPr>
        <w:pStyle w:val="style0"/>
        <w:rPr>
          <w:i/>
        </w:rPr>
      </w:pPr>
      <w:r>
        <w:t xml:space="preserve">Le suivi de la qualité des eaux des cours et plans à partir desquelles l’irrigation des périmètres est </w:t>
      </w:r>
      <w:r>
        <w:t>faite, s’impose au PDCA. Il en est de même pour ce qui est du sol, des aliments et des produits maraichers. C’est donc dire que des laboratoires seront sollicités pour des travaux de contrôle et d’analyse en vue d’un suivi environnemental et sanitaire des activités du projet. Parmi ces laboratoires, on peut citer, le L</w:t>
      </w:r>
      <w:r>
        <w:t>NSP, le LAQE, le Bureau National des sols (</w:t>
      </w:r>
      <w:r>
        <w:t>BUNASOLS).</w:t>
      </w:r>
      <w:r>
        <w:t xml:space="preserve"> </w:t>
      </w:r>
    </w:p>
    <w:bookmarkStart w:id="368" w:name="_Toc2831220"/>
    <w:p>
      <w:pPr>
        <w:pStyle w:val="style2"/>
        <w:rPr>
          <w:rStyle w:val="style4176"/>
          <w:rFonts w:ascii="Times New Roman Bold" w:eastAsia="Calibri" w:hAnsi="Times New Roman Bold"/>
          <w:b w:val="false"/>
          <w:iCs w:val="false"/>
          <w:spacing w:val="0"/>
          <w:sz w:val="23"/>
          <w:szCs w:val="23"/>
          <w:lang w:val="fr-FR"/>
        </w:rPr>
      </w:pPr>
      <w:r>
        <w:rPr>
          <w:rStyle w:val="style4176"/>
          <w:rFonts w:ascii="Times New Roman Bold" w:hAnsi="Times New Roman Bold"/>
          <w:sz w:val="23"/>
          <w:szCs w:val="23"/>
        </w:rPr>
        <w:t>Promotion de la lutte antiparasitaire intégrée dans le contexte des pratiques actuelles de lutte antiparasitaire</w:t>
      </w:r>
      <w:bookmarkEnd w:id="368"/>
    </w:p>
    <w:p>
      <w:pPr>
        <w:pStyle w:val="style0"/>
        <w:rPr>
          <w:rFonts w:eastAsia="Calibri"/>
        </w:rPr>
      </w:pPr>
      <w:r>
        <w:rPr>
          <w:rFonts w:eastAsia="Calibri"/>
        </w:rPr>
        <w:t xml:space="preserve">L’application de pesticides est motivée par l’existence de risques de développement de bio agresseurs (adventices, maladies fongiques, insectes ravageurs...). </w:t>
      </w:r>
      <w:r>
        <w:rPr>
          <w:rFonts w:eastAsia="Calibri"/>
        </w:rPr>
        <w:t xml:space="preserve">Il s’agit notamment des activités dans le cadre de la composante 1 avec l’appui </w:t>
      </w:r>
      <w:r>
        <w:rPr>
          <w:rFonts w:eastAsia="Calibri"/>
        </w:rPr>
        <w:t>aux services agricoles</w:t>
      </w:r>
      <w:r>
        <w:rPr>
          <w:rFonts w:eastAsia="Calibri"/>
        </w:rPr>
        <w:t xml:space="preserve">, le développement des ressources en eau avec des aménagements hydroagricoles. C’est ainsi que la politique de sauvegarde environnementales PO 4.09 de la Banque mondiale a été déclenchée. </w:t>
      </w:r>
    </w:p>
    <w:p>
      <w:pPr>
        <w:pStyle w:val="style0"/>
        <w:rPr>
          <w:rFonts w:eastAsia="Calibri"/>
        </w:rPr>
      </w:pPr>
      <w:r>
        <w:rPr>
          <w:rFonts w:eastAsia="Calibri"/>
        </w:rPr>
        <w:t>Il est donc fortement recommandé d’utiliser toutes les méthodes de lutte possible pour éviter des pert</w:t>
      </w:r>
      <w:r>
        <w:rPr>
          <w:rFonts w:eastAsia="Calibri"/>
        </w:rPr>
        <w:t xml:space="preserve">es importantes de la production, en privilégiant les alternatives à la lutte chimique. </w:t>
      </w:r>
      <w:r>
        <w:rPr>
          <w:rFonts w:eastAsia="Calibri"/>
          <w:bCs/>
        </w:rPr>
        <w:t>Les alternatives à la lutte chimique en protection des végétaux, sont entre autres :</w:t>
      </w:r>
      <w:r>
        <w:rPr>
          <w:rFonts w:eastAsia="Calibri"/>
        </w:rPr>
        <w:t xml:space="preserve"> la lutte biologique ; les pratiques culturales ; l’utilisation de ressources phylogénétiques ; l’utilisation des biopesticides ; la lutte physique ; les mesures prophylactiques ; la lutte intégrée ; la gestion intégrée de la produc</w:t>
      </w:r>
      <w:bookmarkStart w:id="369" w:name="_Toc284400641"/>
      <w:r>
        <w:rPr>
          <w:rFonts w:eastAsia="Calibri"/>
        </w:rPr>
        <w:t xml:space="preserve">tion et des déprédateurs (GIPD) etc. tel que présenté dans le document. </w:t>
      </w:r>
    </w:p>
    <w:p>
      <w:pPr>
        <w:pStyle w:val="style0"/>
        <w:rPr>
          <w:rFonts w:eastAsia="Calibri"/>
        </w:rPr>
      </w:pPr>
      <w:r>
        <w:rPr>
          <w:rFonts w:eastAsia="Calibri"/>
        </w:rPr>
        <w:t xml:space="preserve">Dans le cadre de ses activités, </w:t>
      </w:r>
      <w:r>
        <w:rPr>
          <w:rFonts w:eastAsia="Calibri"/>
        </w:rPr>
        <w:t xml:space="preserve">la </w:t>
      </w:r>
      <w:r>
        <w:rPr>
          <w:rFonts w:eastAsia="Calibri"/>
        </w:rPr>
        <w:t xml:space="preserve">DPVC tient des campagnes de sensibilisation pour une utilisation de pesticides biologiques, et une mise en œuvre de la lutte intégrée. Des résultats de recherche </w:t>
      </w:r>
      <w:r>
        <w:rPr>
          <w:rFonts w:eastAsia="Calibri"/>
        </w:rPr>
        <w:t xml:space="preserve">de l’INERA sont vulgarisés.  </w:t>
      </w:r>
    </w:p>
    <w:p>
      <w:pPr>
        <w:pStyle w:val="style0"/>
        <w:rPr>
          <w:rFonts w:eastAsia="Calibri"/>
        </w:rPr>
      </w:pPr>
      <w:r>
        <w:rPr>
          <w:rFonts w:eastAsia="Calibri"/>
        </w:rPr>
        <w:t>Il est donn</w:t>
      </w:r>
      <w:r>
        <w:rPr>
          <w:rFonts w:eastAsia="Calibri"/>
        </w:rPr>
        <w:t>é</w:t>
      </w:r>
      <w:r>
        <w:rPr>
          <w:rFonts w:eastAsia="Calibri"/>
        </w:rPr>
        <w:t xml:space="preserve"> ci-dessous de</w:t>
      </w:r>
      <w:r>
        <w:rPr>
          <w:rFonts w:eastAsia="Calibri"/>
        </w:rPr>
        <w:t xml:space="preserve">s exemples avec le manguier et l’oignon. </w:t>
      </w:r>
      <w:bookmarkEnd w:id="369"/>
    </w:p>
    <w:p>
      <w:pPr>
        <w:pStyle w:val="style0"/>
        <w:rPr>
          <w:b/>
          <w:sz w:val="23"/>
          <w:szCs w:val="23"/>
        </w:rPr>
      </w:pPr>
      <w:r>
        <w:rPr>
          <w:b/>
          <w:sz w:val="23"/>
          <w:szCs w:val="23"/>
        </w:rPr>
        <w:t>Cas du manguier</w:t>
      </w:r>
    </w:p>
    <w:p>
      <w:pPr>
        <w:pStyle w:val="style0"/>
        <w:rPr>
          <w:rFonts w:eastAsia="Calibri"/>
          <w:b/>
          <w:sz w:val="23"/>
          <w:szCs w:val="23"/>
        </w:rPr>
      </w:pPr>
      <w:r>
        <w:rPr>
          <w:rFonts w:eastAsia="Calibri"/>
          <w:b/>
          <w:sz w:val="23"/>
          <w:szCs w:val="23"/>
        </w:rPr>
        <w:t xml:space="preserve">Succès appât </w:t>
      </w:r>
      <w:r>
        <w:rPr>
          <w:rFonts w:eastAsia="Calibri"/>
          <w:sz w:val="23"/>
          <w:szCs w:val="23"/>
        </w:rPr>
        <w:t>(</w:t>
      </w:r>
      <w:r>
        <w:rPr>
          <w:rFonts w:eastAsia="Calibri"/>
          <w:i/>
          <w:iCs/>
          <w:sz w:val="23"/>
          <w:szCs w:val="23"/>
        </w:rPr>
        <w:t>DABIRE A et al., 2011)</w:t>
      </w:r>
      <w:r>
        <w:rPr>
          <w:rFonts w:eastAsia="Calibri"/>
          <w:sz w:val="23"/>
          <w:szCs w:val="23"/>
        </w:rPr>
        <w:t>:</w:t>
      </w:r>
      <w:r>
        <w:rPr>
          <w:rFonts w:eastAsia="Calibri"/>
          <w:b/>
          <w:sz w:val="23"/>
          <w:szCs w:val="23"/>
        </w:rPr>
        <w:t xml:space="preserve"> </w:t>
      </w:r>
    </w:p>
    <w:p>
      <w:pPr>
        <w:pStyle w:val="style0"/>
        <w:rPr>
          <w:rFonts w:eastAsia="Calibri"/>
        </w:rPr>
      </w:pPr>
      <w:r>
        <w:rPr>
          <w:rFonts w:eastAsia="Calibri"/>
        </w:rPr>
        <w:t xml:space="preserve">Il s’agit d’un appât empoisonné constitué de sucre mélangé à un insecticide. Les mouches attirées par le sucre s’alimentent avec le produit épandu sur les feuilles et sont tuées par l’insecticide. </w:t>
      </w:r>
    </w:p>
    <w:p>
      <w:pPr>
        <w:pStyle w:val="style0"/>
        <w:rPr>
          <w:rFonts w:eastAsia="Calibri"/>
          <w:sz w:val="23"/>
          <w:szCs w:val="23"/>
        </w:rPr>
      </w:pPr>
      <w:r>
        <w:rPr>
          <w:rFonts w:eastAsia="Calibri"/>
          <w:b/>
          <w:i/>
          <w:sz w:val="23"/>
          <w:szCs w:val="23"/>
        </w:rPr>
        <w:t>Méthodes prophylactiques</w:t>
      </w:r>
      <w:r>
        <w:rPr>
          <w:rFonts w:eastAsia="Calibri"/>
          <w:sz w:val="23"/>
          <w:szCs w:val="23"/>
        </w:rPr>
        <w:t>: Visent à empêcher la pullulation des mouches</w:t>
      </w:r>
    </w:p>
    <w:p>
      <w:pPr>
        <w:pStyle w:val="style179"/>
        <w:numPr>
          <w:ilvl w:val="0"/>
          <w:numId w:val="4"/>
        </w:numPr>
        <w:spacing w:before="0"/>
        <w:ind w:left="470" w:hanging="357"/>
        <w:rPr>
          <w:rFonts w:eastAsia="Calibri"/>
        </w:rPr>
      </w:pPr>
      <w:r>
        <w:rPr>
          <w:rFonts w:eastAsia="Calibri"/>
        </w:rPr>
        <w:t>Éviter de laisser traîner les fruits et les écarts de triage dans le verger ou aux abords des stations ;</w:t>
      </w:r>
    </w:p>
    <w:p>
      <w:pPr>
        <w:pStyle w:val="style179"/>
        <w:numPr>
          <w:ilvl w:val="0"/>
          <w:numId w:val="4"/>
        </w:numPr>
        <w:spacing w:before="0"/>
        <w:ind w:left="470" w:hanging="357"/>
        <w:rPr>
          <w:rFonts w:eastAsia="Calibri"/>
        </w:rPr>
      </w:pPr>
      <w:r>
        <w:rPr>
          <w:rFonts w:eastAsia="Calibri"/>
        </w:rPr>
        <w:t>Enterrer les fruits profondément, les recouvrir de chaux ;</w:t>
      </w:r>
    </w:p>
    <w:p>
      <w:pPr>
        <w:pStyle w:val="style179"/>
        <w:numPr>
          <w:ilvl w:val="0"/>
          <w:numId w:val="4"/>
        </w:numPr>
        <w:spacing w:before="0"/>
        <w:ind w:left="470" w:hanging="357"/>
        <w:rPr>
          <w:rFonts w:eastAsia="Calibri"/>
        </w:rPr>
      </w:pPr>
      <w:r>
        <w:rPr>
          <w:rFonts w:eastAsia="Calibri"/>
        </w:rPr>
        <w:t>Retourner, de temps en temps, sur une profondeur de 5-10 cm la terre du verger (ramener les pupes en surface);</w:t>
      </w:r>
    </w:p>
    <w:p>
      <w:pPr>
        <w:pStyle w:val="style179"/>
        <w:numPr>
          <w:ilvl w:val="0"/>
          <w:numId w:val="4"/>
        </w:numPr>
        <w:spacing w:before="0"/>
        <w:ind w:left="470" w:hanging="357"/>
        <w:rPr>
          <w:rFonts w:eastAsia="Calibri"/>
        </w:rPr>
      </w:pPr>
      <w:r>
        <w:rPr>
          <w:rFonts w:eastAsia="Calibri"/>
        </w:rPr>
        <w:t>Ramasser les fruits tombés au sol et les évacuer ;</w:t>
      </w:r>
    </w:p>
    <w:p>
      <w:pPr>
        <w:pStyle w:val="style179"/>
        <w:numPr>
          <w:ilvl w:val="0"/>
          <w:numId w:val="4"/>
        </w:numPr>
        <w:spacing w:before="0"/>
        <w:ind w:left="470" w:hanging="357"/>
        <w:rPr>
          <w:rFonts w:eastAsia="Calibri"/>
        </w:rPr>
      </w:pPr>
      <w:r>
        <w:rPr>
          <w:rFonts w:eastAsia="Calibri"/>
        </w:rPr>
        <w:t>Mettre les mangues piquées dans un sac étanche et au soleil ;</w:t>
      </w:r>
    </w:p>
    <w:p>
      <w:pPr>
        <w:pStyle w:val="style179"/>
        <w:numPr>
          <w:ilvl w:val="0"/>
          <w:numId w:val="4"/>
        </w:numPr>
        <w:spacing w:before="0"/>
        <w:ind w:left="470" w:hanging="357"/>
        <w:rPr>
          <w:rFonts w:eastAsia="Calibri"/>
        </w:rPr>
      </w:pPr>
      <w:r>
        <w:rPr>
          <w:rFonts w:eastAsia="Calibri"/>
        </w:rPr>
        <w:t>Noyer ou brûler les mangues piquées ;</w:t>
      </w:r>
    </w:p>
    <w:p>
      <w:pPr>
        <w:pStyle w:val="style179"/>
        <w:numPr>
          <w:ilvl w:val="0"/>
          <w:numId w:val="4"/>
        </w:numPr>
        <w:spacing w:before="0"/>
        <w:ind w:left="470" w:hanging="357"/>
        <w:rPr>
          <w:rFonts w:eastAsia="Calibri"/>
        </w:rPr>
      </w:pPr>
      <w:r>
        <w:rPr>
          <w:rFonts w:eastAsia="Calibri"/>
        </w:rPr>
        <w:t>Éviter de transporter hors du verger des fruits infestés ;</w:t>
      </w:r>
    </w:p>
    <w:p>
      <w:pPr>
        <w:pStyle w:val="style179"/>
        <w:numPr>
          <w:ilvl w:val="0"/>
          <w:numId w:val="4"/>
        </w:numPr>
        <w:spacing w:before="0"/>
        <w:ind w:left="470" w:hanging="357"/>
        <w:rPr>
          <w:rFonts w:eastAsia="Calibri"/>
        </w:rPr>
      </w:pPr>
      <w:r>
        <w:rPr>
          <w:rFonts w:eastAsia="Calibri"/>
        </w:rPr>
        <w:t>Éviter les plantes hôtes dans les alentours du verger ;</w:t>
      </w:r>
    </w:p>
    <w:p>
      <w:pPr>
        <w:pStyle w:val="style179"/>
        <w:numPr>
          <w:ilvl w:val="0"/>
          <w:numId w:val="4"/>
        </w:numPr>
        <w:spacing w:before="0"/>
        <w:ind w:left="470" w:hanging="357"/>
        <w:rPr>
          <w:rFonts w:eastAsia="Calibri"/>
        </w:rPr>
      </w:pPr>
      <w:r>
        <w:rPr>
          <w:rFonts w:eastAsia="Calibri"/>
        </w:rPr>
        <w:t>Préférer les variétés hâtives ;</w:t>
      </w:r>
    </w:p>
    <w:p>
      <w:pPr>
        <w:pStyle w:val="style179"/>
        <w:numPr>
          <w:ilvl w:val="0"/>
          <w:numId w:val="4"/>
        </w:numPr>
        <w:spacing w:before="0"/>
        <w:ind w:left="470" w:hanging="357"/>
        <w:rPr>
          <w:rFonts w:eastAsia="Calibri"/>
        </w:rPr>
      </w:pPr>
      <w:r>
        <w:rPr>
          <w:rFonts w:eastAsia="Calibri"/>
        </w:rPr>
        <w:t>Éviter le mélange de plusieurs variétés dont les périodes de récolte se succèdent dans le verger;</w:t>
      </w:r>
    </w:p>
    <w:p>
      <w:pPr>
        <w:pStyle w:val="style179"/>
        <w:numPr>
          <w:ilvl w:val="0"/>
          <w:numId w:val="4"/>
        </w:numPr>
        <w:spacing w:before="0"/>
        <w:ind w:left="470" w:hanging="357"/>
        <w:rPr>
          <w:rFonts w:eastAsia="Calibri"/>
        </w:rPr>
      </w:pPr>
      <w:r>
        <w:rPr>
          <w:rFonts w:eastAsia="Calibri"/>
        </w:rPr>
        <w:t>Ne pas laisser de vergers à l’abandon à proximité des zones de production.</w:t>
      </w:r>
    </w:p>
    <w:p>
      <w:pPr>
        <w:pStyle w:val="style0"/>
        <w:rPr>
          <w:rFonts w:eastAsia="Calibri"/>
          <w:b/>
          <w:i/>
          <w:sz w:val="23"/>
          <w:szCs w:val="23"/>
        </w:rPr>
      </w:pPr>
      <w:r>
        <w:rPr>
          <w:rFonts w:eastAsia="Calibri"/>
          <w:b/>
          <w:i/>
          <w:sz w:val="23"/>
          <w:szCs w:val="23"/>
        </w:rPr>
        <w:t>Piégeage de lutte</w:t>
      </w:r>
    </w:p>
    <w:p>
      <w:pPr>
        <w:pStyle w:val="style0"/>
        <w:rPr>
          <w:rFonts w:eastAsia="Calibri"/>
        </w:rPr>
      </w:pPr>
      <w:r>
        <w:rPr>
          <w:rFonts w:eastAsia="Calibri"/>
        </w:rPr>
        <w:t>Utilisation des pièges ; En cas de faible infestation : Densité de piégeage : 8 à 10 pièges / ha.</w:t>
      </w:r>
    </w:p>
    <w:p>
      <w:pPr>
        <w:pStyle w:val="style0"/>
        <w:rPr>
          <w:rFonts w:eastAsia="Calibri"/>
        </w:rPr>
      </w:pPr>
    </w:p>
    <w:p>
      <w:pPr>
        <w:pStyle w:val="style0"/>
        <w:rPr>
          <w:rFonts w:eastAsia="Calibri"/>
        </w:rPr>
      </w:pPr>
    </w:p>
    <w:bookmarkStart w:id="370" w:name="_Toc260225"/>
    <w:p>
      <w:pPr>
        <w:pStyle w:val="style0"/>
        <w:spacing w:lineRule="auto" w:line="276"/>
        <w:rPr>
          <w:sz w:val="20"/>
          <w:szCs w:val="20"/>
        </w:rPr>
      </w:pPr>
    </w:p>
    <w:p>
      <w:pPr>
        <w:pStyle w:val="style0"/>
        <w:spacing w:lineRule="auto" w:line="276"/>
        <w:rPr>
          <w:sz w:val="20"/>
          <w:szCs w:val="20"/>
        </w:rPr>
      </w:pPr>
      <w:r>
        <w:rPr>
          <w:sz w:val="20"/>
          <w:szCs w:val="20"/>
        </w:rPr>
        <w:t xml:space="preserve">Tableau </w:t>
      </w:r>
      <w:r>
        <w:rPr>
          <w:sz w:val="20"/>
          <w:szCs w:val="20"/>
        </w:rPr>
        <w:fldChar w:fldCharType="begin"/>
      </w:r>
      <w:r>
        <w:rPr>
          <w:sz w:val="20"/>
          <w:szCs w:val="20"/>
        </w:rPr>
        <w:instrText xml:space="preserve"> </w:instrText>
      </w:r>
      <w:r>
        <w:rPr>
          <w:sz w:val="20"/>
          <w:szCs w:val="20"/>
        </w:rPr>
        <w:instrText>SEQ</w:instrText>
      </w:r>
      <w:r>
        <w:rPr>
          <w:sz w:val="20"/>
          <w:szCs w:val="20"/>
        </w:rPr>
        <w:instrText xml:space="preserve"> Tableau \* ARABIC </w:instrText>
      </w:r>
      <w:r>
        <w:rPr>
          <w:sz w:val="20"/>
          <w:szCs w:val="20"/>
        </w:rPr>
        <w:fldChar w:fldCharType="separate"/>
      </w:r>
      <w:r>
        <w:rPr>
          <w:noProof/>
          <w:sz w:val="20"/>
          <w:szCs w:val="20"/>
        </w:rPr>
        <w:t>18</w:t>
      </w:r>
      <w:r>
        <w:rPr>
          <w:sz w:val="20"/>
          <w:szCs w:val="20"/>
        </w:rPr>
        <w:fldChar w:fldCharType="end"/>
      </w:r>
      <w:r>
        <w:rPr>
          <w:rFonts w:eastAsia="Calibri"/>
          <w:i/>
          <w:iCs/>
          <w:color w:val="1f497d"/>
          <w:sz w:val="20"/>
          <w:szCs w:val="20"/>
        </w:rPr>
        <w:t> :</w:t>
      </w:r>
      <w:r>
        <w:rPr>
          <w:rFonts w:eastAsia="Calibri"/>
          <w:i/>
          <w:iCs/>
          <w:color w:val="1f497d"/>
          <w:sz w:val="20"/>
          <w:szCs w:val="20"/>
        </w:rPr>
        <w:t>Exemples de méthodes de lutte contre des maladies du manguier</w:t>
      </w:r>
      <w:bookmarkEnd w:id="370"/>
      <w:r>
        <w:rPr>
          <w:rFonts w:eastAsia="Calibri"/>
          <w:i/>
          <w:iCs/>
          <w:color w:val="1f497d"/>
          <w:sz w:val="20"/>
          <w:szCs w:val="20"/>
        </w:rPr>
        <w:t xml:space="preserve"> </w:t>
      </w:r>
    </w:p>
    <w:bookmarkStart w:id="371" w:name="_Toc295903036"/>
    <w:bookmarkStart w:id="372" w:name="_Toc37774590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51"/>
        <w:gridCol w:w="2114"/>
        <w:gridCol w:w="5663"/>
      </w:tblGrid>
      <w:tr>
        <w:trPr/>
        <w:tc>
          <w:tcPr>
            <w:tcW w:w="961" w:type="pct"/>
            <w:tcBorders/>
          </w:tcPr>
          <w:p>
            <w:pPr>
              <w:pStyle w:val="style0"/>
              <w:spacing w:before="0"/>
              <w:rPr>
                <w:rFonts w:eastAsia="Calibri"/>
                <w:sz w:val="20"/>
                <w:szCs w:val="20"/>
              </w:rPr>
            </w:pPr>
            <w:r>
              <w:rPr>
                <w:rFonts w:eastAsia="Calibri"/>
                <w:sz w:val="20"/>
                <w:szCs w:val="20"/>
              </w:rPr>
              <w:t>Maladie</w:t>
            </w:r>
            <w:bookmarkEnd w:id="371"/>
            <w:bookmarkEnd w:id="372"/>
          </w:p>
        </w:tc>
        <w:tc>
          <w:tcPr>
            <w:tcW w:w="1098" w:type="pct"/>
            <w:tcBorders/>
          </w:tcPr>
          <w:p>
            <w:pPr>
              <w:pStyle w:val="style0"/>
              <w:spacing w:before="0"/>
              <w:rPr>
                <w:rFonts w:eastAsia="Calibri"/>
                <w:b/>
                <w:color w:val="000000"/>
                <w:sz w:val="20"/>
                <w:szCs w:val="20"/>
              </w:rPr>
            </w:pPr>
            <w:r>
              <w:rPr>
                <w:rFonts w:eastAsia="Calibri"/>
                <w:b/>
                <w:color w:val="000000"/>
                <w:sz w:val="20"/>
                <w:szCs w:val="20"/>
              </w:rPr>
              <w:t>Agent</w:t>
            </w:r>
          </w:p>
        </w:tc>
        <w:tc>
          <w:tcPr>
            <w:tcW w:w="2941" w:type="pct"/>
            <w:tcBorders/>
          </w:tcPr>
          <w:p>
            <w:pPr>
              <w:pStyle w:val="style0"/>
              <w:spacing w:before="0"/>
              <w:rPr>
                <w:rFonts w:eastAsia="Calibri"/>
                <w:b/>
                <w:bCs/>
                <w:sz w:val="20"/>
                <w:szCs w:val="20"/>
              </w:rPr>
            </w:pPr>
            <w:r>
              <w:rPr>
                <w:rFonts w:eastAsia="Calibri"/>
                <w:b/>
                <w:color w:val="000000"/>
                <w:sz w:val="20"/>
                <w:szCs w:val="20"/>
              </w:rPr>
              <w:t>Moyen de lutte</w:t>
            </w:r>
          </w:p>
        </w:tc>
      </w:tr>
      <w:tr>
        <w:tblPrEx/>
        <w:trPr/>
        <w:tc>
          <w:tcPr>
            <w:tcW w:w="961" w:type="pct"/>
            <w:tcBorders/>
            <w:vAlign w:val="center"/>
          </w:tcPr>
          <w:p>
            <w:pPr>
              <w:pStyle w:val="style0"/>
              <w:spacing w:before="0"/>
              <w:rPr>
                <w:rFonts w:eastAsia="Calibri"/>
                <w:bCs/>
                <w:sz w:val="20"/>
                <w:szCs w:val="20"/>
              </w:rPr>
            </w:pPr>
            <w:r>
              <w:rPr>
                <w:rFonts w:eastAsia="Calibri"/>
                <w:bCs/>
                <w:iCs/>
                <w:sz w:val="20"/>
                <w:szCs w:val="20"/>
              </w:rPr>
              <w:t>Oïdium du manguier</w:t>
            </w:r>
          </w:p>
        </w:tc>
        <w:tc>
          <w:tcPr>
            <w:tcW w:w="1098" w:type="pct"/>
            <w:tcBorders/>
            <w:vAlign w:val="center"/>
          </w:tcPr>
          <w:p>
            <w:pPr>
              <w:pStyle w:val="style0"/>
              <w:spacing w:before="0"/>
              <w:rPr>
                <w:rFonts w:eastAsia="Calibri"/>
                <w:color w:val="000000"/>
                <w:sz w:val="20"/>
                <w:szCs w:val="20"/>
              </w:rPr>
            </w:pPr>
            <w:r>
              <w:rPr>
                <w:rFonts w:eastAsia="Calibri"/>
                <w:bCs/>
                <w:i/>
                <w:iCs/>
                <w:sz w:val="20"/>
                <w:szCs w:val="20"/>
              </w:rPr>
              <w:t>Oidium mangiferae</w:t>
            </w:r>
          </w:p>
        </w:tc>
        <w:tc>
          <w:tcPr>
            <w:tcW w:w="2941" w:type="pct"/>
            <w:tcBorders/>
            <w:vAlign w:val="center"/>
          </w:tcPr>
          <w:p>
            <w:pPr>
              <w:pStyle w:val="style0"/>
              <w:spacing w:before="0"/>
              <w:rPr>
                <w:rFonts w:eastAsia="Calibri"/>
                <w:iCs/>
                <w:sz w:val="20"/>
                <w:szCs w:val="20"/>
              </w:rPr>
            </w:pPr>
            <w:r>
              <w:rPr>
                <w:rFonts w:eastAsia="Calibri"/>
                <w:b/>
                <w:bCs/>
                <w:iCs/>
                <w:sz w:val="20"/>
                <w:szCs w:val="20"/>
              </w:rPr>
              <w:t>Lutte chimique :</w:t>
            </w:r>
          </w:p>
          <w:p>
            <w:pPr>
              <w:pStyle w:val="style0"/>
              <w:spacing w:before="0"/>
              <w:rPr>
                <w:rFonts w:eastAsia="Calibri"/>
                <w:iCs/>
                <w:sz w:val="20"/>
                <w:szCs w:val="20"/>
              </w:rPr>
            </w:pPr>
            <w:r>
              <w:rPr>
                <w:rFonts w:eastAsia="Calibri"/>
                <w:iCs/>
                <w:sz w:val="20"/>
                <w:szCs w:val="20"/>
              </w:rPr>
              <w:t xml:space="preserve">Fongicides de contact et Fongicides systémiques </w:t>
            </w:r>
          </w:p>
        </w:tc>
      </w:tr>
      <w:tr>
        <w:tblPrEx/>
        <w:trPr/>
        <w:tc>
          <w:tcPr>
            <w:tcW w:w="961" w:type="pct"/>
            <w:tcBorders/>
            <w:vAlign w:val="center"/>
          </w:tcPr>
          <w:p>
            <w:pPr>
              <w:pStyle w:val="style0"/>
              <w:spacing w:before="0"/>
              <w:rPr>
                <w:rFonts w:eastAsia="Calibri"/>
                <w:bCs/>
                <w:sz w:val="20"/>
                <w:szCs w:val="20"/>
              </w:rPr>
            </w:pPr>
            <w:r>
              <w:rPr>
                <w:rFonts w:eastAsia="Calibri"/>
                <w:bCs/>
                <w:iCs/>
                <w:sz w:val="20"/>
                <w:szCs w:val="20"/>
              </w:rPr>
              <w:t>Anthracnose</w:t>
            </w:r>
          </w:p>
        </w:tc>
        <w:tc>
          <w:tcPr>
            <w:tcW w:w="1098" w:type="pct"/>
            <w:tcBorders/>
            <w:vAlign w:val="center"/>
          </w:tcPr>
          <w:p>
            <w:pPr>
              <w:pStyle w:val="style0"/>
              <w:spacing w:before="0"/>
              <w:rPr>
                <w:rFonts w:eastAsia="Calibri"/>
                <w:bCs/>
                <w:i/>
                <w:iCs/>
                <w:sz w:val="20"/>
                <w:szCs w:val="20"/>
              </w:rPr>
            </w:pPr>
            <w:r>
              <w:rPr>
                <w:rFonts w:eastAsia="Calibri"/>
                <w:bCs/>
                <w:i/>
                <w:iCs/>
                <w:sz w:val="20"/>
                <w:szCs w:val="20"/>
              </w:rPr>
              <w:t xml:space="preserve">Colletotrichum,  gloeosporioides  </w:t>
            </w:r>
          </w:p>
        </w:tc>
        <w:tc>
          <w:tcPr>
            <w:tcW w:w="2941" w:type="pct"/>
            <w:tcBorders/>
            <w:vAlign w:val="center"/>
          </w:tcPr>
          <w:p>
            <w:pPr>
              <w:pStyle w:val="style0"/>
              <w:spacing w:before="0"/>
              <w:rPr>
                <w:rFonts w:eastAsia="Calibri"/>
                <w:iCs/>
                <w:sz w:val="20"/>
                <w:szCs w:val="20"/>
              </w:rPr>
            </w:pPr>
            <w:r>
              <w:rPr>
                <w:rFonts w:eastAsia="Calibri"/>
                <w:b/>
                <w:bCs/>
                <w:iCs/>
                <w:sz w:val="20"/>
                <w:szCs w:val="20"/>
              </w:rPr>
              <w:t>Lutte chimique :</w:t>
            </w:r>
          </w:p>
          <w:p>
            <w:pPr>
              <w:pStyle w:val="style0"/>
              <w:spacing w:before="0"/>
              <w:rPr>
                <w:rFonts w:eastAsia="Calibri"/>
                <w:iCs/>
                <w:sz w:val="20"/>
                <w:szCs w:val="20"/>
              </w:rPr>
            </w:pPr>
            <w:r>
              <w:rPr>
                <w:rFonts w:eastAsia="Calibri"/>
                <w:iCs/>
                <w:sz w:val="20"/>
                <w:szCs w:val="20"/>
              </w:rPr>
              <w:t>Fongicides de contact : cuivre, captane, manèbe</w:t>
            </w:r>
          </w:p>
        </w:tc>
      </w:tr>
      <w:tr>
        <w:tblPrEx/>
        <w:trPr/>
        <w:tc>
          <w:tcPr>
            <w:tcW w:w="961" w:type="pct"/>
            <w:tcBorders/>
            <w:vAlign w:val="center"/>
          </w:tcPr>
          <w:p>
            <w:pPr>
              <w:pStyle w:val="style0"/>
              <w:spacing w:before="0"/>
              <w:rPr>
                <w:rFonts w:eastAsia="Calibri"/>
                <w:bCs/>
                <w:sz w:val="20"/>
                <w:szCs w:val="20"/>
              </w:rPr>
            </w:pPr>
            <w:r>
              <w:rPr>
                <w:rFonts w:eastAsia="Calibri"/>
                <w:bCs/>
                <w:iCs/>
                <w:sz w:val="20"/>
                <w:szCs w:val="20"/>
              </w:rPr>
              <w:t>La bactériose</w:t>
            </w:r>
          </w:p>
        </w:tc>
        <w:tc>
          <w:tcPr>
            <w:tcW w:w="1098" w:type="pct"/>
            <w:tcBorders/>
            <w:vAlign w:val="center"/>
          </w:tcPr>
          <w:p>
            <w:pPr>
              <w:pStyle w:val="style0"/>
              <w:spacing w:before="0"/>
              <w:rPr>
                <w:rFonts w:eastAsia="Calibri"/>
                <w:iCs/>
                <w:sz w:val="20"/>
                <w:szCs w:val="20"/>
              </w:rPr>
            </w:pPr>
            <w:r>
              <w:rPr>
                <w:rFonts w:eastAsia="Calibri"/>
                <w:bCs/>
                <w:i/>
                <w:iCs/>
                <w:sz w:val="20"/>
                <w:szCs w:val="20"/>
              </w:rPr>
              <w:t>Xanthomonas campestris pv. mangiferaeindicae</w:t>
            </w:r>
          </w:p>
        </w:tc>
        <w:tc>
          <w:tcPr>
            <w:tcW w:w="2941" w:type="pct"/>
            <w:tcBorders/>
            <w:vAlign w:val="center"/>
          </w:tcPr>
          <w:p>
            <w:pPr>
              <w:pStyle w:val="style0"/>
              <w:spacing w:before="0"/>
              <w:rPr>
                <w:rFonts w:eastAsia="Calibri"/>
                <w:bCs/>
                <w:iCs/>
                <w:sz w:val="20"/>
                <w:szCs w:val="20"/>
              </w:rPr>
            </w:pPr>
            <w:r>
              <w:rPr>
                <w:rFonts w:eastAsia="Calibri"/>
                <w:bCs/>
                <w:iCs/>
                <w:sz w:val="20"/>
                <w:szCs w:val="20"/>
              </w:rPr>
              <w:t>production de matériel végétal sain;</w:t>
            </w:r>
          </w:p>
          <w:p>
            <w:pPr>
              <w:pStyle w:val="style0"/>
              <w:spacing w:before="0"/>
              <w:rPr>
                <w:rFonts w:eastAsia="Calibri"/>
                <w:bCs/>
                <w:iCs/>
                <w:sz w:val="20"/>
                <w:szCs w:val="20"/>
              </w:rPr>
            </w:pPr>
            <w:r>
              <w:rPr>
                <w:rFonts w:eastAsia="Calibri"/>
                <w:bCs/>
                <w:iCs/>
                <w:sz w:val="20"/>
                <w:szCs w:val="20"/>
              </w:rPr>
              <w:t>respect des règles de quarantaine ;</w:t>
            </w:r>
          </w:p>
          <w:p>
            <w:pPr>
              <w:pStyle w:val="style0"/>
              <w:spacing w:before="0"/>
              <w:rPr>
                <w:rFonts w:eastAsia="Calibri"/>
                <w:bCs/>
                <w:iCs/>
                <w:sz w:val="20"/>
                <w:szCs w:val="20"/>
              </w:rPr>
            </w:pPr>
            <w:r>
              <w:rPr>
                <w:rFonts w:eastAsia="Calibri"/>
                <w:bCs/>
                <w:iCs/>
                <w:sz w:val="20"/>
                <w:szCs w:val="20"/>
              </w:rPr>
              <w:t>implantation d’un réseau de brise-vent adapte;</w:t>
            </w:r>
          </w:p>
          <w:p>
            <w:pPr>
              <w:pStyle w:val="style0"/>
              <w:spacing w:before="0"/>
              <w:rPr>
                <w:rFonts w:eastAsia="Calibri"/>
                <w:bCs/>
                <w:iCs/>
                <w:sz w:val="20"/>
                <w:szCs w:val="20"/>
              </w:rPr>
            </w:pPr>
            <w:r>
              <w:rPr>
                <w:rFonts w:eastAsia="Calibri"/>
                <w:bCs/>
                <w:iCs/>
                <w:sz w:val="20"/>
                <w:szCs w:val="20"/>
              </w:rPr>
              <w:t xml:space="preserve">élimination des organes touches (rameaux et fruits) et leur destruction par le feu </w:t>
            </w:r>
          </w:p>
        </w:tc>
      </w:tr>
      <w:tr>
        <w:tblPrEx/>
        <w:trPr/>
        <w:tc>
          <w:tcPr>
            <w:tcW w:w="961" w:type="pct"/>
            <w:tcBorders/>
            <w:vAlign w:val="center"/>
          </w:tcPr>
          <w:p>
            <w:pPr>
              <w:pStyle w:val="style0"/>
              <w:spacing w:before="0"/>
              <w:rPr>
                <w:rFonts w:eastAsia="Calibri"/>
                <w:iCs/>
                <w:sz w:val="20"/>
                <w:szCs w:val="20"/>
              </w:rPr>
            </w:pPr>
            <w:r>
              <w:rPr>
                <w:rFonts w:eastAsia="Calibri"/>
                <w:b/>
                <w:bCs/>
                <w:iCs/>
                <w:sz w:val="20"/>
                <w:szCs w:val="20"/>
              </w:rPr>
              <w:t>Le Scab</w:t>
            </w:r>
          </w:p>
        </w:tc>
        <w:tc>
          <w:tcPr>
            <w:tcW w:w="1098" w:type="pct"/>
            <w:tcBorders/>
            <w:vAlign w:val="center"/>
          </w:tcPr>
          <w:p>
            <w:pPr>
              <w:pStyle w:val="style0"/>
              <w:spacing w:before="0"/>
              <w:rPr>
                <w:rFonts w:eastAsia="Calibri"/>
                <w:iCs/>
                <w:sz w:val="20"/>
                <w:szCs w:val="20"/>
              </w:rPr>
            </w:pPr>
            <w:r>
              <w:rPr>
                <w:rFonts w:eastAsia="Calibri"/>
                <w:bCs/>
                <w:i/>
                <w:iCs/>
                <w:sz w:val="20"/>
                <w:szCs w:val="20"/>
              </w:rPr>
              <w:t>Elsinoe mangiferae</w:t>
            </w:r>
          </w:p>
        </w:tc>
        <w:tc>
          <w:tcPr>
            <w:tcW w:w="2941" w:type="pct"/>
            <w:tcBorders/>
            <w:vAlign w:val="center"/>
          </w:tcPr>
          <w:p>
            <w:pPr>
              <w:pStyle w:val="style0"/>
              <w:spacing w:before="0"/>
              <w:rPr>
                <w:rFonts w:eastAsia="Calibri"/>
                <w:b/>
                <w:bCs/>
                <w:iCs/>
                <w:sz w:val="20"/>
                <w:szCs w:val="20"/>
              </w:rPr>
            </w:pPr>
            <w:r>
              <w:rPr>
                <w:rFonts w:eastAsia="Calibri"/>
                <w:b/>
                <w:bCs/>
                <w:iCs/>
                <w:sz w:val="20"/>
                <w:szCs w:val="20"/>
              </w:rPr>
              <w:t xml:space="preserve">La lutte chimique : </w:t>
            </w:r>
          </w:p>
          <w:p>
            <w:pPr>
              <w:pStyle w:val="style0"/>
              <w:spacing w:before="0"/>
              <w:rPr>
                <w:rFonts w:eastAsia="Calibri"/>
                <w:iCs/>
                <w:sz w:val="20"/>
                <w:szCs w:val="20"/>
              </w:rPr>
            </w:pPr>
            <w:r>
              <w:rPr>
                <w:rFonts w:eastAsia="Calibri"/>
                <w:bCs/>
                <w:iCs/>
                <w:sz w:val="20"/>
                <w:szCs w:val="20"/>
              </w:rPr>
              <w:t>pulvérisations de fongicides appliquées lors de l’émission de nouvelles pousses végétatives ou florales et sur les jeunes fruits,</w:t>
            </w:r>
          </w:p>
        </w:tc>
      </w:tr>
      <w:tr>
        <w:tblPrEx/>
        <w:trPr/>
        <w:tc>
          <w:tcPr>
            <w:tcW w:w="961" w:type="pct"/>
            <w:tcBorders/>
            <w:vAlign w:val="center"/>
          </w:tcPr>
          <w:p>
            <w:pPr>
              <w:pStyle w:val="style0"/>
              <w:spacing w:before="0"/>
              <w:rPr>
                <w:rFonts w:eastAsia="Calibri"/>
                <w:iCs/>
                <w:sz w:val="20"/>
                <w:szCs w:val="20"/>
              </w:rPr>
            </w:pPr>
            <w:r>
              <w:rPr>
                <w:rFonts w:eastAsia="Calibri"/>
                <w:bCs/>
                <w:iCs/>
                <w:sz w:val="20"/>
                <w:szCs w:val="20"/>
              </w:rPr>
              <w:t>Alternariose</w:t>
            </w:r>
          </w:p>
        </w:tc>
        <w:tc>
          <w:tcPr>
            <w:tcW w:w="1098" w:type="pct"/>
            <w:tcBorders/>
            <w:vAlign w:val="center"/>
          </w:tcPr>
          <w:p>
            <w:pPr>
              <w:pStyle w:val="style0"/>
              <w:spacing w:before="0"/>
              <w:rPr>
                <w:rFonts w:eastAsia="Calibri"/>
                <w:i/>
                <w:iCs/>
                <w:sz w:val="20"/>
                <w:szCs w:val="20"/>
              </w:rPr>
            </w:pPr>
            <w:r>
              <w:rPr>
                <w:rFonts w:eastAsia="Calibri"/>
                <w:bCs/>
                <w:i/>
                <w:iCs/>
                <w:sz w:val="20"/>
                <w:szCs w:val="20"/>
              </w:rPr>
              <w:t>Alternaria alternata</w:t>
            </w:r>
          </w:p>
        </w:tc>
        <w:tc>
          <w:tcPr>
            <w:tcW w:w="2941" w:type="pct"/>
            <w:tcBorders/>
            <w:vAlign w:val="center"/>
          </w:tcPr>
          <w:p>
            <w:pPr>
              <w:pStyle w:val="style0"/>
              <w:spacing w:before="0"/>
              <w:rPr>
                <w:rFonts w:eastAsia="Calibri"/>
                <w:bCs/>
                <w:iCs/>
                <w:sz w:val="20"/>
                <w:szCs w:val="20"/>
              </w:rPr>
            </w:pPr>
            <w:r>
              <w:rPr>
                <w:rFonts w:eastAsia="Calibri"/>
                <w:bCs/>
                <w:iCs/>
                <w:sz w:val="20"/>
                <w:szCs w:val="20"/>
              </w:rPr>
              <w:t>utilisation du manèbe</w:t>
            </w:r>
          </w:p>
        </w:tc>
      </w:tr>
      <w:tr>
        <w:tblPrEx/>
        <w:trPr/>
        <w:tc>
          <w:tcPr>
            <w:tcW w:w="961" w:type="pct"/>
            <w:tcBorders/>
            <w:vAlign w:val="center"/>
          </w:tcPr>
          <w:p>
            <w:pPr>
              <w:pStyle w:val="style0"/>
              <w:spacing w:before="0"/>
              <w:rPr>
                <w:rFonts w:eastAsia="Calibri"/>
                <w:bCs/>
                <w:iCs/>
                <w:sz w:val="20"/>
                <w:szCs w:val="20"/>
              </w:rPr>
            </w:pPr>
            <w:r>
              <w:rPr>
                <w:rFonts w:eastAsia="Calibri"/>
                <w:bCs/>
                <w:iCs/>
                <w:sz w:val="20"/>
                <w:szCs w:val="20"/>
              </w:rPr>
              <w:t>Cercosporiose</w:t>
            </w:r>
          </w:p>
        </w:tc>
        <w:tc>
          <w:tcPr>
            <w:tcW w:w="1098" w:type="pct"/>
            <w:tcBorders/>
            <w:vAlign w:val="center"/>
          </w:tcPr>
          <w:p>
            <w:pPr>
              <w:pStyle w:val="style0"/>
              <w:spacing w:before="0"/>
              <w:rPr>
                <w:rFonts w:eastAsia="Calibri"/>
                <w:i/>
                <w:iCs/>
                <w:sz w:val="20"/>
                <w:szCs w:val="20"/>
              </w:rPr>
            </w:pPr>
            <w:r>
              <w:rPr>
                <w:rFonts w:eastAsia="Calibri"/>
                <w:bCs/>
                <w:i/>
                <w:iCs/>
                <w:sz w:val="20"/>
                <w:szCs w:val="20"/>
              </w:rPr>
              <w:t>Cercospora sp</w:t>
            </w:r>
          </w:p>
        </w:tc>
        <w:tc>
          <w:tcPr>
            <w:tcW w:w="2941" w:type="pct"/>
            <w:tcBorders/>
            <w:vAlign w:val="center"/>
          </w:tcPr>
          <w:p>
            <w:pPr>
              <w:pStyle w:val="style0"/>
              <w:spacing w:before="0"/>
              <w:rPr>
                <w:rFonts w:eastAsia="Calibri"/>
                <w:iCs/>
                <w:sz w:val="20"/>
                <w:szCs w:val="20"/>
              </w:rPr>
            </w:pPr>
            <w:r>
              <w:rPr>
                <w:rFonts w:eastAsia="Calibri"/>
                <w:iCs/>
                <w:sz w:val="20"/>
                <w:szCs w:val="20"/>
              </w:rPr>
              <w:t>élimination et la destruction des organes attaqués ;</w:t>
            </w:r>
          </w:p>
          <w:p>
            <w:pPr>
              <w:pStyle w:val="style0"/>
              <w:spacing w:before="0"/>
              <w:rPr>
                <w:rFonts w:eastAsia="Calibri"/>
                <w:iCs/>
                <w:sz w:val="20"/>
                <w:szCs w:val="20"/>
              </w:rPr>
            </w:pPr>
            <w:r>
              <w:rPr>
                <w:rFonts w:eastAsia="Calibri"/>
                <w:iCs/>
                <w:sz w:val="20"/>
                <w:szCs w:val="20"/>
              </w:rPr>
              <w:t xml:space="preserve"> abandon des variétés trop sensibles ;</w:t>
            </w:r>
          </w:p>
          <w:p>
            <w:pPr>
              <w:pStyle w:val="style0"/>
              <w:spacing w:before="0"/>
              <w:rPr>
                <w:rFonts w:eastAsia="Calibri"/>
                <w:iCs/>
                <w:sz w:val="20"/>
                <w:szCs w:val="20"/>
              </w:rPr>
            </w:pPr>
            <w:r>
              <w:rPr>
                <w:rFonts w:eastAsia="Calibri"/>
                <w:iCs/>
                <w:sz w:val="20"/>
                <w:szCs w:val="20"/>
              </w:rPr>
              <w:t xml:space="preserve"> pulvérisations de fongicides efficaces ( Zinèbe, Manèbe).</w:t>
            </w:r>
          </w:p>
        </w:tc>
      </w:tr>
      <w:tr>
        <w:tblPrEx/>
        <w:trPr/>
        <w:tc>
          <w:tcPr>
            <w:tcW w:w="961" w:type="pct"/>
            <w:tcBorders/>
            <w:vAlign w:val="center"/>
          </w:tcPr>
          <w:p>
            <w:pPr>
              <w:pStyle w:val="style0"/>
              <w:spacing w:before="0"/>
              <w:rPr>
                <w:rFonts w:eastAsia="Calibri"/>
                <w:bCs/>
                <w:iCs/>
                <w:sz w:val="20"/>
                <w:szCs w:val="20"/>
              </w:rPr>
            </w:pPr>
            <w:r>
              <w:rPr>
                <w:rFonts w:eastAsia="Calibri"/>
                <w:bCs/>
                <w:iCs/>
                <w:sz w:val="20"/>
                <w:szCs w:val="20"/>
              </w:rPr>
              <w:t xml:space="preserve">La Stemphyliose  </w:t>
            </w:r>
          </w:p>
        </w:tc>
        <w:tc>
          <w:tcPr>
            <w:tcW w:w="1098" w:type="pct"/>
            <w:tcBorders/>
            <w:vAlign w:val="center"/>
          </w:tcPr>
          <w:p>
            <w:pPr>
              <w:pStyle w:val="style0"/>
              <w:spacing w:before="0"/>
              <w:rPr>
                <w:rFonts w:eastAsia="Calibri"/>
                <w:bCs/>
                <w:iCs/>
                <w:sz w:val="20"/>
                <w:szCs w:val="20"/>
              </w:rPr>
            </w:pPr>
            <w:r>
              <w:rPr>
                <w:rFonts w:eastAsia="Calibri"/>
                <w:bCs/>
                <w:i/>
                <w:iCs/>
                <w:sz w:val="20"/>
                <w:szCs w:val="20"/>
              </w:rPr>
              <w:t>Stemphylium spp.</w:t>
            </w:r>
          </w:p>
        </w:tc>
        <w:tc>
          <w:tcPr>
            <w:tcW w:w="2941" w:type="pct"/>
            <w:tcBorders/>
            <w:vAlign w:val="center"/>
          </w:tcPr>
          <w:p>
            <w:pPr>
              <w:pStyle w:val="style0"/>
              <w:spacing w:before="0"/>
              <w:rPr>
                <w:rFonts w:eastAsia="Calibri"/>
                <w:bCs/>
                <w:iCs/>
                <w:sz w:val="20"/>
                <w:szCs w:val="20"/>
              </w:rPr>
            </w:pPr>
            <w:r>
              <w:rPr>
                <w:rFonts w:eastAsia="Calibri"/>
                <w:bCs/>
                <w:iCs/>
                <w:sz w:val="20"/>
                <w:szCs w:val="20"/>
              </w:rPr>
              <w:t>élimination et la destruction des organes attaqués</w:t>
            </w:r>
          </w:p>
          <w:p>
            <w:pPr>
              <w:pStyle w:val="style0"/>
              <w:spacing w:before="0"/>
              <w:rPr>
                <w:rFonts w:eastAsia="Calibri"/>
                <w:bCs/>
                <w:iCs/>
                <w:sz w:val="20"/>
                <w:szCs w:val="20"/>
              </w:rPr>
            </w:pPr>
            <w:r>
              <w:rPr>
                <w:rFonts w:eastAsia="Calibri"/>
                <w:bCs/>
                <w:iCs/>
                <w:sz w:val="20"/>
                <w:szCs w:val="20"/>
              </w:rPr>
              <w:t xml:space="preserve"> pulvérisations de fongicides</w:t>
            </w:r>
          </w:p>
        </w:tc>
      </w:tr>
      <w:tr>
        <w:tblPrEx/>
        <w:trPr/>
        <w:tc>
          <w:tcPr>
            <w:tcW w:w="961" w:type="pct"/>
            <w:tcBorders/>
            <w:vAlign w:val="center"/>
          </w:tcPr>
          <w:p>
            <w:pPr>
              <w:pStyle w:val="style0"/>
              <w:spacing w:before="0"/>
              <w:rPr>
                <w:rFonts w:eastAsia="Calibri"/>
                <w:bCs/>
                <w:iCs/>
                <w:sz w:val="20"/>
                <w:szCs w:val="20"/>
              </w:rPr>
            </w:pPr>
            <w:r>
              <w:rPr>
                <w:rFonts w:eastAsia="Calibri"/>
                <w:bCs/>
                <w:iCs/>
                <w:sz w:val="20"/>
                <w:szCs w:val="20"/>
              </w:rPr>
              <w:t>Les pourritures pédonculaires</w:t>
            </w:r>
          </w:p>
        </w:tc>
        <w:tc>
          <w:tcPr>
            <w:tcW w:w="1098" w:type="pct"/>
            <w:tcBorders/>
            <w:vAlign w:val="center"/>
          </w:tcPr>
          <w:p>
            <w:pPr>
              <w:pStyle w:val="style0"/>
              <w:spacing w:before="0"/>
              <w:rPr>
                <w:rFonts w:eastAsia="Calibri"/>
                <w:bCs/>
                <w:iCs/>
                <w:sz w:val="20"/>
                <w:szCs w:val="20"/>
              </w:rPr>
            </w:pPr>
            <w:r>
              <w:rPr>
                <w:rFonts w:eastAsia="Calibri"/>
                <w:bCs/>
                <w:i/>
                <w:iCs/>
                <w:sz w:val="20"/>
                <w:szCs w:val="20"/>
              </w:rPr>
              <w:t>Botryodiplodia theobromae, Diplodia natalensis</w:t>
            </w:r>
          </w:p>
        </w:tc>
        <w:tc>
          <w:tcPr>
            <w:tcW w:w="2941" w:type="pct"/>
            <w:tcBorders/>
            <w:vAlign w:val="center"/>
          </w:tcPr>
          <w:p>
            <w:pPr>
              <w:pStyle w:val="style0"/>
              <w:spacing w:before="0"/>
              <w:rPr>
                <w:rFonts w:eastAsia="Calibri"/>
                <w:bCs/>
                <w:iCs/>
                <w:sz w:val="20"/>
                <w:szCs w:val="20"/>
              </w:rPr>
            </w:pPr>
            <w:r>
              <w:rPr>
                <w:rFonts w:eastAsia="Calibri"/>
                <w:bCs/>
                <w:iCs/>
                <w:sz w:val="20"/>
                <w:szCs w:val="20"/>
              </w:rPr>
              <w:t>élimination et la destruction des organes attaqués ;</w:t>
            </w:r>
          </w:p>
          <w:p>
            <w:pPr>
              <w:pStyle w:val="style0"/>
              <w:spacing w:before="0"/>
              <w:rPr>
                <w:rFonts w:eastAsia="Calibri"/>
                <w:bCs/>
                <w:iCs/>
                <w:sz w:val="20"/>
                <w:szCs w:val="20"/>
              </w:rPr>
            </w:pPr>
            <w:r>
              <w:rPr>
                <w:rFonts w:eastAsia="Calibri"/>
                <w:bCs/>
                <w:iCs/>
                <w:sz w:val="20"/>
                <w:szCs w:val="20"/>
              </w:rPr>
              <w:t>abandon des variétés trop sensibles ;</w:t>
            </w:r>
          </w:p>
          <w:p>
            <w:pPr>
              <w:pStyle w:val="style0"/>
              <w:spacing w:before="0"/>
              <w:rPr>
                <w:rFonts w:eastAsia="Calibri"/>
                <w:bCs/>
                <w:iCs/>
                <w:sz w:val="20"/>
                <w:szCs w:val="20"/>
              </w:rPr>
            </w:pPr>
            <w:r>
              <w:rPr>
                <w:rFonts w:eastAsia="Calibri"/>
                <w:bCs/>
                <w:iCs/>
                <w:sz w:val="20"/>
                <w:szCs w:val="20"/>
              </w:rPr>
              <w:t>pulvérisations de fongicides efficaces ( Zinèbe, Manèbe).</w:t>
            </w:r>
          </w:p>
        </w:tc>
      </w:tr>
      <w:tr>
        <w:tblPrEx/>
        <w:trPr/>
        <w:tc>
          <w:tcPr>
            <w:tcW w:w="961" w:type="pct"/>
            <w:tcBorders/>
            <w:vAlign w:val="center"/>
          </w:tcPr>
          <w:p>
            <w:pPr>
              <w:pStyle w:val="style0"/>
              <w:spacing w:before="0"/>
              <w:rPr>
                <w:rFonts w:eastAsia="Calibri"/>
                <w:b/>
                <w:bCs/>
                <w:iCs/>
                <w:sz w:val="20"/>
                <w:szCs w:val="20"/>
              </w:rPr>
            </w:pPr>
            <w:r>
              <w:rPr>
                <w:rFonts w:eastAsia="Calibri"/>
                <w:b/>
                <w:bCs/>
                <w:iCs/>
                <w:sz w:val="20"/>
                <w:szCs w:val="20"/>
              </w:rPr>
              <w:t>Les maladies physiologiques :</w:t>
            </w:r>
          </w:p>
          <w:p>
            <w:pPr>
              <w:pStyle w:val="style0"/>
              <w:spacing w:before="0"/>
              <w:rPr>
                <w:rFonts w:eastAsia="Calibri"/>
                <w:bCs/>
                <w:iCs/>
                <w:sz w:val="20"/>
                <w:szCs w:val="20"/>
              </w:rPr>
            </w:pPr>
            <w:r>
              <w:rPr>
                <w:rFonts w:eastAsia="Calibri"/>
                <w:b/>
                <w:bCs/>
                <w:iCs/>
                <w:sz w:val="20"/>
                <w:szCs w:val="20"/>
              </w:rPr>
              <w:t xml:space="preserve">  -</w:t>
            </w:r>
            <w:r>
              <w:rPr>
                <w:rFonts w:eastAsia="Calibri"/>
                <w:bCs/>
                <w:iCs/>
                <w:sz w:val="20"/>
                <w:szCs w:val="20"/>
              </w:rPr>
              <w:t xml:space="preserve"> Les coups de soleil</w:t>
            </w:r>
          </w:p>
          <w:p>
            <w:pPr>
              <w:pStyle w:val="style0"/>
              <w:spacing w:before="0"/>
              <w:rPr>
                <w:rFonts w:eastAsia="Calibri"/>
                <w:bCs/>
                <w:iCs/>
                <w:sz w:val="20"/>
                <w:szCs w:val="20"/>
              </w:rPr>
            </w:pPr>
            <w:r>
              <w:rPr>
                <w:rFonts w:eastAsia="Calibri"/>
                <w:bCs/>
                <w:iCs/>
                <w:sz w:val="20"/>
                <w:szCs w:val="20"/>
              </w:rPr>
              <w:t xml:space="preserve">  - Les désordres physiologiques</w:t>
            </w:r>
          </w:p>
        </w:tc>
        <w:tc>
          <w:tcPr>
            <w:tcW w:w="1098" w:type="pct"/>
            <w:tcBorders/>
            <w:vAlign w:val="center"/>
          </w:tcPr>
          <w:p>
            <w:pPr>
              <w:pStyle w:val="style0"/>
              <w:spacing w:before="0"/>
              <w:rPr>
                <w:rFonts w:eastAsia="Calibri"/>
                <w:bCs/>
                <w:i/>
                <w:iCs/>
                <w:sz w:val="20"/>
                <w:szCs w:val="20"/>
              </w:rPr>
            </w:pPr>
          </w:p>
        </w:tc>
        <w:tc>
          <w:tcPr>
            <w:tcW w:w="2941" w:type="pct"/>
            <w:tcBorders/>
            <w:vAlign w:val="center"/>
          </w:tcPr>
          <w:p>
            <w:pPr>
              <w:pStyle w:val="style0"/>
              <w:spacing w:before="0"/>
              <w:rPr>
                <w:rFonts w:eastAsia="Calibri"/>
                <w:bCs/>
                <w:iCs/>
                <w:sz w:val="20"/>
                <w:szCs w:val="20"/>
              </w:rPr>
            </w:pPr>
            <w:r>
              <w:rPr>
                <w:rFonts w:eastAsia="Calibri"/>
                <w:bCs/>
                <w:iCs/>
                <w:sz w:val="20"/>
                <w:szCs w:val="20"/>
              </w:rPr>
              <w:t>Choix de bonnes variétés</w:t>
            </w:r>
          </w:p>
          <w:p>
            <w:pPr>
              <w:pStyle w:val="style0"/>
              <w:spacing w:before="0"/>
              <w:rPr>
                <w:rFonts w:eastAsia="Calibri"/>
                <w:bCs/>
                <w:iCs/>
                <w:sz w:val="20"/>
                <w:szCs w:val="20"/>
              </w:rPr>
            </w:pPr>
            <w:r>
              <w:rPr>
                <w:rFonts w:eastAsia="Calibri"/>
                <w:bCs/>
                <w:iCs/>
                <w:sz w:val="20"/>
                <w:szCs w:val="20"/>
              </w:rPr>
              <w:t>Equilibre nutritionnel (éviter l’excès d’azote; carence en calcium…)</w:t>
            </w:r>
          </w:p>
        </w:tc>
      </w:tr>
      <w:bookmarkStart w:id="373" w:name="_Toc260226"/>
    </w:tbl>
    <w:p>
      <w:pPr>
        <w:pStyle w:val="style0"/>
        <w:spacing w:lineRule="auto" w:line="276"/>
        <w:rPr>
          <w:rFonts w:cs="TimesNewRomanPSMT" w:eastAsia="Calibri"/>
          <w:sz w:val="20"/>
          <w:szCs w:val="20"/>
          <w:lang w:eastAsia="fr-FR"/>
        </w:rPr>
      </w:pPr>
      <w:r>
        <w:rPr>
          <w:sz w:val="20"/>
          <w:szCs w:val="20"/>
        </w:rPr>
        <w:t xml:space="preserve">Tableau </w:t>
      </w:r>
      <w:r>
        <w:rPr>
          <w:sz w:val="20"/>
          <w:szCs w:val="20"/>
        </w:rPr>
        <w:fldChar w:fldCharType="begin"/>
      </w:r>
      <w:r>
        <w:rPr>
          <w:sz w:val="20"/>
          <w:szCs w:val="20"/>
        </w:rPr>
        <w:instrText xml:space="preserve"> </w:instrText>
      </w:r>
      <w:r>
        <w:rPr>
          <w:sz w:val="20"/>
          <w:szCs w:val="20"/>
        </w:rPr>
        <w:instrText>SEQ</w:instrText>
      </w:r>
      <w:r>
        <w:rPr>
          <w:sz w:val="20"/>
          <w:szCs w:val="20"/>
        </w:rPr>
        <w:instrText xml:space="preserve"> Tableau \* ARABIC </w:instrText>
      </w:r>
      <w:r>
        <w:rPr>
          <w:sz w:val="20"/>
          <w:szCs w:val="20"/>
        </w:rPr>
        <w:fldChar w:fldCharType="separate"/>
      </w:r>
      <w:r>
        <w:rPr>
          <w:noProof/>
          <w:sz w:val="20"/>
          <w:szCs w:val="20"/>
        </w:rPr>
        <w:t>19</w:t>
      </w:r>
      <w:r>
        <w:rPr>
          <w:sz w:val="20"/>
          <w:szCs w:val="20"/>
        </w:rPr>
        <w:fldChar w:fldCharType="end"/>
      </w:r>
      <w:r>
        <w:rPr>
          <w:rFonts w:eastAsia="Calibri"/>
          <w:i/>
          <w:iCs/>
          <w:color w:val="1f497d"/>
          <w:sz w:val="20"/>
          <w:szCs w:val="20"/>
        </w:rPr>
        <w:t> :</w:t>
      </w:r>
      <w:r>
        <w:rPr>
          <w:rFonts w:eastAsia="Calibri"/>
          <w:i/>
          <w:iCs/>
          <w:color w:val="1f497d"/>
          <w:sz w:val="20"/>
          <w:szCs w:val="20"/>
        </w:rPr>
        <w:t>Exemple de méthodes de lutte contre des maladies de l’oignon</w:t>
      </w:r>
      <w:bookmarkEnd w:id="373"/>
      <w:r>
        <w:rPr>
          <w:rFonts w:eastAsia="Calibri"/>
          <w:i/>
          <w:iCs/>
          <w:color w:val="1f497d"/>
          <w:sz w:val="20"/>
          <w:szCs w:val="20"/>
        </w:rPr>
        <w:t xml:space="preserve"> </w:t>
      </w:r>
    </w:p>
    <w:bookmarkStart w:id="374" w:name="_Toc295903037"/>
    <w:bookmarkStart w:id="375" w:name="_Toc37774590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71"/>
        <w:gridCol w:w="1134"/>
        <w:gridCol w:w="1560"/>
        <w:gridCol w:w="5663"/>
      </w:tblGrid>
      <w:tr>
        <w:trPr/>
        <w:tc>
          <w:tcPr>
            <w:tcW w:w="660" w:type="pct"/>
            <w:tcBorders/>
          </w:tcPr>
          <w:p>
            <w:pPr>
              <w:pStyle w:val="style0"/>
              <w:spacing w:before="0"/>
              <w:rPr>
                <w:rFonts w:eastAsia="Calibri"/>
                <w:sz w:val="20"/>
                <w:szCs w:val="20"/>
              </w:rPr>
            </w:pPr>
            <w:r>
              <w:rPr>
                <w:rFonts w:eastAsia="Calibri"/>
                <w:sz w:val="20"/>
                <w:szCs w:val="20"/>
              </w:rPr>
              <w:t>Maladie</w:t>
            </w:r>
            <w:bookmarkEnd w:id="374"/>
            <w:bookmarkEnd w:id="375"/>
          </w:p>
        </w:tc>
        <w:tc>
          <w:tcPr>
            <w:tcW w:w="1399" w:type="pct"/>
            <w:gridSpan w:val="2"/>
            <w:tcBorders/>
          </w:tcPr>
          <w:p>
            <w:pPr>
              <w:pStyle w:val="style0"/>
              <w:spacing w:before="0"/>
              <w:rPr>
                <w:rFonts w:eastAsia="Calibri"/>
                <w:b/>
                <w:color w:val="000000"/>
                <w:sz w:val="20"/>
                <w:szCs w:val="20"/>
              </w:rPr>
            </w:pPr>
            <w:r>
              <w:rPr>
                <w:rFonts w:eastAsia="Calibri"/>
                <w:b/>
                <w:color w:val="000000"/>
                <w:sz w:val="20"/>
                <w:szCs w:val="20"/>
              </w:rPr>
              <w:t>Agent</w:t>
            </w:r>
          </w:p>
        </w:tc>
        <w:tc>
          <w:tcPr>
            <w:tcW w:w="2941" w:type="pct"/>
            <w:tcBorders/>
          </w:tcPr>
          <w:p>
            <w:pPr>
              <w:pStyle w:val="style0"/>
              <w:spacing w:before="0"/>
              <w:rPr>
                <w:rFonts w:eastAsia="Calibri"/>
                <w:b/>
                <w:bCs/>
                <w:sz w:val="20"/>
                <w:szCs w:val="20"/>
              </w:rPr>
            </w:pPr>
            <w:r>
              <w:rPr>
                <w:rFonts w:eastAsia="Calibri"/>
                <w:b/>
                <w:color w:val="000000"/>
                <w:sz w:val="20"/>
                <w:szCs w:val="20"/>
              </w:rPr>
              <w:t>Moyen de lutte</w:t>
            </w:r>
          </w:p>
        </w:tc>
      </w:tr>
      <w:tr>
        <w:tblPrEx/>
        <w:trPr/>
        <w:tc>
          <w:tcPr>
            <w:tcW w:w="660" w:type="pct"/>
            <w:tcBorders/>
            <w:vAlign w:val="center"/>
          </w:tcPr>
          <w:p>
            <w:pPr>
              <w:pStyle w:val="style0"/>
              <w:spacing w:before="0"/>
              <w:rPr>
                <w:rFonts w:eastAsia="Calibri"/>
                <w:bCs/>
                <w:sz w:val="20"/>
                <w:szCs w:val="20"/>
              </w:rPr>
            </w:pPr>
            <w:r>
              <w:rPr>
                <w:rFonts w:eastAsia="Calibri"/>
                <w:b/>
                <w:bCs/>
                <w:sz w:val="20"/>
                <w:szCs w:val="20"/>
              </w:rPr>
              <w:t xml:space="preserve">Fontes de semis  </w:t>
            </w:r>
          </w:p>
        </w:tc>
        <w:tc>
          <w:tcPr>
            <w:tcW w:w="589" w:type="pct"/>
            <w:vMerge w:val="restart"/>
            <w:tcBorders/>
            <w:vAlign w:val="center"/>
          </w:tcPr>
          <w:p>
            <w:pPr>
              <w:pStyle w:val="style0"/>
              <w:spacing w:before="0"/>
              <w:rPr>
                <w:rFonts w:eastAsia="Calibri"/>
                <w:color w:val="000000"/>
                <w:sz w:val="20"/>
                <w:szCs w:val="20"/>
              </w:rPr>
            </w:pPr>
            <w:r>
              <w:rPr>
                <w:rFonts w:eastAsia="Calibri"/>
                <w:sz w:val="20"/>
                <w:szCs w:val="20"/>
              </w:rPr>
              <w:t>champignons</w:t>
            </w:r>
          </w:p>
          <w:p>
            <w:pPr>
              <w:pStyle w:val="style0"/>
              <w:spacing w:before="0"/>
              <w:rPr>
                <w:rFonts w:eastAsia="Calibri"/>
                <w:color w:val="000000"/>
                <w:sz w:val="20"/>
                <w:szCs w:val="20"/>
              </w:rPr>
            </w:pPr>
          </w:p>
        </w:tc>
        <w:tc>
          <w:tcPr>
            <w:tcW w:w="810" w:type="pct"/>
            <w:tcBorders/>
            <w:vAlign w:val="center"/>
          </w:tcPr>
          <w:p>
            <w:pPr>
              <w:pStyle w:val="style0"/>
              <w:spacing w:before="0"/>
              <w:rPr>
                <w:rFonts w:eastAsia="Calibri"/>
                <w:color w:val="000000"/>
                <w:sz w:val="20"/>
                <w:szCs w:val="20"/>
              </w:rPr>
            </w:pPr>
            <w:r>
              <w:rPr>
                <w:rFonts w:eastAsia="Calibri"/>
                <w:i/>
                <w:iCs/>
                <w:sz w:val="20"/>
                <w:szCs w:val="20"/>
              </w:rPr>
              <w:t>Fusarium oxysporum, Fusarium</w:t>
            </w:r>
            <w:r>
              <w:rPr>
                <w:rFonts w:eastAsia="Calibri"/>
                <w:sz w:val="20"/>
                <w:szCs w:val="20"/>
              </w:rPr>
              <w:t xml:space="preserve"> </w:t>
            </w:r>
            <w:r>
              <w:rPr>
                <w:rFonts w:eastAsia="Calibri"/>
                <w:i/>
                <w:iCs/>
                <w:sz w:val="20"/>
                <w:szCs w:val="20"/>
              </w:rPr>
              <w:t>solani</w:t>
            </w:r>
          </w:p>
        </w:tc>
        <w:tc>
          <w:tcPr>
            <w:tcW w:w="2941" w:type="pct"/>
            <w:tcBorders/>
            <w:vAlign w:val="center"/>
          </w:tcPr>
          <w:p>
            <w:pPr>
              <w:pStyle w:val="style0"/>
              <w:spacing w:before="0"/>
              <w:rPr>
                <w:rFonts w:eastAsia="Calibri"/>
                <w:iCs/>
                <w:sz w:val="20"/>
                <w:szCs w:val="20"/>
              </w:rPr>
            </w:pPr>
            <w:r>
              <w:rPr>
                <w:rFonts w:eastAsia="Calibri"/>
                <w:iCs/>
                <w:sz w:val="20"/>
                <w:szCs w:val="20"/>
              </w:rPr>
              <w:t>-</w:t>
            </w:r>
            <w:r>
              <w:rPr>
                <w:rFonts w:eastAsia="Calibri"/>
                <w:iCs/>
                <w:sz w:val="20"/>
                <w:szCs w:val="20"/>
              </w:rPr>
              <w:t>rotation des cultures;</w:t>
            </w:r>
          </w:p>
          <w:p>
            <w:pPr>
              <w:pStyle w:val="style0"/>
              <w:spacing w:before="0"/>
              <w:rPr>
                <w:rFonts w:eastAsia="Calibri"/>
                <w:iCs/>
                <w:sz w:val="20"/>
                <w:szCs w:val="20"/>
              </w:rPr>
            </w:pPr>
            <w:r>
              <w:rPr>
                <w:rFonts w:eastAsia="Calibri"/>
                <w:iCs/>
                <w:sz w:val="20"/>
                <w:szCs w:val="20"/>
              </w:rPr>
              <w:t>-</w:t>
            </w:r>
            <w:r>
              <w:rPr>
                <w:rFonts w:eastAsia="Calibri"/>
                <w:iCs/>
                <w:sz w:val="20"/>
                <w:szCs w:val="20"/>
              </w:rPr>
              <w:t>bonne préparation du sol;</w:t>
            </w:r>
          </w:p>
          <w:p>
            <w:pPr>
              <w:pStyle w:val="style0"/>
              <w:spacing w:before="0"/>
              <w:rPr>
                <w:rFonts w:eastAsia="Calibri"/>
                <w:color w:val="000000"/>
                <w:sz w:val="20"/>
                <w:szCs w:val="20"/>
              </w:rPr>
            </w:pPr>
            <w:r>
              <w:rPr>
                <w:rFonts w:eastAsia="Calibri"/>
                <w:iCs/>
                <w:sz w:val="20"/>
                <w:szCs w:val="20"/>
              </w:rPr>
              <w:t>-</w:t>
            </w:r>
            <w:r>
              <w:rPr>
                <w:rFonts w:eastAsia="Calibri"/>
                <w:iCs/>
                <w:sz w:val="20"/>
                <w:szCs w:val="20"/>
              </w:rPr>
              <w:t>traitement des semences.</w:t>
            </w:r>
          </w:p>
        </w:tc>
      </w:tr>
      <w:tr>
        <w:tblPrEx/>
        <w:trPr/>
        <w:tc>
          <w:tcPr>
            <w:tcW w:w="660" w:type="pct"/>
            <w:tcBorders/>
            <w:vAlign w:val="center"/>
          </w:tcPr>
          <w:p>
            <w:pPr>
              <w:pStyle w:val="style0"/>
              <w:spacing w:before="0"/>
              <w:rPr>
                <w:rFonts w:eastAsia="Calibri"/>
                <w:bCs/>
                <w:sz w:val="20"/>
                <w:szCs w:val="20"/>
              </w:rPr>
            </w:pPr>
            <w:r>
              <w:rPr>
                <w:rFonts w:eastAsia="Calibri"/>
                <w:sz w:val="20"/>
                <w:szCs w:val="20"/>
              </w:rPr>
              <w:t xml:space="preserve">Mildiou de l’oignon  </w:t>
            </w:r>
          </w:p>
        </w:tc>
        <w:tc>
          <w:tcPr>
            <w:tcW w:w="589" w:type="pct"/>
            <w:vMerge w:val="continue"/>
            <w:tcBorders/>
            <w:vAlign w:val="center"/>
          </w:tcPr>
          <w:p>
            <w:pPr>
              <w:pStyle w:val="style0"/>
              <w:spacing w:before="0"/>
              <w:rPr>
                <w:rFonts w:eastAsia="Calibri"/>
                <w:color w:val="000000"/>
                <w:sz w:val="20"/>
                <w:szCs w:val="20"/>
              </w:rPr>
            </w:pPr>
          </w:p>
        </w:tc>
        <w:tc>
          <w:tcPr>
            <w:tcW w:w="810" w:type="pct"/>
            <w:tcBorders/>
            <w:vAlign w:val="center"/>
          </w:tcPr>
          <w:p>
            <w:pPr>
              <w:pStyle w:val="style0"/>
              <w:spacing w:before="0"/>
              <w:rPr>
                <w:rFonts w:eastAsia="Calibri"/>
                <w:bCs/>
                <w:i/>
                <w:iCs/>
                <w:sz w:val="20"/>
                <w:szCs w:val="20"/>
              </w:rPr>
            </w:pPr>
            <w:r>
              <w:rPr>
                <w:rFonts w:eastAsia="Calibri"/>
                <w:bCs/>
                <w:i/>
                <w:iCs/>
                <w:sz w:val="20"/>
                <w:szCs w:val="20"/>
              </w:rPr>
              <w:t>Peronospora destructor</w:t>
            </w:r>
          </w:p>
        </w:tc>
        <w:tc>
          <w:tcPr>
            <w:tcW w:w="2941" w:type="pct"/>
            <w:tcBorders/>
            <w:vAlign w:val="center"/>
          </w:tcPr>
          <w:p>
            <w:pPr>
              <w:pStyle w:val="style0"/>
              <w:spacing w:before="0"/>
              <w:rPr>
                <w:rFonts w:eastAsia="Calibri"/>
                <w:iCs/>
                <w:sz w:val="20"/>
                <w:szCs w:val="20"/>
              </w:rPr>
            </w:pPr>
            <w:r>
              <w:rPr>
                <w:rFonts w:eastAsia="Calibri"/>
                <w:iCs/>
                <w:sz w:val="20"/>
                <w:szCs w:val="20"/>
              </w:rPr>
              <w:t>-</w:t>
            </w:r>
            <w:r>
              <w:rPr>
                <w:rFonts w:eastAsia="Calibri"/>
                <w:iCs/>
                <w:sz w:val="20"/>
                <w:szCs w:val="20"/>
              </w:rPr>
              <w:t>mesures prophylactiques qui passent par le trempage des bulbilles dans un fongicide;</w:t>
            </w:r>
          </w:p>
          <w:p>
            <w:pPr>
              <w:pStyle w:val="style0"/>
              <w:spacing w:before="0"/>
              <w:rPr>
                <w:rFonts w:eastAsia="Calibri"/>
                <w:iCs/>
                <w:sz w:val="20"/>
                <w:szCs w:val="20"/>
              </w:rPr>
            </w:pPr>
            <w:r>
              <w:rPr>
                <w:rFonts w:eastAsia="Calibri"/>
                <w:iCs/>
                <w:sz w:val="20"/>
                <w:szCs w:val="20"/>
              </w:rPr>
              <w:t>-</w:t>
            </w:r>
            <w:r>
              <w:rPr>
                <w:rFonts w:eastAsia="Calibri"/>
                <w:iCs/>
                <w:sz w:val="20"/>
                <w:szCs w:val="20"/>
              </w:rPr>
              <w:t>désherbage soigné des parcelles pour empêcher un niveau d’hygrométrie élevée au niveau du feuillage</w:t>
            </w:r>
          </w:p>
          <w:p>
            <w:pPr>
              <w:pStyle w:val="style0"/>
              <w:spacing w:before="0"/>
              <w:rPr>
                <w:rFonts w:eastAsia="Calibri"/>
                <w:iCs/>
                <w:sz w:val="20"/>
                <w:szCs w:val="20"/>
              </w:rPr>
            </w:pPr>
            <w:r>
              <w:rPr>
                <w:rFonts w:eastAsia="Calibri"/>
                <w:iCs/>
                <w:sz w:val="20"/>
                <w:szCs w:val="20"/>
              </w:rPr>
              <w:t>-</w:t>
            </w:r>
            <w:r>
              <w:rPr>
                <w:rFonts w:eastAsia="Calibri"/>
                <w:iCs/>
                <w:sz w:val="20"/>
                <w:szCs w:val="20"/>
              </w:rPr>
              <w:t>raisonnement de la fertilisation : l’azote lorsqu’il est présent en fortes quantités fragilise la plante par rapport à la maladie</w:t>
            </w:r>
          </w:p>
          <w:p>
            <w:pPr>
              <w:pStyle w:val="style0"/>
              <w:spacing w:before="0"/>
              <w:rPr>
                <w:rFonts w:eastAsia="Calibri"/>
                <w:iCs/>
                <w:sz w:val="20"/>
                <w:szCs w:val="20"/>
              </w:rPr>
            </w:pPr>
            <w:r>
              <w:rPr>
                <w:rFonts w:eastAsia="Calibri"/>
                <w:iCs/>
                <w:sz w:val="20"/>
                <w:szCs w:val="20"/>
              </w:rPr>
              <w:t xml:space="preserve">choix du calendrier de culture : si la date de plantation est trop tardive, le rendement peut être fortement pénalisé en cas d’arrivée précoce du mildiou </w:t>
            </w:r>
          </w:p>
          <w:p>
            <w:pPr>
              <w:pStyle w:val="style0"/>
              <w:spacing w:before="0"/>
              <w:rPr>
                <w:rFonts w:eastAsia="Calibri"/>
                <w:iCs/>
                <w:sz w:val="20"/>
                <w:szCs w:val="20"/>
              </w:rPr>
            </w:pPr>
            <w:r>
              <w:rPr>
                <w:rFonts w:eastAsia="Calibri"/>
                <w:iCs/>
                <w:sz w:val="20"/>
                <w:szCs w:val="20"/>
              </w:rPr>
              <w:t>-</w:t>
            </w:r>
            <w:r>
              <w:rPr>
                <w:rFonts w:eastAsia="Calibri"/>
                <w:iCs/>
                <w:sz w:val="20"/>
                <w:szCs w:val="20"/>
              </w:rPr>
              <w:t>raisonnement des interventions fongicides en positionnant les traitements en fonction des périodes à risques.</w:t>
            </w:r>
          </w:p>
        </w:tc>
      </w:tr>
      <w:tr>
        <w:tblPrEx/>
        <w:trPr/>
        <w:tc>
          <w:tcPr>
            <w:tcW w:w="660" w:type="pct"/>
            <w:tcBorders/>
            <w:vAlign w:val="center"/>
          </w:tcPr>
          <w:p>
            <w:pPr>
              <w:pStyle w:val="style0"/>
              <w:spacing w:before="0"/>
              <w:rPr>
                <w:rFonts w:eastAsia="Calibri"/>
                <w:bCs/>
                <w:sz w:val="20"/>
                <w:szCs w:val="20"/>
              </w:rPr>
            </w:pPr>
            <w:r>
              <w:rPr>
                <w:rFonts w:eastAsia="Calibri"/>
                <w:bCs/>
                <w:iCs/>
                <w:sz w:val="20"/>
                <w:szCs w:val="20"/>
              </w:rPr>
              <w:t>Racine rose</w:t>
            </w:r>
          </w:p>
        </w:tc>
        <w:tc>
          <w:tcPr>
            <w:tcW w:w="589" w:type="pct"/>
            <w:vMerge w:val="continue"/>
            <w:tcBorders/>
            <w:vAlign w:val="center"/>
          </w:tcPr>
          <w:p>
            <w:pPr>
              <w:pStyle w:val="style0"/>
              <w:spacing w:before="0"/>
              <w:rPr>
                <w:rFonts w:eastAsia="Calibri"/>
                <w:color w:val="000000"/>
                <w:sz w:val="20"/>
                <w:szCs w:val="20"/>
              </w:rPr>
            </w:pPr>
          </w:p>
        </w:tc>
        <w:tc>
          <w:tcPr>
            <w:tcW w:w="810" w:type="pct"/>
            <w:tcBorders/>
            <w:vAlign w:val="center"/>
          </w:tcPr>
          <w:p>
            <w:pPr>
              <w:pStyle w:val="style0"/>
              <w:spacing w:before="0"/>
              <w:rPr>
                <w:rFonts w:eastAsia="Calibri"/>
                <w:iCs/>
                <w:sz w:val="20"/>
                <w:szCs w:val="20"/>
              </w:rPr>
            </w:pPr>
            <w:r>
              <w:rPr>
                <w:rFonts w:eastAsia="Calibri"/>
                <w:i/>
                <w:iCs/>
                <w:sz w:val="20"/>
                <w:szCs w:val="20"/>
              </w:rPr>
              <w:t>phoma terrestris</w:t>
            </w:r>
          </w:p>
        </w:tc>
        <w:tc>
          <w:tcPr>
            <w:tcW w:w="2941" w:type="pct"/>
            <w:tcBorders/>
            <w:vAlign w:val="center"/>
          </w:tcPr>
          <w:p>
            <w:pPr>
              <w:pStyle w:val="style0"/>
              <w:spacing w:before="0"/>
              <w:rPr>
                <w:rFonts w:eastAsia="Calibri"/>
                <w:iCs/>
                <w:sz w:val="20"/>
                <w:szCs w:val="20"/>
              </w:rPr>
            </w:pPr>
            <w:r>
              <w:rPr>
                <w:rFonts w:eastAsia="Calibri"/>
                <w:iCs/>
                <w:sz w:val="20"/>
                <w:szCs w:val="20"/>
              </w:rPr>
              <w:t>-</w:t>
            </w:r>
            <w:r>
              <w:rPr>
                <w:rFonts w:eastAsia="Calibri"/>
                <w:iCs/>
                <w:sz w:val="20"/>
                <w:szCs w:val="20"/>
              </w:rPr>
              <w:t>utiliser des semences traitées</w:t>
            </w:r>
          </w:p>
          <w:p>
            <w:pPr>
              <w:pStyle w:val="style0"/>
              <w:spacing w:before="0"/>
              <w:rPr>
                <w:rFonts w:eastAsia="Calibri"/>
                <w:iCs/>
                <w:sz w:val="20"/>
                <w:szCs w:val="20"/>
              </w:rPr>
            </w:pPr>
            <w:r>
              <w:rPr>
                <w:rFonts w:eastAsia="Calibri"/>
                <w:iCs/>
                <w:sz w:val="20"/>
                <w:szCs w:val="20"/>
              </w:rPr>
              <w:t>-</w:t>
            </w:r>
            <w:r>
              <w:rPr>
                <w:rFonts w:eastAsia="Calibri"/>
                <w:iCs/>
                <w:sz w:val="20"/>
                <w:szCs w:val="20"/>
              </w:rPr>
              <w:t>repiquer des plantes saines ;</w:t>
            </w:r>
          </w:p>
          <w:p>
            <w:pPr>
              <w:pStyle w:val="style0"/>
              <w:spacing w:before="0"/>
              <w:rPr>
                <w:rFonts w:eastAsia="Calibri"/>
                <w:iCs/>
                <w:sz w:val="20"/>
                <w:szCs w:val="20"/>
              </w:rPr>
            </w:pPr>
            <w:r>
              <w:rPr>
                <w:rFonts w:eastAsia="Calibri"/>
                <w:iCs/>
                <w:sz w:val="20"/>
                <w:szCs w:val="20"/>
              </w:rPr>
              <w:t>-</w:t>
            </w:r>
            <w:r>
              <w:rPr>
                <w:rFonts w:eastAsia="Calibri"/>
                <w:iCs/>
                <w:sz w:val="20"/>
                <w:szCs w:val="20"/>
              </w:rPr>
              <w:t>utiliser des objets sains;</w:t>
            </w:r>
          </w:p>
          <w:p>
            <w:pPr>
              <w:pStyle w:val="style0"/>
              <w:spacing w:before="0"/>
              <w:rPr>
                <w:rFonts w:eastAsia="Calibri"/>
                <w:iCs/>
                <w:sz w:val="20"/>
                <w:szCs w:val="20"/>
              </w:rPr>
            </w:pPr>
            <w:r>
              <w:rPr>
                <w:rFonts w:eastAsia="Calibri"/>
                <w:iCs/>
                <w:sz w:val="20"/>
                <w:szCs w:val="20"/>
              </w:rPr>
              <w:t>-</w:t>
            </w:r>
            <w:r>
              <w:rPr>
                <w:rFonts w:eastAsia="Calibri"/>
                <w:iCs/>
                <w:sz w:val="20"/>
                <w:szCs w:val="20"/>
              </w:rPr>
              <w:t xml:space="preserve">faire des rotations  culturales </w:t>
            </w:r>
          </w:p>
        </w:tc>
      </w:tr>
      <w:tr>
        <w:tblPrEx/>
        <w:trPr/>
        <w:tc>
          <w:tcPr>
            <w:tcW w:w="660" w:type="pct"/>
            <w:tcBorders/>
            <w:vAlign w:val="center"/>
          </w:tcPr>
          <w:p>
            <w:pPr>
              <w:pStyle w:val="style0"/>
              <w:spacing w:before="0"/>
              <w:rPr>
                <w:rFonts w:eastAsia="Calibri"/>
                <w:iCs/>
                <w:sz w:val="20"/>
                <w:szCs w:val="20"/>
              </w:rPr>
            </w:pPr>
            <w:r>
              <w:rPr>
                <w:rFonts w:eastAsia="Calibri"/>
                <w:bCs/>
                <w:iCs/>
                <w:sz w:val="20"/>
                <w:szCs w:val="20"/>
              </w:rPr>
              <w:t>Charbon</w:t>
            </w:r>
          </w:p>
        </w:tc>
        <w:tc>
          <w:tcPr>
            <w:tcW w:w="589" w:type="pct"/>
            <w:vMerge w:val="continue"/>
            <w:tcBorders/>
            <w:vAlign w:val="center"/>
          </w:tcPr>
          <w:p>
            <w:pPr>
              <w:pStyle w:val="style0"/>
              <w:spacing w:before="0"/>
              <w:rPr>
                <w:rFonts w:eastAsia="Calibri"/>
                <w:color w:val="000000"/>
                <w:sz w:val="20"/>
                <w:szCs w:val="20"/>
              </w:rPr>
            </w:pPr>
          </w:p>
        </w:tc>
        <w:tc>
          <w:tcPr>
            <w:tcW w:w="810" w:type="pct"/>
            <w:tcBorders/>
            <w:vAlign w:val="center"/>
          </w:tcPr>
          <w:p>
            <w:pPr>
              <w:pStyle w:val="style0"/>
              <w:spacing w:before="0"/>
              <w:rPr>
                <w:rFonts w:eastAsia="Calibri"/>
                <w:iCs/>
                <w:sz w:val="20"/>
                <w:szCs w:val="20"/>
              </w:rPr>
            </w:pPr>
            <w:r>
              <w:rPr>
                <w:rFonts w:eastAsia="Calibri"/>
                <w:i/>
                <w:iCs/>
                <w:sz w:val="20"/>
                <w:szCs w:val="20"/>
              </w:rPr>
              <w:t>Urocystis cepulae</w:t>
            </w:r>
          </w:p>
        </w:tc>
        <w:tc>
          <w:tcPr>
            <w:tcW w:w="2941" w:type="pct"/>
            <w:tcBorders/>
            <w:vAlign w:val="center"/>
          </w:tcPr>
          <w:p>
            <w:pPr>
              <w:pStyle w:val="style0"/>
              <w:spacing w:before="0"/>
              <w:rPr>
                <w:rFonts w:eastAsia="Calibri"/>
                <w:iCs/>
                <w:sz w:val="20"/>
                <w:szCs w:val="20"/>
              </w:rPr>
            </w:pPr>
            <w:r>
              <w:rPr>
                <w:rFonts w:eastAsia="Calibri"/>
                <w:iCs/>
                <w:sz w:val="20"/>
                <w:szCs w:val="20"/>
              </w:rPr>
              <w:t>-</w:t>
            </w:r>
            <w:r>
              <w:rPr>
                <w:rFonts w:eastAsia="Calibri"/>
                <w:iCs/>
                <w:sz w:val="20"/>
                <w:szCs w:val="20"/>
              </w:rPr>
              <w:t>utiliser des semences traitées</w:t>
            </w:r>
          </w:p>
          <w:p>
            <w:pPr>
              <w:pStyle w:val="style0"/>
              <w:spacing w:before="0"/>
              <w:rPr>
                <w:rFonts w:eastAsia="Calibri"/>
                <w:iCs/>
                <w:sz w:val="20"/>
                <w:szCs w:val="20"/>
              </w:rPr>
            </w:pPr>
            <w:r>
              <w:rPr>
                <w:rFonts w:eastAsia="Calibri"/>
                <w:iCs/>
                <w:sz w:val="20"/>
                <w:szCs w:val="20"/>
              </w:rPr>
              <w:t>-</w:t>
            </w:r>
            <w:r>
              <w:rPr>
                <w:rFonts w:eastAsia="Calibri"/>
                <w:iCs/>
                <w:sz w:val="20"/>
                <w:szCs w:val="20"/>
              </w:rPr>
              <w:t>repiquer des plantes saines ;</w:t>
            </w:r>
          </w:p>
          <w:p>
            <w:pPr>
              <w:pStyle w:val="style0"/>
              <w:spacing w:before="0"/>
              <w:rPr>
                <w:rFonts w:eastAsia="Calibri"/>
                <w:iCs/>
                <w:sz w:val="20"/>
                <w:szCs w:val="20"/>
              </w:rPr>
            </w:pPr>
            <w:r>
              <w:rPr>
                <w:rFonts w:eastAsia="Calibri"/>
                <w:iCs/>
                <w:sz w:val="20"/>
                <w:szCs w:val="20"/>
              </w:rPr>
              <w:t>-</w:t>
            </w:r>
            <w:r>
              <w:rPr>
                <w:rFonts w:eastAsia="Calibri"/>
                <w:iCs/>
                <w:sz w:val="20"/>
                <w:szCs w:val="20"/>
              </w:rPr>
              <w:t>utiliser des objets sains;</w:t>
            </w:r>
          </w:p>
          <w:p>
            <w:pPr>
              <w:pStyle w:val="style0"/>
              <w:spacing w:before="0"/>
              <w:rPr>
                <w:rFonts w:eastAsia="Calibri"/>
                <w:iCs/>
                <w:sz w:val="20"/>
                <w:szCs w:val="20"/>
              </w:rPr>
            </w:pPr>
            <w:r>
              <w:rPr>
                <w:rFonts w:eastAsia="Calibri"/>
                <w:iCs/>
                <w:sz w:val="20"/>
                <w:szCs w:val="20"/>
              </w:rPr>
              <w:t>-</w:t>
            </w:r>
            <w:r>
              <w:rPr>
                <w:rFonts w:eastAsia="Calibri"/>
                <w:iCs/>
                <w:sz w:val="20"/>
                <w:szCs w:val="20"/>
              </w:rPr>
              <w:t>ne pas enfouir profondément les plants;</w:t>
            </w:r>
          </w:p>
          <w:p>
            <w:pPr>
              <w:pStyle w:val="style0"/>
              <w:spacing w:before="0"/>
              <w:rPr>
                <w:rFonts w:eastAsia="Calibri"/>
                <w:iCs/>
                <w:sz w:val="20"/>
                <w:szCs w:val="20"/>
              </w:rPr>
            </w:pPr>
            <w:r>
              <w:rPr>
                <w:rFonts w:eastAsia="Calibri"/>
                <w:iCs/>
                <w:sz w:val="20"/>
                <w:szCs w:val="20"/>
              </w:rPr>
              <w:t>-</w:t>
            </w:r>
            <w:r>
              <w:rPr>
                <w:rFonts w:eastAsia="Calibri"/>
                <w:iCs/>
                <w:sz w:val="20"/>
                <w:szCs w:val="20"/>
              </w:rPr>
              <w:t>faire des rotations  culturales ;</w:t>
            </w:r>
          </w:p>
        </w:tc>
      </w:tr>
      <w:tr>
        <w:tblPrEx/>
        <w:trPr/>
        <w:tc>
          <w:tcPr>
            <w:tcW w:w="660" w:type="pct"/>
            <w:tcBorders/>
            <w:vAlign w:val="center"/>
          </w:tcPr>
          <w:p>
            <w:pPr>
              <w:pStyle w:val="style0"/>
              <w:spacing w:before="0"/>
              <w:rPr>
                <w:rFonts w:eastAsia="Calibri"/>
                <w:iCs/>
                <w:sz w:val="20"/>
                <w:szCs w:val="20"/>
              </w:rPr>
            </w:pPr>
            <w:r>
              <w:rPr>
                <w:rFonts w:eastAsia="Calibri"/>
                <w:bCs/>
                <w:iCs/>
                <w:sz w:val="20"/>
                <w:szCs w:val="20"/>
              </w:rPr>
              <w:t>Pourriture des bulbes</w:t>
            </w:r>
          </w:p>
        </w:tc>
        <w:tc>
          <w:tcPr>
            <w:tcW w:w="589" w:type="pct"/>
            <w:vMerge w:val="continue"/>
            <w:tcBorders/>
            <w:vAlign w:val="center"/>
          </w:tcPr>
          <w:p>
            <w:pPr>
              <w:pStyle w:val="style0"/>
              <w:spacing w:before="0"/>
              <w:rPr>
                <w:rFonts w:eastAsia="Calibri"/>
                <w:sz w:val="20"/>
                <w:szCs w:val="20"/>
              </w:rPr>
            </w:pPr>
          </w:p>
        </w:tc>
        <w:tc>
          <w:tcPr>
            <w:tcW w:w="810" w:type="pct"/>
            <w:tcBorders/>
            <w:vAlign w:val="center"/>
          </w:tcPr>
          <w:p>
            <w:pPr>
              <w:pStyle w:val="style0"/>
              <w:spacing w:before="0"/>
              <w:rPr>
                <w:rFonts w:eastAsia="Calibri"/>
                <w:i/>
                <w:iCs/>
                <w:sz w:val="20"/>
                <w:szCs w:val="20"/>
              </w:rPr>
            </w:pPr>
            <w:r>
              <w:rPr>
                <w:rFonts w:eastAsia="Calibri"/>
                <w:i/>
                <w:iCs/>
                <w:sz w:val="20"/>
                <w:szCs w:val="20"/>
              </w:rPr>
              <w:t>Sclérotium ceviporum,  Aspergillus niger</w:t>
            </w:r>
          </w:p>
        </w:tc>
        <w:tc>
          <w:tcPr>
            <w:tcW w:w="2941" w:type="pct"/>
            <w:tcBorders/>
            <w:vAlign w:val="center"/>
          </w:tcPr>
          <w:p>
            <w:pPr>
              <w:pStyle w:val="style0"/>
              <w:spacing w:before="0"/>
              <w:rPr>
                <w:rFonts w:eastAsia="Calibri"/>
                <w:iCs/>
                <w:sz w:val="20"/>
                <w:szCs w:val="20"/>
              </w:rPr>
            </w:pPr>
            <w:r>
              <w:rPr>
                <w:rFonts w:eastAsia="Calibri"/>
                <w:iCs/>
                <w:sz w:val="20"/>
                <w:szCs w:val="20"/>
              </w:rPr>
              <w:t>-t</w:t>
            </w:r>
            <w:r>
              <w:rPr>
                <w:rFonts w:eastAsia="Calibri"/>
                <w:iCs/>
                <w:sz w:val="20"/>
                <w:szCs w:val="20"/>
              </w:rPr>
              <w:t xml:space="preserve">raiter </w:t>
            </w:r>
            <w:r>
              <w:rPr>
                <w:rFonts w:eastAsia="Calibri"/>
                <w:iCs/>
                <w:sz w:val="20"/>
                <w:szCs w:val="20"/>
              </w:rPr>
              <w:t>les plantes avec un fongicide;</w:t>
            </w:r>
          </w:p>
          <w:p>
            <w:pPr>
              <w:pStyle w:val="style0"/>
              <w:spacing w:before="0"/>
              <w:rPr>
                <w:rFonts w:eastAsia="Calibri"/>
                <w:iCs/>
                <w:sz w:val="20"/>
                <w:szCs w:val="20"/>
              </w:rPr>
            </w:pPr>
            <w:r>
              <w:rPr>
                <w:rFonts w:eastAsia="Calibri"/>
                <w:iCs/>
                <w:sz w:val="20"/>
                <w:szCs w:val="20"/>
              </w:rPr>
              <w:t>-t</w:t>
            </w:r>
            <w:r>
              <w:rPr>
                <w:rFonts w:eastAsia="Calibri"/>
                <w:iCs/>
                <w:sz w:val="20"/>
                <w:szCs w:val="20"/>
              </w:rPr>
              <w:t xml:space="preserve">remper </w:t>
            </w:r>
            <w:r>
              <w:rPr>
                <w:rFonts w:eastAsia="Calibri"/>
                <w:iCs/>
                <w:sz w:val="20"/>
                <w:szCs w:val="20"/>
              </w:rPr>
              <w:t>les bulbes après récolte dans une</w:t>
            </w:r>
            <w:r>
              <w:rPr>
                <w:rFonts w:eastAsia="Calibri"/>
                <w:iCs/>
                <w:sz w:val="20"/>
                <w:szCs w:val="20"/>
              </w:rPr>
              <w:t xml:space="preserve"> solution de fongicide (mancozèbe) proscrit de l’utilisation</w:t>
            </w:r>
          </w:p>
        </w:tc>
      </w:tr>
      <w:tr>
        <w:tblPrEx/>
        <w:trPr/>
        <w:tc>
          <w:tcPr>
            <w:tcW w:w="660" w:type="pct"/>
            <w:tcBorders/>
            <w:vAlign w:val="center"/>
          </w:tcPr>
          <w:p>
            <w:pPr>
              <w:pStyle w:val="style0"/>
              <w:spacing w:before="0"/>
              <w:rPr>
                <w:rFonts w:eastAsia="Calibri"/>
                <w:bCs/>
                <w:iCs/>
                <w:sz w:val="20"/>
                <w:szCs w:val="20"/>
              </w:rPr>
            </w:pPr>
            <w:r>
              <w:rPr>
                <w:rFonts w:eastAsia="Calibri"/>
                <w:bCs/>
                <w:iCs/>
                <w:sz w:val="20"/>
                <w:szCs w:val="20"/>
              </w:rPr>
              <w:t xml:space="preserve">Pourriture molle: </w:t>
            </w:r>
          </w:p>
        </w:tc>
        <w:tc>
          <w:tcPr>
            <w:tcW w:w="589" w:type="pct"/>
            <w:tcBorders/>
            <w:vAlign w:val="center"/>
          </w:tcPr>
          <w:p>
            <w:pPr>
              <w:pStyle w:val="style0"/>
              <w:spacing w:before="0"/>
              <w:rPr>
                <w:rFonts w:eastAsia="Calibri"/>
                <w:sz w:val="20"/>
                <w:szCs w:val="20"/>
              </w:rPr>
            </w:pPr>
            <w:r>
              <w:rPr>
                <w:rFonts w:eastAsia="Calibri"/>
                <w:sz w:val="20"/>
                <w:szCs w:val="20"/>
              </w:rPr>
              <w:t>Bactéries</w:t>
            </w:r>
          </w:p>
        </w:tc>
        <w:tc>
          <w:tcPr>
            <w:tcW w:w="810" w:type="pct"/>
            <w:tcBorders/>
            <w:vAlign w:val="center"/>
          </w:tcPr>
          <w:p>
            <w:pPr>
              <w:pStyle w:val="style0"/>
              <w:spacing w:before="0"/>
              <w:rPr>
                <w:rFonts w:eastAsia="Calibri"/>
                <w:i/>
                <w:iCs/>
                <w:sz w:val="20"/>
                <w:szCs w:val="20"/>
              </w:rPr>
            </w:pPr>
            <w:r>
              <w:rPr>
                <w:rFonts w:eastAsia="Calibri"/>
                <w:i/>
                <w:iCs/>
                <w:sz w:val="20"/>
                <w:szCs w:val="20"/>
              </w:rPr>
              <w:t>Pseudomonas et Erwinia spp</w:t>
            </w:r>
          </w:p>
        </w:tc>
        <w:tc>
          <w:tcPr>
            <w:tcW w:w="2941" w:type="pct"/>
            <w:tcBorders/>
            <w:vAlign w:val="center"/>
          </w:tcPr>
          <w:p>
            <w:pPr>
              <w:pStyle w:val="style0"/>
              <w:spacing w:before="0"/>
              <w:rPr>
                <w:rFonts w:eastAsia="Calibri"/>
                <w:iCs/>
                <w:sz w:val="20"/>
                <w:szCs w:val="20"/>
              </w:rPr>
            </w:pPr>
          </w:p>
        </w:tc>
      </w:tr>
    </w:tbl>
    <w:p>
      <w:pPr>
        <w:pStyle w:val="style0"/>
        <w:spacing w:before="0"/>
        <w:rPr>
          <w:rFonts w:cs="TimesNewRomanPSMT" w:eastAsia="Calibri"/>
          <w:lang w:eastAsia="fr-FR"/>
        </w:rPr>
        <w:sectPr>
          <w:pgSz w:w="11906" w:h="16838" w:orient="portrait"/>
          <w:pgMar w:top="1418" w:right="1134" w:bottom="1418" w:left="1134" w:header="709" w:footer="709" w:gutter="0"/>
          <w:cols w:space="708"/>
          <w:docGrid w:linePitch="360"/>
        </w:sectPr>
      </w:pPr>
    </w:p>
    <w:bookmarkStart w:id="376" w:name="_Toc2831221"/>
    <w:p>
      <w:pPr>
        <w:pStyle w:val="style1"/>
        <w:numPr>
          <w:ilvl w:val="0"/>
          <w:numId w:val="0"/>
        </w:numPr>
        <w:rPr/>
      </w:pPr>
      <w:r>
        <w:t xml:space="preserve">F. </w:t>
      </w:r>
      <w:r>
        <w:t>PLAN D’ACTION DE</w:t>
      </w:r>
      <w:r>
        <w:t xml:space="preserve"> gestion integree des pestes (MGIP)</w:t>
      </w:r>
      <w:bookmarkEnd w:id="376"/>
      <w:r>
        <w:t xml:space="preserve"> </w:t>
      </w:r>
    </w:p>
    <w:p>
      <w:pPr>
        <w:pStyle w:val="style0"/>
        <w:autoSpaceDE w:val="false"/>
        <w:autoSpaceDN w:val="false"/>
        <w:adjustRightInd w:val="false"/>
        <w:rPr>
          <w:sz w:val="22"/>
          <w:szCs w:val="22"/>
        </w:rPr>
      </w:pPr>
    </w:p>
    <w:p>
      <w:pPr>
        <w:pStyle w:val="style0"/>
        <w:rPr>
          <w:rFonts w:eastAsia="Calibri"/>
        </w:rPr>
      </w:pPr>
      <w:r>
        <w:rPr>
          <w:rFonts w:eastAsia="Calibri"/>
        </w:rPr>
        <w:t>Le</w:t>
      </w:r>
      <w:r>
        <w:rPr>
          <w:rFonts w:eastAsia="Calibri"/>
        </w:rPr>
        <w:t xml:space="preserve">s mesures de gestion intégrée des pestes (MGIP) dans le cadre du PDCA, </w:t>
      </w:r>
      <w:r>
        <w:rPr>
          <w:rFonts w:eastAsia="Calibri"/>
        </w:rPr>
        <w:t>devront</w:t>
      </w:r>
      <w:r>
        <w:rPr>
          <w:rFonts w:eastAsia="Calibri"/>
        </w:rPr>
        <w:t xml:space="preserve"> permettre de mieux utiliser des pesticides et surtout de préconiser un ensemble de mesures pour en limiter les </w:t>
      </w:r>
      <w:r>
        <w:rPr>
          <w:rFonts w:eastAsia="Calibri"/>
        </w:rPr>
        <w:t>impacts</w:t>
      </w:r>
      <w:r>
        <w:rPr>
          <w:rFonts w:eastAsia="Calibri"/>
        </w:rPr>
        <w:t xml:space="preserve"> </w:t>
      </w:r>
      <w:r>
        <w:rPr>
          <w:rFonts w:eastAsia="Calibri"/>
        </w:rPr>
        <w:t>négatifs dans la mise en œuvre du pro</w:t>
      </w:r>
      <w:r>
        <w:rPr>
          <w:rFonts w:eastAsia="Calibri"/>
        </w:rPr>
        <w:t>gramme</w:t>
      </w:r>
      <w:r>
        <w:rPr>
          <w:rFonts w:eastAsia="Calibri"/>
        </w:rPr>
        <w:t>. Il devrait favoriser la vulgarisation de techniques alternatives à l’utilisation des pesticides de synthèse. Il devra ainsi contribuer à protéger l’environnement physique et humain notamment à travers le contrôle des importations et de la distribution de pesticides, le renforcement des capacités des producteurs</w:t>
      </w:r>
      <w:r>
        <w:rPr>
          <w:rFonts w:eastAsia="Calibri"/>
        </w:rPr>
        <w:t xml:space="preserve"> ainsi que des structures de contrôle et d’appui</w:t>
      </w:r>
      <w:r>
        <w:rPr>
          <w:rFonts w:eastAsia="Calibri"/>
        </w:rPr>
        <w:t>, l</w:t>
      </w:r>
      <w:r>
        <w:rPr>
          <w:rFonts w:eastAsia="Calibri"/>
        </w:rPr>
        <w:t xml:space="preserve">e suivi </w:t>
      </w:r>
      <w:r>
        <w:rPr>
          <w:rFonts w:eastAsia="Calibri"/>
        </w:rPr>
        <w:t>évaluation</w:t>
      </w:r>
      <w:r>
        <w:rPr>
          <w:rFonts w:eastAsia="Calibri"/>
        </w:rPr>
        <w:t xml:space="preserve"> et le ra</w:t>
      </w:r>
      <w:r>
        <w:rPr>
          <w:rFonts w:eastAsia="Calibri"/>
        </w:rPr>
        <w:t>pportage</w:t>
      </w:r>
      <w:r>
        <w:rPr>
          <w:rFonts w:eastAsia="Calibri"/>
        </w:rPr>
        <w:t xml:space="preserve"> de l’impact environnemental des activités susceptibles d’utiliser une quantité considérable de pesticides, le suivi sanitaire des applicateurs et la gestion des contenants et emballages vides. La mise en œuvre d’alternative</w:t>
      </w:r>
      <w:r>
        <w:rPr>
          <w:rFonts w:eastAsia="Calibri"/>
        </w:rPr>
        <w:t>s</w:t>
      </w:r>
      <w:r>
        <w:rPr>
          <w:rFonts w:eastAsia="Calibri"/>
        </w:rPr>
        <w:t xml:space="preserve"> à la lutte chimique sera préconisée, et toute utilisation de pesticides de synthèse devrait se faire dans les normes de sécurité. </w:t>
      </w:r>
    </w:p>
    <w:p>
      <w:pPr>
        <w:pStyle w:val="style0"/>
        <w:rPr>
          <w:rFonts w:eastAsia="Calibri"/>
        </w:rPr>
      </w:pPr>
      <w:r>
        <w:rPr>
          <w:rFonts w:eastAsia="Calibri"/>
        </w:rPr>
        <w:t xml:space="preserve">Cela se fera dans le cadre d’un </w:t>
      </w:r>
      <w:r>
        <w:rPr>
          <w:rFonts w:eastAsia="Calibri"/>
        </w:rPr>
        <w:t>plan de gestion des pestes</w:t>
      </w:r>
      <w:r>
        <w:rPr>
          <w:rFonts w:eastAsia="Calibri"/>
        </w:rPr>
        <w:t>, qui</w:t>
      </w:r>
      <w:r>
        <w:rPr>
          <w:rFonts w:eastAsia="Calibri"/>
        </w:rPr>
        <w:t xml:space="preserve"> est un outil de gestion stratégique et opérationnel des impacts et des risques potentiels. Ainsi, le PGP propose des solutions ou mesures palliatives p</w:t>
      </w:r>
      <w:r>
        <w:rPr>
          <w:rFonts w:eastAsia="Calibri"/>
        </w:rPr>
        <w:t>our éviter les impacts négatifs et</w:t>
      </w:r>
      <w:r>
        <w:rPr>
          <w:rFonts w:eastAsia="Calibri"/>
        </w:rPr>
        <w:t xml:space="preserve"> risques potentiels</w:t>
      </w:r>
      <w:r>
        <w:rPr>
          <w:rFonts w:eastAsia="Calibri"/>
        </w:rPr>
        <w:t>,</w:t>
      </w:r>
      <w:r>
        <w:rPr>
          <w:rFonts w:eastAsia="Calibri"/>
        </w:rPr>
        <w:t xml:space="preserve"> et à défaut de les minimiser, puis les compenser. Il s’articule autour des points suivants :</w:t>
      </w:r>
    </w:p>
    <w:p>
      <w:pPr>
        <w:pStyle w:val="style0"/>
        <w:numPr>
          <w:ilvl w:val="0"/>
          <w:numId w:val="116"/>
        </w:numPr>
        <w:rPr>
          <w:rFonts w:eastAsia="Calibri"/>
          <w:szCs w:val="23"/>
        </w:rPr>
      </w:pPr>
      <w:r>
        <w:rPr>
          <w:rFonts w:eastAsia="Calibri"/>
          <w:szCs w:val="23"/>
        </w:rPr>
        <w:t>u</w:t>
      </w:r>
      <w:r>
        <w:rPr>
          <w:rFonts w:eastAsia="Calibri"/>
          <w:szCs w:val="23"/>
        </w:rPr>
        <w:t xml:space="preserve">n </w:t>
      </w:r>
      <w:r>
        <w:rPr>
          <w:rFonts w:eastAsia="Calibri"/>
          <w:szCs w:val="23"/>
        </w:rPr>
        <w:t>programme de mise en œuvre de mesures d’atténuation des impacts et des risques potentiels ;</w:t>
      </w:r>
    </w:p>
    <w:p>
      <w:pPr>
        <w:pStyle w:val="style0"/>
        <w:numPr>
          <w:ilvl w:val="0"/>
          <w:numId w:val="116"/>
        </w:numPr>
        <w:rPr>
          <w:rFonts w:eastAsia="Calibri"/>
          <w:szCs w:val="23"/>
        </w:rPr>
      </w:pPr>
      <w:r>
        <w:rPr>
          <w:rFonts w:eastAsia="Calibri"/>
          <w:szCs w:val="23"/>
        </w:rPr>
        <w:t>u</w:t>
      </w:r>
      <w:r>
        <w:rPr>
          <w:rFonts w:eastAsia="Calibri"/>
          <w:szCs w:val="23"/>
        </w:rPr>
        <w:t xml:space="preserve">n </w:t>
      </w:r>
      <w:r>
        <w:rPr>
          <w:rFonts w:eastAsia="Calibri"/>
          <w:szCs w:val="23"/>
        </w:rPr>
        <w:t>programme de surveillance et de suivi évaluation environnementale ;</w:t>
      </w:r>
    </w:p>
    <w:p>
      <w:pPr>
        <w:pStyle w:val="style0"/>
        <w:numPr>
          <w:ilvl w:val="0"/>
          <w:numId w:val="116"/>
        </w:numPr>
        <w:rPr>
          <w:rFonts w:eastAsia="Calibri"/>
          <w:szCs w:val="23"/>
        </w:rPr>
      </w:pPr>
      <w:r>
        <w:rPr>
          <w:rFonts w:eastAsia="Calibri"/>
          <w:szCs w:val="23"/>
        </w:rPr>
        <w:t>u</w:t>
      </w:r>
      <w:r>
        <w:rPr>
          <w:rFonts w:eastAsia="Calibri"/>
          <w:szCs w:val="23"/>
        </w:rPr>
        <w:t xml:space="preserve">n </w:t>
      </w:r>
      <w:r>
        <w:rPr>
          <w:rFonts w:eastAsia="Calibri"/>
          <w:szCs w:val="23"/>
        </w:rPr>
        <w:t>programme de renforcement de capacités ;</w:t>
      </w:r>
    </w:p>
    <w:p>
      <w:pPr>
        <w:pStyle w:val="style0"/>
        <w:numPr>
          <w:ilvl w:val="0"/>
          <w:numId w:val="116"/>
        </w:numPr>
        <w:rPr>
          <w:rFonts w:eastAsia="Calibri"/>
          <w:szCs w:val="23"/>
        </w:rPr>
      </w:pPr>
      <w:r>
        <w:rPr>
          <w:rFonts w:eastAsia="Calibri"/>
          <w:szCs w:val="23"/>
        </w:rPr>
        <w:t>u</w:t>
      </w:r>
      <w:r>
        <w:rPr>
          <w:rFonts w:eastAsia="Calibri"/>
          <w:szCs w:val="23"/>
        </w:rPr>
        <w:t xml:space="preserve">ne </w:t>
      </w:r>
      <w:r>
        <w:rPr>
          <w:rFonts w:eastAsia="Calibri"/>
          <w:szCs w:val="23"/>
        </w:rPr>
        <w:t>évaluation financière</w:t>
      </w:r>
    </w:p>
    <w:p>
      <w:pPr>
        <w:pStyle w:val="style0"/>
        <w:rPr>
          <w:rFonts w:eastAsia="Calibri"/>
        </w:rPr>
      </w:pPr>
      <w:r>
        <w:rPr>
          <w:rFonts w:eastAsia="Calibri"/>
        </w:rPr>
        <w:t>Après avoir identifié les contraintes majeures dans la gestion des pestes et à l’utilisation des pesticides dans la mise en œuvre du pro</w:t>
      </w:r>
      <w:r>
        <w:rPr>
          <w:rFonts w:eastAsia="Calibri"/>
        </w:rPr>
        <w:t>gramme</w:t>
      </w:r>
      <w:r>
        <w:rPr>
          <w:rFonts w:eastAsia="Calibri"/>
        </w:rPr>
        <w:t>, les mesures de mitigation des risques potentiels et les risques du pro</w:t>
      </w:r>
      <w:r>
        <w:rPr>
          <w:rFonts w:eastAsia="Calibri"/>
        </w:rPr>
        <w:t>gramme</w:t>
      </w:r>
      <w:r>
        <w:rPr>
          <w:rFonts w:eastAsia="Calibri"/>
        </w:rPr>
        <w:t xml:space="preserve"> en matière de gestion des pestes et d’utilisation des pesticides seront présentés quantitativement et qualitativement, suivi par le programme de surveillance et du suivi évaluation. En effet, la mise en œuvre efficace des mesures d’atténuation passe forcément par un renforcement de capacités des différentes parties prenantes au pro</w:t>
      </w:r>
      <w:r>
        <w:rPr>
          <w:rFonts w:eastAsia="Calibri"/>
        </w:rPr>
        <w:t>gramme</w:t>
      </w:r>
      <w:r>
        <w:rPr>
          <w:rFonts w:eastAsia="Calibri"/>
        </w:rPr>
        <w:t xml:space="preserve"> avec une évaluation financière des mesures à mettre en œuvre en fonction de la nature des mesures.</w:t>
      </w:r>
      <w:bookmarkStart w:id="377" w:name="_Toc284400693"/>
      <w:bookmarkStart w:id="378" w:name="_Toc295903055"/>
      <w:bookmarkStart w:id="379" w:name="_Toc381371851"/>
      <w:bookmarkStart w:id="380" w:name="_Toc385280118"/>
    </w:p>
    <w:p>
      <w:pPr>
        <w:pStyle w:val="style0"/>
        <w:spacing w:lineRule="auto" w:line="276"/>
        <w:rPr>
          <w:rFonts w:eastAsia="Calibri"/>
          <w:sz w:val="23"/>
          <w:szCs w:val="23"/>
        </w:rPr>
      </w:pPr>
    </w:p>
    <w:bookmarkStart w:id="381" w:name="_Toc2831222"/>
    <w:p>
      <w:pPr>
        <w:pStyle w:val="style2"/>
        <w:numPr>
          <w:ilvl w:val="0"/>
          <w:numId w:val="0"/>
        </w:numPr>
        <w:ind w:left="284" w:hanging="284"/>
        <w:rPr/>
      </w:pPr>
      <w:r>
        <w:t xml:space="preserve">6.1. </w:t>
      </w:r>
      <w:r>
        <w:t>Activités proposées pour la gestion intégrée des pestes</w:t>
      </w:r>
      <w:bookmarkEnd w:id="381"/>
      <w:r>
        <w:t xml:space="preserve"> </w:t>
      </w:r>
    </w:p>
    <w:p>
      <w:pPr>
        <w:pStyle w:val="style0"/>
        <w:rPr/>
      </w:pPr>
      <w:r>
        <w:t xml:space="preserve">Les activités à mettre en œuvre dans le cadre de la GIP, découlent des contraintes majeures liées à l’utilisation des pesticides et à la gestion des pestes. </w:t>
      </w:r>
    </w:p>
    <w:bookmarkStart w:id="382" w:name="_Toc2831223"/>
    <w:p>
      <w:pPr>
        <w:pStyle w:val="style3"/>
        <w:rPr/>
      </w:pPr>
      <w:r>
        <w:t xml:space="preserve">6.1.1. </w:t>
      </w:r>
      <w:r>
        <w:t>Contraintes majeures dans l’utilisation et la gestion des pesticides</w:t>
      </w:r>
      <w:bookmarkEnd w:id="382"/>
      <w:r>
        <w:t xml:space="preserve"> </w:t>
      </w:r>
    </w:p>
    <w:bookmarkEnd w:id="377"/>
    <w:bookmarkEnd w:id="378"/>
    <w:bookmarkEnd w:id="379"/>
    <w:bookmarkEnd w:id="380"/>
    <w:p>
      <w:pPr>
        <w:pStyle w:val="style0"/>
        <w:rPr>
          <w:rFonts w:eastAsia="Calibri"/>
        </w:rPr>
      </w:pPr>
      <w:r>
        <w:rPr>
          <w:rFonts w:eastAsia="Calibri"/>
        </w:rPr>
        <w:t>Les contraintes majeures dans l’utilisation et la gestion des pesticides dans le cadre du pro</w:t>
      </w:r>
      <w:r>
        <w:rPr>
          <w:rFonts w:eastAsia="Calibri"/>
        </w:rPr>
        <w:t xml:space="preserve">gramme </w:t>
      </w:r>
      <w:r>
        <w:rPr>
          <w:rFonts w:eastAsia="Calibri"/>
        </w:rPr>
        <w:t xml:space="preserve">concernent les aspects techniques, organisationnels et logistiques. </w:t>
      </w:r>
    </w:p>
    <w:p>
      <w:pPr>
        <w:pStyle w:val="style0"/>
        <w:spacing w:lineRule="auto" w:line="276"/>
        <w:rPr>
          <w:rFonts w:eastAsia="Calibri"/>
          <w:sz w:val="23"/>
          <w:szCs w:val="23"/>
        </w:rPr>
      </w:pPr>
    </w:p>
    <w:bookmarkStart w:id="383" w:name="_Toc18724659"/>
    <w:bookmarkStart w:id="384" w:name="_Toc18725555"/>
    <w:bookmarkStart w:id="385" w:name="_Toc18726142"/>
    <w:bookmarkStart w:id="386" w:name="_Toc18911151"/>
    <w:bookmarkStart w:id="387" w:name="_Toc126069412"/>
    <w:bookmarkStart w:id="388" w:name="_Toc284400695"/>
    <w:bookmarkStart w:id="389" w:name="_Toc458331343"/>
    <w:bookmarkStart w:id="390" w:name="_Toc462221586"/>
    <w:bookmarkStart w:id="391" w:name="_Toc514190165"/>
    <w:p>
      <w:pPr>
        <w:pStyle w:val="style4"/>
        <w:numPr>
          <w:ilvl w:val="3"/>
          <w:numId w:val="85"/>
        </w:numPr>
        <w:rPr>
          <w:sz w:val="22"/>
        </w:rPr>
      </w:pPr>
      <w:r>
        <w:rPr>
          <w:sz w:val="22"/>
        </w:rPr>
        <w:t>Contraintes technique</w:t>
      </w:r>
      <w:bookmarkEnd w:id="383"/>
      <w:bookmarkEnd w:id="384"/>
      <w:bookmarkEnd w:id="385"/>
      <w:bookmarkEnd w:id="386"/>
      <w:bookmarkEnd w:id="387"/>
      <w:bookmarkEnd w:id="388"/>
      <w:r>
        <w:rPr>
          <w:sz w:val="22"/>
        </w:rPr>
        <w:t>s</w:t>
      </w:r>
      <w:bookmarkEnd w:id="389"/>
      <w:bookmarkEnd w:id="390"/>
      <w:bookmarkEnd w:id="391"/>
    </w:p>
    <w:p>
      <w:pPr>
        <w:pStyle w:val="style0"/>
        <w:rPr>
          <w:rFonts w:eastAsia="Calibri"/>
        </w:rPr>
      </w:pPr>
      <w:r>
        <w:rPr>
          <w:rFonts w:eastAsia="Calibri"/>
        </w:rPr>
        <w:t>Bien que disposant de personnel compétent et ayant reçu des formations dans le cadre des activités de renforcement des capacités de nombreux projets, les structures du ministère en charge de l’agriculture</w:t>
      </w:r>
      <w:r>
        <w:rPr>
          <w:rFonts w:eastAsia="Calibri"/>
        </w:rPr>
        <w:t>,</w:t>
      </w:r>
      <w:r>
        <w:rPr>
          <w:rFonts w:eastAsia="Calibri"/>
        </w:rPr>
        <w:t xml:space="preserve"> chargées d’encadrer les producteurs, disposent le plus souvent de peu de personnel mais dans la majorité des cas de peu ou pas de moyens logistiques pour assurer un encadrement efficace des bénéficiaires sur le terrain dans le cadre de l’utilisation des pesticides. De ce fait on constate</w:t>
      </w:r>
      <w:r>
        <w:rPr>
          <w:rFonts w:eastAsia="Calibri"/>
        </w:rPr>
        <w:t xml:space="preserve"> : </w:t>
      </w:r>
    </w:p>
    <w:p>
      <w:pPr>
        <w:pStyle w:val="style0"/>
        <w:numPr>
          <w:ilvl w:val="0"/>
          <w:numId w:val="3"/>
        </w:numPr>
        <w:spacing w:lineRule="auto" w:line="276"/>
        <w:rPr>
          <w:rFonts w:eastAsia="Calibri"/>
          <w:szCs w:val="23"/>
        </w:rPr>
      </w:pPr>
      <w:r>
        <w:rPr>
          <w:rFonts w:eastAsia="Calibri"/>
          <w:szCs w:val="23"/>
        </w:rPr>
        <w:t>l</w:t>
      </w:r>
      <w:r>
        <w:rPr>
          <w:rFonts w:eastAsia="Calibri"/>
          <w:szCs w:val="23"/>
        </w:rPr>
        <w:t>’absence ou le manque de contrôle des résidus de pesticides dans les récoltes ;</w:t>
      </w:r>
    </w:p>
    <w:p>
      <w:pPr>
        <w:pStyle w:val="style0"/>
        <w:numPr>
          <w:ilvl w:val="0"/>
          <w:numId w:val="3"/>
        </w:numPr>
        <w:rPr>
          <w:rFonts w:eastAsia="Calibri"/>
          <w:szCs w:val="23"/>
        </w:rPr>
      </w:pPr>
      <w:r>
        <w:rPr>
          <w:rFonts w:eastAsia="Calibri"/>
          <w:szCs w:val="23"/>
        </w:rPr>
        <w:t>un faible niveau d’alphabétisation des producteurs limitant fortement l’acquisition de connaissances nouvelles ;</w:t>
      </w:r>
    </w:p>
    <w:p>
      <w:pPr>
        <w:pStyle w:val="style0"/>
        <w:numPr>
          <w:ilvl w:val="0"/>
          <w:numId w:val="3"/>
        </w:numPr>
        <w:rPr>
          <w:rFonts w:eastAsia="Calibri"/>
          <w:szCs w:val="23"/>
        </w:rPr>
      </w:pPr>
      <w:r>
        <w:rPr>
          <w:rFonts w:eastAsia="Calibri"/>
          <w:szCs w:val="23"/>
        </w:rPr>
        <w:t>une ignorance des intervalles de récolte ou délais d’attente avant récolte (DAR) par certains producteurs ;</w:t>
      </w:r>
    </w:p>
    <w:p>
      <w:pPr>
        <w:pStyle w:val="style0"/>
        <w:numPr>
          <w:ilvl w:val="0"/>
          <w:numId w:val="3"/>
        </w:numPr>
        <w:rPr>
          <w:rFonts w:eastAsia="Calibri"/>
          <w:szCs w:val="23"/>
        </w:rPr>
      </w:pPr>
      <w:r>
        <w:rPr>
          <w:rFonts w:eastAsia="Calibri"/>
          <w:szCs w:val="23"/>
        </w:rPr>
        <w:t>un non respect du port des équipements de protection individuelle ;</w:t>
      </w:r>
    </w:p>
    <w:p>
      <w:pPr>
        <w:pStyle w:val="style0"/>
        <w:numPr>
          <w:ilvl w:val="0"/>
          <w:numId w:val="3"/>
        </w:numPr>
        <w:rPr>
          <w:rFonts w:eastAsia="Calibri"/>
          <w:szCs w:val="23"/>
        </w:rPr>
      </w:pPr>
      <w:r>
        <w:rPr>
          <w:rFonts w:eastAsia="Calibri"/>
          <w:szCs w:val="23"/>
        </w:rPr>
        <w:t>une introduction frauduleuse de pesticides de qualité et de provenance</w:t>
      </w:r>
      <w:r>
        <w:rPr>
          <w:rFonts w:eastAsia="Calibri"/>
          <w:szCs w:val="23"/>
        </w:rPr>
        <w:t>s</w:t>
      </w:r>
      <w:r>
        <w:rPr>
          <w:rFonts w:eastAsia="Calibri"/>
          <w:szCs w:val="23"/>
        </w:rPr>
        <w:t xml:space="preserve"> douteuses ; </w:t>
      </w:r>
    </w:p>
    <w:p>
      <w:pPr>
        <w:pStyle w:val="style0"/>
        <w:numPr>
          <w:ilvl w:val="0"/>
          <w:numId w:val="3"/>
        </w:numPr>
        <w:rPr>
          <w:rFonts w:eastAsia="Calibri"/>
          <w:szCs w:val="23"/>
        </w:rPr>
      </w:pPr>
      <w:r>
        <w:rPr>
          <w:rFonts w:eastAsia="Calibri"/>
          <w:szCs w:val="23"/>
        </w:rPr>
        <w:t xml:space="preserve">une méconnaissance des </w:t>
      </w:r>
      <w:r>
        <w:rPr>
          <w:rFonts w:eastAsia="Calibri"/>
          <w:szCs w:val="23"/>
        </w:rPr>
        <w:t xml:space="preserve">BPP, </w:t>
      </w:r>
      <w:r>
        <w:rPr>
          <w:rFonts w:eastAsia="Calibri"/>
          <w:szCs w:val="23"/>
        </w:rPr>
        <w:t>d’une gestion sécurisée des pesticides par les producteurs ;</w:t>
      </w:r>
    </w:p>
    <w:p>
      <w:pPr>
        <w:pStyle w:val="style0"/>
        <w:numPr>
          <w:ilvl w:val="0"/>
          <w:numId w:val="3"/>
        </w:numPr>
        <w:rPr>
          <w:rFonts w:eastAsia="Calibri"/>
          <w:szCs w:val="23"/>
        </w:rPr>
      </w:pPr>
      <w:r>
        <w:rPr>
          <w:rFonts w:eastAsia="Calibri"/>
          <w:szCs w:val="23"/>
        </w:rPr>
        <w:t>une gestion incontrôlée</w:t>
      </w:r>
      <w:r>
        <w:rPr>
          <w:rFonts w:eastAsia="Calibri"/>
          <w:szCs w:val="23"/>
        </w:rPr>
        <w:t>,</w:t>
      </w:r>
      <w:r>
        <w:rPr>
          <w:rFonts w:eastAsia="Calibri"/>
          <w:szCs w:val="23"/>
        </w:rPr>
        <w:t xml:space="preserve"> et une mauvaise élimination des emballages ;</w:t>
      </w:r>
    </w:p>
    <w:p>
      <w:pPr>
        <w:pStyle w:val="style0"/>
        <w:numPr>
          <w:ilvl w:val="0"/>
          <w:numId w:val="3"/>
        </w:numPr>
        <w:rPr>
          <w:rFonts w:eastAsia="Calibri"/>
          <w:szCs w:val="23"/>
        </w:rPr>
      </w:pPr>
      <w:r>
        <w:rPr>
          <w:rFonts w:eastAsia="Calibri"/>
          <w:szCs w:val="23"/>
        </w:rPr>
        <w:t xml:space="preserve">une application anarchique des pesticides ; </w:t>
      </w:r>
    </w:p>
    <w:p>
      <w:pPr>
        <w:pStyle w:val="style0"/>
        <w:numPr>
          <w:ilvl w:val="0"/>
          <w:numId w:val="3"/>
        </w:numPr>
        <w:rPr>
          <w:rFonts w:eastAsia="Calibri"/>
          <w:szCs w:val="23"/>
        </w:rPr>
      </w:pPr>
      <w:r>
        <w:rPr>
          <w:rFonts w:eastAsia="Calibri"/>
          <w:szCs w:val="23"/>
        </w:rPr>
        <w:t>une absence de monitoring environnemental. </w:t>
      </w:r>
    </w:p>
    <w:p>
      <w:pPr>
        <w:pStyle w:val="style0"/>
        <w:rPr>
          <w:rFonts w:eastAsia="Calibri"/>
        </w:rPr>
      </w:pPr>
      <w:r>
        <w:rPr>
          <w:rFonts w:eastAsia="Calibri"/>
        </w:rPr>
        <w:t>La faible connaissance des ennemis de cultures et des pertes induites, ainsi que la méconnaissance</w:t>
      </w:r>
      <w:r>
        <w:rPr>
          <w:rFonts w:eastAsia="Calibri"/>
        </w:rPr>
        <w:t xml:space="preserve"> par certains</w:t>
      </w:r>
      <w:r>
        <w:rPr>
          <w:rFonts w:eastAsia="Calibri"/>
        </w:rPr>
        <w:t xml:space="preserve"> des principes de la lutte intégrée entraînent quelques fois des traitements tout azimut pour s’assurer que l’ensemble des ennemis des cultures sont détruits.</w:t>
      </w:r>
    </w:p>
    <w:p>
      <w:pPr>
        <w:pStyle w:val="style0"/>
        <w:spacing w:lineRule="auto" w:line="276"/>
        <w:rPr>
          <w:rFonts w:eastAsia="Calibri"/>
          <w:color w:val="000000"/>
          <w:sz w:val="23"/>
          <w:szCs w:val="23"/>
        </w:rPr>
      </w:pPr>
      <w:r>
        <w:rPr>
          <w:rFonts w:eastAsia="Calibri"/>
          <w:color w:val="000000"/>
          <w:sz w:val="23"/>
          <w:szCs w:val="23"/>
        </w:rPr>
        <w:t xml:space="preserve"> </w:t>
      </w:r>
    </w:p>
    <w:bookmarkStart w:id="392" w:name="_Toc18724660"/>
    <w:bookmarkStart w:id="393" w:name="_Toc18725556"/>
    <w:bookmarkStart w:id="394" w:name="_Toc18726143"/>
    <w:bookmarkStart w:id="395" w:name="_Toc18911152"/>
    <w:bookmarkStart w:id="396" w:name="_Toc126069413"/>
    <w:bookmarkStart w:id="397" w:name="_Toc284400696"/>
    <w:bookmarkStart w:id="398" w:name="_Toc458331344"/>
    <w:bookmarkStart w:id="399" w:name="_Toc462221587"/>
    <w:bookmarkStart w:id="400" w:name="_Toc514190166"/>
    <w:p>
      <w:pPr>
        <w:pStyle w:val="style4"/>
        <w:numPr>
          <w:ilvl w:val="3"/>
          <w:numId w:val="85"/>
        </w:numPr>
        <w:rPr>
          <w:sz w:val="22"/>
        </w:rPr>
      </w:pPr>
      <w:r>
        <w:rPr>
          <w:sz w:val="22"/>
        </w:rPr>
        <w:t>Contraintes organisationnelle</w:t>
      </w:r>
      <w:bookmarkEnd w:id="392"/>
      <w:bookmarkEnd w:id="393"/>
      <w:bookmarkEnd w:id="394"/>
      <w:bookmarkEnd w:id="395"/>
      <w:bookmarkEnd w:id="396"/>
      <w:bookmarkEnd w:id="397"/>
      <w:r>
        <w:rPr>
          <w:sz w:val="22"/>
        </w:rPr>
        <w:t>s</w:t>
      </w:r>
      <w:bookmarkEnd w:id="398"/>
      <w:bookmarkEnd w:id="399"/>
      <w:bookmarkEnd w:id="400"/>
      <w:r>
        <w:rPr>
          <w:sz w:val="22"/>
        </w:rPr>
        <w:t xml:space="preserve"> </w:t>
      </w:r>
    </w:p>
    <w:p>
      <w:pPr>
        <w:pStyle w:val="style0"/>
        <w:rPr>
          <w:rFonts w:eastAsia="Calibri"/>
        </w:rPr>
      </w:pPr>
      <w:r>
        <w:rPr>
          <w:rFonts w:eastAsia="Calibri"/>
        </w:rPr>
        <w:t>De plus en plus de groupements se forment pour la défense des intérêts de leurs membres. Ceci est une opportunité pour un renforcement des capacités de leurs membres. Ces initiatives sont appuyées par plusieurs programmes et projets. Ces structures peuvent servir de courroie de transmission du message et pour l’appui aux bénéficiaires</w:t>
      </w:r>
      <w:r>
        <w:rPr>
          <w:rFonts w:eastAsia="Calibri"/>
        </w:rPr>
        <w:t xml:space="preserve"> programme</w:t>
      </w:r>
      <w:r>
        <w:rPr>
          <w:rFonts w:eastAsia="Calibri"/>
        </w:rPr>
        <w:t xml:space="preserve">. De plus, la mise en place des CRTP, avec les cliniques de plantes sur l’ensemble du territoire, reste un atout important dans l’organisation du secteur. </w:t>
      </w:r>
    </w:p>
    <w:p>
      <w:pPr>
        <w:pStyle w:val="style0"/>
        <w:rPr>
          <w:rFonts w:eastAsia="Calibri"/>
        </w:rPr>
      </w:pPr>
      <w:r>
        <w:rPr>
          <w:rFonts w:eastAsia="Calibri"/>
        </w:rPr>
        <w:t>Cep</w:t>
      </w:r>
      <w:r>
        <w:rPr>
          <w:rFonts w:eastAsia="Calibri"/>
        </w:rPr>
        <w:t>e</w:t>
      </w:r>
      <w:r>
        <w:rPr>
          <w:rFonts w:eastAsia="Calibri"/>
        </w:rPr>
        <w:t>ndant, il reste que dans la pratique</w:t>
      </w:r>
      <w:r>
        <w:rPr>
          <w:rFonts w:eastAsia="Calibri"/>
        </w:rPr>
        <w:t>,</w:t>
      </w:r>
      <w:r>
        <w:rPr>
          <w:rFonts w:eastAsia="Calibri"/>
        </w:rPr>
        <w:t xml:space="preserve"> les acteurs :</w:t>
      </w:r>
    </w:p>
    <w:p>
      <w:pPr>
        <w:pStyle w:val="style0"/>
        <w:numPr>
          <w:ilvl w:val="0"/>
          <w:numId w:val="63"/>
        </w:numPr>
        <w:rPr>
          <w:rFonts w:eastAsia="Calibri"/>
          <w:szCs w:val="23"/>
        </w:rPr>
      </w:pPr>
      <w:r>
        <w:rPr>
          <w:rFonts w:eastAsia="Calibri"/>
          <w:szCs w:val="23"/>
        </w:rPr>
        <w:t>ne mettent pas à jour ou simplement absence d’un cahier de charges pour la fourniture des pesticides et des appareils pulvérisateurs pour le traitement des cultures</w:t>
      </w:r>
      <w:r>
        <w:rPr>
          <w:rFonts w:eastAsia="Calibri"/>
          <w:szCs w:val="23"/>
        </w:rPr>
        <w:t xml:space="preserve"> ou des productions ;</w:t>
      </w:r>
      <w:r>
        <w:rPr>
          <w:rFonts w:eastAsia="Calibri"/>
          <w:szCs w:val="23"/>
        </w:rPr>
        <w:t xml:space="preserve"> ce qui entraîne des difficultés d’approvisionnement en pesticides adaptés à ces cultures avec comme corollaire l’emploi de produits illicites, de produits non recommandés pour les cultures et pour la conservation ;</w:t>
      </w:r>
    </w:p>
    <w:p>
      <w:pPr>
        <w:pStyle w:val="style0"/>
        <w:numPr>
          <w:ilvl w:val="0"/>
          <w:numId w:val="63"/>
        </w:numPr>
        <w:rPr>
          <w:rFonts w:eastAsia="Calibri"/>
          <w:szCs w:val="23"/>
        </w:rPr>
      </w:pPr>
      <w:r>
        <w:rPr>
          <w:rFonts w:eastAsia="Calibri"/>
          <w:szCs w:val="23"/>
        </w:rPr>
        <w:t>ne font pas toujours appel aux professionnels po</w:t>
      </w:r>
      <w:r>
        <w:rPr>
          <w:rFonts w:eastAsia="Calibri"/>
          <w:szCs w:val="23"/>
        </w:rPr>
        <w:t>ur l’application des pesticides. Ainsi, bien que des brigadiers phytosanitaires existent dans certaines localités, des producteurs, mal formés, préfèrent eux</w:t>
      </w:r>
      <w:r>
        <w:rPr>
          <w:rFonts w:eastAsia="Calibri"/>
          <w:szCs w:val="23"/>
        </w:rPr>
        <w:t>-</w:t>
      </w:r>
      <w:r>
        <w:rPr>
          <w:rFonts w:eastAsia="Calibri"/>
          <w:szCs w:val="23"/>
        </w:rPr>
        <w:t>même</w:t>
      </w:r>
      <w:r>
        <w:rPr>
          <w:rFonts w:eastAsia="Calibri"/>
          <w:szCs w:val="23"/>
        </w:rPr>
        <w:t>s</w:t>
      </w:r>
      <w:r>
        <w:rPr>
          <w:rFonts w:eastAsia="Calibri"/>
          <w:szCs w:val="23"/>
        </w:rPr>
        <w:t xml:space="preserve"> faire l’application des pesticides </w:t>
      </w:r>
      <w:r>
        <w:rPr>
          <w:rFonts w:eastAsia="Calibri"/>
          <w:szCs w:val="23"/>
        </w:rPr>
        <w:t xml:space="preserve">; </w:t>
      </w:r>
    </w:p>
    <w:p>
      <w:pPr>
        <w:pStyle w:val="style0"/>
        <w:numPr>
          <w:ilvl w:val="0"/>
          <w:numId w:val="63"/>
        </w:numPr>
        <w:rPr>
          <w:rFonts w:eastAsia="Calibri"/>
          <w:szCs w:val="23"/>
        </w:rPr>
      </w:pPr>
      <w:r>
        <w:rPr>
          <w:rFonts w:eastAsia="Calibri"/>
          <w:szCs w:val="23"/>
        </w:rPr>
        <w:t>méconnaiss</w:t>
      </w:r>
      <w:r>
        <w:rPr>
          <w:rFonts w:eastAsia="Calibri"/>
          <w:szCs w:val="23"/>
        </w:rPr>
        <w:t>ent l</w:t>
      </w:r>
      <w:r>
        <w:rPr>
          <w:rFonts w:eastAsia="Calibri"/>
          <w:szCs w:val="23"/>
        </w:rPr>
        <w:t>es textes pour la plupart et ne mettent pas en œuvre la règlementation sur les pestes et pesticides ;</w:t>
      </w:r>
    </w:p>
    <w:p>
      <w:pPr>
        <w:pStyle w:val="style0"/>
        <w:numPr>
          <w:ilvl w:val="0"/>
          <w:numId w:val="63"/>
        </w:numPr>
        <w:rPr>
          <w:rFonts w:eastAsia="Calibri"/>
          <w:szCs w:val="23"/>
        </w:rPr>
      </w:pPr>
      <w:r>
        <w:rPr>
          <w:rFonts w:eastAsia="Calibri"/>
          <w:szCs w:val="23"/>
        </w:rPr>
        <w:t>n’achète</w:t>
      </w:r>
      <w:r>
        <w:rPr>
          <w:rFonts w:eastAsia="Calibri"/>
          <w:szCs w:val="23"/>
        </w:rPr>
        <w:t>nt</w:t>
      </w:r>
      <w:r>
        <w:rPr>
          <w:rFonts w:eastAsia="Calibri"/>
          <w:szCs w:val="23"/>
        </w:rPr>
        <w:t xml:space="preserve"> pas le plus souvent les produits homologués en raison de leur coût ;</w:t>
      </w:r>
    </w:p>
    <w:p>
      <w:pPr>
        <w:pStyle w:val="style0"/>
        <w:numPr>
          <w:ilvl w:val="0"/>
          <w:numId w:val="63"/>
        </w:numPr>
        <w:rPr>
          <w:rFonts w:eastAsia="Calibri"/>
          <w:szCs w:val="23"/>
        </w:rPr>
      </w:pPr>
      <w:r>
        <w:rPr>
          <w:rFonts w:eastAsia="Calibri"/>
          <w:szCs w:val="23"/>
        </w:rPr>
        <w:t>ne sont pas suffisamment informés sur l’incidence et l’ampleur des intoxications liées aux pesticides ;</w:t>
      </w:r>
    </w:p>
    <w:p>
      <w:pPr>
        <w:pStyle w:val="style0"/>
        <w:ind w:left="360"/>
        <w:rPr>
          <w:rFonts w:eastAsia="Calibri"/>
          <w:szCs w:val="23"/>
        </w:rPr>
      </w:pPr>
      <w:r>
        <w:rPr>
          <w:rFonts w:eastAsia="Calibri"/>
          <w:szCs w:val="23"/>
        </w:rPr>
        <w:t>Par ailleurs, on note :</w:t>
      </w:r>
    </w:p>
    <w:p>
      <w:pPr>
        <w:pStyle w:val="style0"/>
        <w:numPr>
          <w:ilvl w:val="0"/>
          <w:numId w:val="63"/>
        </w:numPr>
        <w:rPr>
          <w:rFonts w:eastAsia="Calibri"/>
          <w:szCs w:val="23"/>
        </w:rPr>
      </w:pPr>
      <w:r>
        <w:rPr>
          <w:rFonts w:eastAsia="Calibri"/>
          <w:szCs w:val="23"/>
        </w:rPr>
        <w:t xml:space="preserve">une </w:t>
      </w:r>
      <w:r>
        <w:rPr>
          <w:rFonts w:eastAsia="Calibri"/>
          <w:szCs w:val="23"/>
        </w:rPr>
        <w:t>insuffisance de formation du personnel de santé en prévention et prise en charge des cas d’intoxication liés aux pesticides notamment au niveau CSPS ;</w:t>
      </w:r>
    </w:p>
    <w:p>
      <w:pPr>
        <w:pStyle w:val="style0"/>
        <w:numPr>
          <w:ilvl w:val="0"/>
          <w:numId w:val="63"/>
        </w:numPr>
        <w:rPr>
          <w:rFonts w:eastAsia="Calibri"/>
          <w:szCs w:val="23"/>
        </w:rPr>
      </w:pPr>
      <w:r>
        <w:rPr>
          <w:rFonts w:eastAsia="Calibri"/>
          <w:szCs w:val="23"/>
        </w:rPr>
        <w:t xml:space="preserve">un </w:t>
      </w:r>
      <w:r>
        <w:rPr>
          <w:rFonts w:eastAsia="Calibri"/>
          <w:szCs w:val="23"/>
        </w:rPr>
        <w:t>manque de programme de contrôle de la qualité des pesticides et la recherche des résidus dans les eaux, les sols et les aliments par les laboratoires ;</w:t>
      </w:r>
    </w:p>
    <w:p>
      <w:pPr>
        <w:pStyle w:val="style0"/>
        <w:numPr>
          <w:ilvl w:val="0"/>
          <w:numId w:val="63"/>
        </w:numPr>
        <w:rPr>
          <w:rFonts w:eastAsia="Calibri"/>
          <w:szCs w:val="23"/>
        </w:rPr>
      </w:pPr>
      <w:r>
        <w:rPr>
          <w:rFonts w:eastAsia="Calibri"/>
          <w:szCs w:val="23"/>
        </w:rPr>
        <w:t xml:space="preserve">un </w:t>
      </w:r>
      <w:r>
        <w:rPr>
          <w:rFonts w:eastAsia="Calibri"/>
          <w:szCs w:val="23"/>
        </w:rPr>
        <w:t>manque d’organisation des petits producteurs pour l’acquisition des produits ;</w:t>
      </w:r>
    </w:p>
    <w:p>
      <w:pPr>
        <w:pStyle w:val="style0"/>
        <w:numPr>
          <w:ilvl w:val="0"/>
          <w:numId w:val="63"/>
        </w:numPr>
        <w:rPr>
          <w:rFonts w:eastAsia="Calibri"/>
          <w:szCs w:val="23"/>
        </w:rPr>
      </w:pPr>
      <w:r>
        <w:rPr>
          <w:rFonts w:eastAsia="Calibri"/>
          <w:szCs w:val="23"/>
        </w:rPr>
        <w:t xml:space="preserve">une </w:t>
      </w:r>
      <w:r>
        <w:rPr>
          <w:rFonts w:eastAsia="Calibri"/>
          <w:szCs w:val="23"/>
        </w:rPr>
        <w:t>insuffisance de contrôle par les agents compétents des pesticides utilisés par les producteurs ;</w:t>
      </w:r>
    </w:p>
    <w:p>
      <w:pPr>
        <w:pStyle w:val="style0"/>
        <w:numPr>
          <w:ilvl w:val="0"/>
          <w:numId w:val="63"/>
        </w:numPr>
        <w:rPr>
          <w:rFonts w:eastAsia="Calibri"/>
          <w:szCs w:val="23"/>
        </w:rPr>
      </w:pPr>
      <w:r>
        <w:rPr>
          <w:rFonts w:eastAsia="Calibri"/>
          <w:szCs w:val="23"/>
        </w:rPr>
        <w:t xml:space="preserve">des </w:t>
      </w:r>
      <w:r>
        <w:rPr>
          <w:rFonts w:eastAsia="Calibri"/>
          <w:szCs w:val="23"/>
        </w:rPr>
        <w:t>difficultés de retrait des pesticides non homologués et vendus sur le marché.</w:t>
      </w:r>
    </w:p>
    <w:p>
      <w:pPr>
        <w:pStyle w:val="style0"/>
        <w:spacing w:lineRule="auto" w:line="276"/>
        <w:rPr>
          <w:rFonts w:eastAsia="Calibri"/>
          <w:szCs w:val="23"/>
        </w:rPr>
      </w:pPr>
    </w:p>
    <w:bookmarkStart w:id="401" w:name="_Toc18724661"/>
    <w:bookmarkStart w:id="402" w:name="_Toc18725557"/>
    <w:bookmarkStart w:id="403" w:name="_Toc18726144"/>
    <w:bookmarkStart w:id="404" w:name="_Toc18911153"/>
    <w:bookmarkStart w:id="405" w:name="_Toc126069414"/>
    <w:bookmarkStart w:id="406" w:name="_Toc284400697"/>
    <w:bookmarkStart w:id="407" w:name="_Toc458331345"/>
    <w:bookmarkStart w:id="408" w:name="_Toc462221588"/>
    <w:bookmarkStart w:id="409" w:name="_Toc514190167"/>
    <w:p>
      <w:pPr>
        <w:pStyle w:val="style4"/>
        <w:numPr>
          <w:ilvl w:val="3"/>
          <w:numId w:val="85"/>
        </w:numPr>
        <w:rPr>
          <w:sz w:val="22"/>
        </w:rPr>
      </w:pPr>
      <w:r>
        <w:rPr>
          <w:sz w:val="22"/>
        </w:rPr>
        <w:t xml:space="preserve">Contraintes </w:t>
      </w:r>
      <w:bookmarkEnd w:id="401"/>
      <w:bookmarkEnd w:id="402"/>
      <w:bookmarkEnd w:id="403"/>
      <w:bookmarkEnd w:id="404"/>
      <w:bookmarkEnd w:id="405"/>
      <w:bookmarkEnd w:id="406"/>
      <w:bookmarkEnd w:id="407"/>
      <w:bookmarkEnd w:id="408"/>
      <w:r>
        <w:rPr>
          <w:sz w:val="22"/>
        </w:rPr>
        <w:t>logistiques</w:t>
      </w:r>
      <w:bookmarkEnd w:id="409"/>
      <w:r>
        <w:rPr>
          <w:sz w:val="22"/>
        </w:rPr>
        <w:t xml:space="preserve"> </w:t>
      </w:r>
    </w:p>
    <w:p>
      <w:pPr>
        <w:pStyle w:val="style0"/>
        <w:rPr>
          <w:rFonts w:eastAsia="Calibri"/>
        </w:rPr>
      </w:pPr>
      <w:r>
        <w:rPr>
          <w:rFonts w:eastAsia="Calibri"/>
        </w:rPr>
        <w:t>Elles incluent les difficultés financières des structures d’appuis étatiques, le manque d’appui des structures financières aux producteurs isolés, ou même à certains groupements et le manque/insuffisance de logistique pour les missions de terrain. Plusieurs acteurs ont fait comprendre qu’ils utilisaient leurs moyens propres pour accomplir les missions à eux confiées. Cette situation freine la mise en œuvre des recommandati</w:t>
      </w:r>
      <w:r>
        <w:rPr>
          <w:rFonts w:eastAsia="Calibri"/>
        </w:rPr>
        <w:t xml:space="preserve">ons aussi bonnes soient elles. Il est donc recommandé que le PDCA œuvre dans le sens d’un appui ciblé aux activités de production. </w:t>
      </w:r>
    </w:p>
    <w:p>
      <w:pPr>
        <w:pStyle w:val="style0"/>
        <w:spacing w:lineRule="auto" w:line="276"/>
        <w:rPr>
          <w:rFonts w:eastAsia="Calibri"/>
          <w:sz w:val="23"/>
          <w:szCs w:val="23"/>
        </w:rPr>
      </w:pPr>
    </w:p>
    <w:bookmarkStart w:id="410" w:name="_Toc2831224"/>
    <w:p>
      <w:pPr>
        <w:pStyle w:val="style3"/>
        <w:rPr/>
      </w:pPr>
      <w:r>
        <w:t xml:space="preserve">6.1.2. </w:t>
      </w:r>
      <w:r>
        <w:t>Mesures d’</w:t>
      </w:r>
      <w:r>
        <w:t xml:space="preserve">atténuation des </w:t>
      </w:r>
      <w:r>
        <w:t xml:space="preserve">risques et des </w:t>
      </w:r>
      <w:r>
        <w:t>impacts potentiels</w:t>
      </w:r>
      <w:bookmarkEnd w:id="410"/>
      <w:r>
        <w:t xml:space="preserve"> </w:t>
      </w:r>
    </w:p>
    <w:p>
      <w:pPr>
        <w:pStyle w:val="style0"/>
        <w:rPr/>
      </w:pPr>
      <w:r>
        <w:rPr>
          <w:rFonts w:eastAsia="Calibri"/>
        </w:rPr>
        <w:t xml:space="preserve">Le programme de mesures d’atténuation, de suppression, de mitigation, de compensation des impacts et des risques potentiels liés à la gestion des pestes et à l’utilisation des pesticides dans le cadre du projet est donné dans le </w:t>
      </w:r>
      <w:r>
        <w:rPr>
          <w:rFonts w:eastAsia="Calibri"/>
        </w:rPr>
        <w:t xml:space="preserve">tableau </w:t>
      </w:r>
      <w:r>
        <w:rPr>
          <w:rFonts w:eastAsia="Calibri"/>
        </w:rPr>
        <w:t>20</w:t>
      </w:r>
      <w:r>
        <w:rPr>
          <w:rFonts w:eastAsia="Calibri"/>
        </w:rPr>
        <w:t>. Le pro</w:t>
      </w:r>
      <w:r>
        <w:rPr>
          <w:rFonts w:eastAsia="Calibri"/>
        </w:rPr>
        <w:t xml:space="preserve">gramme </w:t>
      </w:r>
      <w:r>
        <w:rPr>
          <w:rFonts w:eastAsia="Calibri"/>
        </w:rPr>
        <w:t xml:space="preserve">envisage </w:t>
      </w:r>
      <w:r>
        <w:t>d’appuyer les activités relatives à l’amélioration de la productivité</w:t>
      </w:r>
      <w:r>
        <w:t xml:space="preserve"> par un a</w:t>
      </w:r>
      <w:r>
        <w:t>ppui au services agricoles</w:t>
      </w:r>
      <w:r>
        <w:t xml:space="preserve"> et le </w:t>
      </w:r>
      <w:r>
        <w:rPr>
          <w:rFonts w:cs="Calibri"/>
          <w:iCs/>
        </w:rPr>
        <w:t>d</w:t>
      </w:r>
      <w:r>
        <w:rPr>
          <w:rFonts w:cs="Calibri"/>
          <w:iCs/>
        </w:rPr>
        <w:t>éveloppement des ressources en eau</w:t>
      </w:r>
      <w:r>
        <w:rPr>
          <w:rFonts w:cs="Calibri"/>
          <w:iCs/>
        </w:rPr>
        <w:t xml:space="preserve"> avec des </w:t>
      </w:r>
      <w:r>
        <w:rPr>
          <w:rFonts w:cs="Calibri"/>
          <w:iCs/>
        </w:rPr>
        <w:t>aménagement</w:t>
      </w:r>
      <w:r>
        <w:rPr>
          <w:rFonts w:cs="Calibri"/>
          <w:iCs/>
        </w:rPr>
        <w:t>s</w:t>
      </w:r>
      <w:r>
        <w:rPr>
          <w:rFonts w:cs="Calibri"/>
          <w:iCs/>
        </w:rPr>
        <w:t xml:space="preserve"> hydroagricoles</w:t>
      </w:r>
      <w:r>
        <w:rPr>
          <w:rFonts w:eastAsia="Calibri"/>
        </w:rPr>
        <w:t xml:space="preserve"> et </w:t>
      </w:r>
      <w:r>
        <w:rPr>
          <w:rFonts w:eastAsia="Calibri"/>
        </w:rPr>
        <w:t xml:space="preserve">la promotion des méthodes alternatives. De plus, </w:t>
      </w:r>
      <w:r>
        <w:rPr>
          <w:rFonts w:eastAsia="Calibri"/>
        </w:rPr>
        <w:t>le contrôle et l’analyse des résidus de pesticides post récolte est une activité à laquelle une importance capitale devrait être accordée.</w:t>
      </w:r>
    </w:p>
    <w:p>
      <w:pPr>
        <w:pStyle w:val="style0"/>
        <w:rPr>
          <w:sz w:val="22"/>
          <w:szCs w:val="22"/>
        </w:rPr>
        <w:sectPr>
          <w:pgSz w:w="11906" w:h="16838" w:orient="portrait"/>
          <w:pgMar w:top="1418" w:right="1418" w:bottom="1418" w:left="1418" w:header="709" w:footer="709" w:gutter="0"/>
          <w:cols w:space="708"/>
          <w:docGrid w:linePitch="360"/>
        </w:sectPr>
      </w:pPr>
    </w:p>
    <w:bookmarkStart w:id="411" w:name="_Toc260227"/>
    <w:p>
      <w:pPr>
        <w:pStyle w:val="style0"/>
        <w:spacing w:lineRule="auto" w:line="276"/>
        <w:rPr>
          <w:sz w:val="20"/>
          <w:szCs w:val="20"/>
        </w:rPr>
      </w:pPr>
      <w:r>
        <w:rPr>
          <w:sz w:val="20"/>
          <w:szCs w:val="20"/>
        </w:rPr>
        <w:t xml:space="preserve">Tableau </w:t>
      </w:r>
      <w:r>
        <w:rPr>
          <w:sz w:val="20"/>
          <w:szCs w:val="20"/>
        </w:rPr>
        <w:fldChar w:fldCharType="begin"/>
      </w:r>
      <w:r>
        <w:rPr>
          <w:sz w:val="20"/>
          <w:szCs w:val="20"/>
        </w:rPr>
        <w:instrText xml:space="preserve"> </w:instrText>
      </w:r>
      <w:r>
        <w:rPr>
          <w:sz w:val="20"/>
          <w:szCs w:val="20"/>
        </w:rPr>
        <w:instrText>SEQ</w:instrText>
      </w:r>
      <w:r>
        <w:rPr>
          <w:sz w:val="20"/>
          <w:szCs w:val="20"/>
        </w:rPr>
        <w:instrText xml:space="preserve"> Tableau \* ARABIC </w:instrText>
      </w:r>
      <w:r>
        <w:rPr>
          <w:sz w:val="20"/>
          <w:szCs w:val="20"/>
        </w:rPr>
        <w:fldChar w:fldCharType="separate"/>
      </w:r>
      <w:r>
        <w:rPr>
          <w:noProof/>
          <w:sz w:val="20"/>
          <w:szCs w:val="20"/>
        </w:rPr>
        <w:t>20</w:t>
      </w:r>
      <w:r>
        <w:rPr>
          <w:sz w:val="20"/>
          <w:szCs w:val="20"/>
        </w:rPr>
        <w:fldChar w:fldCharType="end"/>
      </w:r>
      <w:r>
        <w:rPr>
          <w:rFonts w:eastAsia="Calibri"/>
          <w:i/>
          <w:iCs/>
          <w:color w:val="1f497d"/>
          <w:sz w:val="20"/>
          <w:szCs w:val="20"/>
        </w:rPr>
        <w:t> :</w:t>
      </w:r>
      <w:r>
        <w:rPr>
          <w:rFonts w:eastAsia="Calibri"/>
          <w:i/>
          <w:iCs/>
          <w:color w:val="1f497d"/>
          <w:sz w:val="20"/>
          <w:szCs w:val="20"/>
        </w:rPr>
        <w:t>Programme de mesures d’atténuation, de suppression, de mitigation, de compensation des impacts et des risques potentiels</w:t>
      </w:r>
      <w:bookmarkEnd w:id="411"/>
      <w:r>
        <w:rPr>
          <w:rFonts w:eastAsia="Calibri"/>
          <w:i/>
          <w:iCs/>
          <w:color w:val="1f497d"/>
          <w:sz w:val="20"/>
          <w:szCs w:val="20"/>
        </w:rPr>
        <w:t xml:space="preserve"> </w:t>
      </w:r>
    </w:p>
    <w:p>
      <w:pPr>
        <w:pStyle w:val="style34"/>
        <w:keepNext/>
        <w:rPr>
          <w:sz w:val="20"/>
          <w:szCs w:val="20"/>
        </w:rPr>
      </w:pPr>
    </w:p>
    <w:tbl>
      <w:tblPr>
        <w:tblW w:w="0" w:type="auto"/>
        <w:jc w:val="center"/>
        <w:tblBorders>
          <w:top w:val="double" w:sz="4" w:space="0" w:color="auto"/>
          <w:left w:val="double" w:sz="6" w:space="0" w:color="auto"/>
          <w:bottom w:val="double" w:sz="6" w:space="0" w:color="auto"/>
          <w:right w:val="double" w:sz="6" w:space="0" w:color="auto"/>
          <w:insideH w:val="single" w:sz="6" w:space="0" w:color="auto"/>
          <w:insideV w:val="single" w:sz="6" w:space="0" w:color="auto"/>
        </w:tblBorders>
        <w:shd w:val="clear" w:color="auto" w:fill="ffffff"/>
        <w:tblCellMar>
          <w:left w:w="70" w:type="dxa"/>
          <w:right w:w="70" w:type="dxa"/>
        </w:tblCellMar>
        <w:tblLook w:val="0000" w:firstRow="0" w:lastRow="0" w:firstColumn="0" w:lastColumn="0" w:noHBand="0" w:noVBand="0"/>
      </w:tblPr>
      <w:tblGrid>
        <w:gridCol w:w="685"/>
        <w:gridCol w:w="1191"/>
        <w:gridCol w:w="1365"/>
        <w:gridCol w:w="4589"/>
        <w:gridCol w:w="1431"/>
        <w:gridCol w:w="1276"/>
        <w:gridCol w:w="1843"/>
        <w:gridCol w:w="1576"/>
      </w:tblGrid>
      <w:tr>
        <w:trPr>
          <w:cantSplit/>
          <w:tblHeader/>
          <w:jc w:val="center"/>
        </w:trPr>
        <w:tc>
          <w:tcPr>
            <w:tcW w:w="0" w:type="auto"/>
            <w:tcBorders/>
            <w:shd w:val="clear" w:color="auto" w:fill="d9d9d9"/>
            <w:vAlign w:val="center"/>
          </w:tcPr>
          <w:p>
            <w:pPr>
              <w:pStyle w:val="style0"/>
              <w:spacing w:before="0"/>
              <w:jc w:val="center"/>
              <w:rPr>
                <w:rFonts w:eastAsia="Calibri"/>
                <w:b/>
                <w:sz w:val="18"/>
                <w:szCs w:val="18"/>
              </w:rPr>
            </w:pPr>
            <w:r>
              <w:rPr>
                <w:rFonts w:eastAsia="Calibri"/>
                <w:b/>
                <w:sz w:val="18"/>
                <w:szCs w:val="18"/>
              </w:rPr>
              <w:t>Etapes du projet</w:t>
            </w:r>
          </w:p>
        </w:tc>
        <w:tc>
          <w:tcPr>
            <w:tcW w:w="0" w:type="auto"/>
            <w:tcBorders/>
            <w:shd w:val="clear" w:color="auto" w:fill="d9d9d9"/>
            <w:vAlign w:val="center"/>
          </w:tcPr>
          <w:p>
            <w:pPr>
              <w:pStyle w:val="style0"/>
              <w:spacing w:before="0"/>
              <w:jc w:val="center"/>
              <w:rPr>
                <w:rFonts w:eastAsia="Calibri"/>
                <w:b/>
                <w:sz w:val="18"/>
                <w:szCs w:val="18"/>
              </w:rPr>
            </w:pPr>
            <w:r>
              <w:rPr>
                <w:rFonts w:eastAsia="Calibri"/>
                <w:b/>
                <w:sz w:val="18"/>
                <w:szCs w:val="18"/>
              </w:rPr>
              <w:t>Activités sources d’impact</w:t>
            </w:r>
          </w:p>
        </w:tc>
        <w:tc>
          <w:tcPr>
            <w:tcW w:w="0" w:type="auto"/>
            <w:tcBorders/>
            <w:shd w:val="clear" w:color="auto" w:fill="d9d9d9"/>
            <w:vAlign w:val="center"/>
          </w:tcPr>
          <w:p>
            <w:pPr>
              <w:pStyle w:val="style0"/>
              <w:spacing w:before="0"/>
              <w:jc w:val="center"/>
              <w:rPr>
                <w:rFonts w:eastAsia="Calibri"/>
                <w:b/>
                <w:sz w:val="18"/>
                <w:szCs w:val="18"/>
              </w:rPr>
            </w:pPr>
            <w:r>
              <w:rPr>
                <w:rFonts w:eastAsia="Calibri"/>
                <w:b/>
                <w:sz w:val="18"/>
                <w:szCs w:val="18"/>
              </w:rPr>
              <w:t>R</w:t>
            </w:r>
            <w:r>
              <w:rPr>
                <w:rFonts w:eastAsia="Calibri"/>
                <w:b/>
                <w:sz w:val="18"/>
                <w:szCs w:val="18"/>
              </w:rPr>
              <w:t xml:space="preserve">isques </w:t>
            </w:r>
            <w:r>
              <w:rPr>
                <w:rFonts w:eastAsia="Calibri"/>
                <w:b/>
                <w:sz w:val="18"/>
                <w:szCs w:val="18"/>
              </w:rPr>
              <w:t xml:space="preserve">et </w:t>
            </w:r>
            <w:r>
              <w:rPr>
                <w:rFonts w:eastAsia="Calibri"/>
                <w:b/>
                <w:sz w:val="18"/>
                <w:szCs w:val="18"/>
              </w:rPr>
              <w:t>Impacts et les potentiels</w:t>
            </w:r>
          </w:p>
        </w:tc>
        <w:tc>
          <w:tcPr>
            <w:tcW w:w="4589" w:type="dxa"/>
            <w:tcBorders/>
            <w:shd w:val="clear" w:color="auto" w:fill="d9d9d9"/>
            <w:vAlign w:val="center"/>
          </w:tcPr>
          <w:p>
            <w:pPr>
              <w:pStyle w:val="style0"/>
              <w:spacing w:before="0"/>
              <w:jc w:val="center"/>
              <w:rPr>
                <w:rFonts w:eastAsia="Calibri"/>
                <w:b/>
                <w:sz w:val="18"/>
                <w:szCs w:val="18"/>
              </w:rPr>
            </w:pPr>
            <w:r>
              <w:rPr>
                <w:rFonts w:eastAsia="Calibri"/>
                <w:b/>
                <w:sz w:val="18"/>
                <w:szCs w:val="18"/>
              </w:rPr>
              <w:t xml:space="preserve">Mesures de suppression, de mitigation, de compensation </w:t>
            </w:r>
          </w:p>
        </w:tc>
        <w:tc>
          <w:tcPr>
            <w:tcW w:w="1431" w:type="dxa"/>
            <w:tcBorders/>
            <w:shd w:val="clear" w:color="auto" w:fill="d9d9d9"/>
            <w:vAlign w:val="center"/>
          </w:tcPr>
          <w:p>
            <w:pPr>
              <w:pStyle w:val="style0"/>
              <w:spacing w:before="0"/>
              <w:jc w:val="center"/>
              <w:rPr>
                <w:rFonts w:eastAsia="Calibri"/>
                <w:b/>
                <w:sz w:val="18"/>
                <w:szCs w:val="18"/>
              </w:rPr>
            </w:pPr>
            <w:r>
              <w:rPr>
                <w:rFonts w:eastAsia="Calibri"/>
                <w:b/>
                <w:sz w:val="18"/>
                <w:szCs w:val="18"/>
              </w:rPr>
              <w:t>Périodes de mise en œuvre</w:t>
            </w:r>
          </w:p>
        </w:tc>
        <w:tc>
          <w:tcPr>
            <w:tcW w:w="1276" w:type="dxa"/>
            <w:tcBorders/>
            <w:shd w:val="clear" w:color="auto" w:fill="d9d9d9"/>
            <w:vAlign w:val="center"/>
          </w:tcPr>
          <w:p>
            <w:pPr>
              <w:pStyle w:val="style0"/>
              <w:spacing w:before="0"/>
              <w:jc w:val="center"/>
              <w:rPr>
                <w:rFonts w:eastAsia="Calibri"/>
                <w:b/>
                <w:sz w:val="18"/>
                <w:szCs w:val="18"/>
              </w:rPr>
            </w:pPr>
            <w:r>
              <w:rPr>
                <w:rFonts w:eastAsia="Calibri"/>
                <w:b/>
                <w:sz w:val="18"/>
                <w:szCs w:val="18"/>
              </w:rPr>
              <w:t>Acteurs</w:t>
            </w:r>
          </w:p>
        </w:tc>
        <w:tc>
          <w:tcPr>
            <w:tcW w:w="1843" w:type="dxa"/>
            <w:tcBorders/>
            <w:shd w:val="clear" w:color="auto" w:fill="d9d9d9"/>
            <w:vAlign w:val="center"/>
          </w:tcPr>
          <w:p>
            <w:pPr>
              <w:pStyle w:val="style0"/>
              <w:spacing w:before="0"/>
              <w:jc w:val="center"/>
              <w:rPr>
                <w:rFonts w:eastAsia="Calibri"/>
                <w:b/>
                <w:sz w:val="18"/>
                <w:szCs w:val="18"/>
              </w:rPr>
            </w:pPr>
            <w:r>
              <w:rPr>
                <w:rFonts w:eastAsia="Calibri"/>
                <w:b/>
                <w:sz w:val="18"/>
                <w:szCs w:val="18"/>
              </w:rPr>
              <w:t>Indicateurs objectivement vérifiables</w:t>
            </w:r>
          </w:p>
        </w:tc>
        <w:tc>
          <w:tcPr>
            <w:tcW w:w="1576" w:type="dxa"/>
            <w:tcBorders/>
            <w:shd w:val="clear" w:color="auto" w:fill="d9d9d9"/>
            <w:vAlign w:val="center"/>
          </w:tcPr>
          <w:p>
            <w:pPr>
              <w:pStyle w:val="style0"/>
              <w:spacing w:before="0"/>
              <w:jc w:val="center"/>
              <w:rPr>
                <w:rFonts w:eastAsia="Calibri"/>
                <w:b/>
                <w:sz w:val="18"/>
                <w:szCs w:val="18"/>
              </w:rPr>
            </w:pPr>
            <w:r>
              <w:rPr>
                <w:rFonts w:eastAsia="Calibri"/>
                <w:b/>
                <w:sz w:val="18"/>
                <w:szCs w:val="18"/>
              </w:rPr>
              <w:t>Moyens de vérification</w:t>
            </w:r>
          </w:p>
        </w:tc>
      </w:tr>
      <w:tr>
        <w:tblPrEx/>
        <w:trPr>
          <w:cantSplit/>
          <w:trHeight w:val="1134" w:hRule="atLeast"/>
          <w:jc w:val="center"/>
        </w:trPr>
        <w:tc>
          <w:tcPr>
            <w:tcW w:w="0" w:type="auto"/>
            <w:tcBorders>
              <w:bottom w:val="single" w:sz="6" w:space="0" w:color="auto"/>
            </w:tcBorders>
            <w:shd w:val="clear" w:color="auto" w:fill="ffffff"/>
            <w:textDirection w:val="tbRl"/>
            <w:vAlign w:val="center"/>
          </w:tcPr>
          <w:p>
            <w:pPr>
              <w:pStyle w:val="style0"/>
              <w:spacing w:before="0"/>
              <w:jc w:val="center"/>
              <w:rPr>
                <w:rFonts w:eastAsia="Calibri"/>
                <w:b/>
                <w:sz w:val="18"/>
                <w:szCs w:val="18"/>
              </w:rPr>
            </w:pPr>
            <w:r>
              <w:rPr>
                <w:rFonts w:eastAsia="Calibri"/>
                <w:b/>
                <w:sz w:val="20"/>
                <w:szCs w:val="18"/>
              </w:rPr>
              <w:t xml:space="preserve">Période d’exploitation du programme </w:t>
            </w:r>
          </w:p>
        </w:tc>
        <w:tc>
          <w:tcPr>
            <w:tcW w:w="0" w:type="auto"/>
            <w:tcBorders/>
            <w:shd w:val="clear" w:color="auto" w:fill="ffffff"/>
          </w:tcPr>
          <w:p>
            <w:pPr>
              <w:pStyle w:val="style0"/>
              <w:spacing w:before="0"/>
              <w:rPr>
                <w:rFonts w:eastAsia="Calibri"/>
                <w:sz w:val="18"/>
                <w:szCs w:val="18"/>
              </w:rPr>
            </w:pPr>
          </w:p>
          <w:p>
            <w:pPr>
              <w:pStyle w:val="style0"/>
              <w:spacing w:before="0"/>
              <w:rPr>
                <w:rFonts w:eastAsia="Calibri"/>
                <w:sz w:val="18"/>
                <w:szCs w:val="18"/>
              </w:rPr>
            </w:pPr>
          </w:p>
          <w:p>
            <w:pPr>
              <w:pStyle w:val="style0"/>
              <w:spacing w:before="0"/>
              <w:jc w:val="center"/>
              <w:rPr>
                <w:rFonts w:eastAsia="Calibri"/>
                <w:sz w:val="18"/>
                <w:szCs w:val="18"/>
              </w:rPr>
            </w:pPr>
            <w:r>
              <w:rPr>
                <w:rFonts w:eastAsia="Calibri"/>
                <w:b/>
                <w:sz w:val="18"/>
                <w:szCs w:val="18"/>
              </w:rPr>
              <w:t xml:space="preserve"> transport des pesticides</w:t>
            </w:r>
          </w:p>
        </w:tc>
        <w:tc>
          <w:tcPr>
            <w:tcW w:w="0" w:type="auto"/>
            <w:tcBorders/>
            <w:shd w:val="clear" w:color="auto" w:fill="ffffff"/>
          </w:tcPr>
          <w:p>
            <w:pPr>
              <w:pStyle w:val="style0"/>
              <w:spacing w:before="0"/>
              <w:rPr>
                <w:rFonts w:eastAsia="Calibri"/>
                <w:sz w:val="18"/>
                <w:szCs w:val="18"/>
              </w:rPr>
            </w:pPr>
            <w:r>
              <w:rPr>
                <w:rFonts w:eastAsia="Calibri"/>
                <w:sz w:val="18"/>
                <w:szCs w:val="18"/>
              </w:rPr>
              <w:t>-</w:t>
            </w:r>
            <w:r>
              <w:rPr>
                <w:rFonts w:eastAsia="Calibri"/>
                <w:sz w:val="18"/>
                <w:szCs w:val="18"/>
              </w:rPr>
              <w:t>Déversement accidentel de pesticides sur le sol et dans les eaux ;</w:t>
            </w:r>
          </w:p>
          <w:p>
            <w:pPr>
              <w:pStyle w:val="style0"/>
              <w:spacing w:before="0"/>
              <w:rPr>
                <w:rFonts w:eastAsia="Calibri"/>
                <w:sz w:val="18"/>
                <w:szCs w:val="18"/>
              </w:rPr>
            </w:pPr>
            <w:r>
              <w:rPr>
                <w:rFonts w:eastAsia="Calibri"/>
                <w:sz w:val="18"/>
                <w:szCs w:val="18"/>
              </w:rPr>
              <w:t>-</w:t>
            </w:r>
            <w:r>
              <w:rPr>
                <w:rFonts w:eastAsia="Calibri"/>
                <w:sz w:val="18"/>
                <w:szCs w:val="18"/>
              </w:rPr>
              <w:t>Pollution des sols et des eaux</w:t>
            </w:r>
          </w:p>
          <w:p>
            <w:pPr>
              <w:pStyle w:val="style0"/>
              <w:spacing w:before="0"/>
              <w:rPr>
                <w:rFonts w:eastAsia="Calibri"/>
                <w:sz w:val="18"/>
                <w:szCs w:val="18"/>
              </w:rPr>
            </w:pPr>
            <w:r>
              <w:rPr>
                <w:rFonts w:eastAsia="Calibri"/>
                <w:sz w:val="18"/>
                <w:szCs w:val="18"/>
              </w:rPr>
              <w:t>-</w:t>
            </w:r>
            <w:r>
              <w:rPr>
                <w:rFonts w:eastAsia="Calibri"/>
                <w:sz w:val="18"/>
                <w:szCs w:val="18"/>
              </w:rPr>
              <w:t>Contamination accidentelle des personnes chargées du transport</w:t>
            </w:r>
          </w:p>
        </w:tc>
        <w:tc>
          <w:tcPr>
            <w:tcW w:w="4589" w:type="dxa"/>
            <w:tcBorders/>
            <w:shd w:val="clear" w:color="auto" w:fill="ffffff"/>
          </w:tcPr>
          <w:p>
            <w:pPr>
              <w:pStyle w:val="style0"/>
              <w:spacing w:before="0"/>
              <w:rPr>
                <w:rFonts w:eastAsia="Calibri"/>
                <w:sz w:val="18"/>
                <w:szCs w:val="18"/>
              </w:rPr>
            </w:pPr>
            <w:r>
              <w:rPr>
                <w:rFonts w:eastAsia="Calibri"/>
                <w:sz w:val="18"/>
                <w:szCs w:val="18"/>
              </w:rPr>
              <w:t>-</w:t>
            </w:r>
            <w:r>
              <w:rPr>
                <w:rFonts w:eastAsia="Calibri"/>
                <w:sz w:val="18"/>
                <w:szCs w:val="18"/>
              </w:rPr>
              <w:t>Sensibilis</w:t>
            </w:r>
            <w:r>
              <w:rPr>
                <w:rFonts w:eastAsia="Calibri"/>
                <w:sz w:val="18"/>
                <w:szCs w:val="18"/>
              </w:rPr>
              <w:t>er</w:t>
            </w:r>
            <w:r>
              <w:rPr>
                <w:rFonts w:eastAsia="Calibri"/>
                <w:sz w:val="18"/>
                <w:szCs w:val="18"/>
              </w:rPr>
              <w:t>/édu</w:t>
            </w:r>
            <w:r>
              <w:rPr>
                <w:rFonts w:eastAsia="Calibri"/>
                <w:sz w:val="18"/>
                <w:szCs w:val="18"/>
              </w:rPr>
              <w:t>quer</w:t>
            </w:r>
            <w:r>
              <w:rPr>
                <w:rFonts w:eastAsia="Calibri"/>
                <w:sz w:val="18"/>
                <w:szCs w:val="18"/>
              </w:rPr>
              <w:t xml:space="preserve"> </w:t>
            </w:r>
            <w:r>
              <w:rPr>
                <w:rFonts w:eastAsia="Calibri"/>
                <w:sz w:val="18"/>
                <w:szCs w:val="18"/>
              </w:rPr>
              <w:t>l</w:t>
            </w:r>
            <w:r>
              <w:rPr>
                <w:rFonts w:eastAsia="Calibri"/>
                <w:sz w:val="18"/>
                <w:szCs w:val="18"/>
              </w:rPr>
              <w:t xml:space="preserve">es </w:t>
            </w:r>
            <w:r>
              <w:rPr>
                <w:rFonts w:eastAsia="Calibri"/>
                <w:sz w:val="18"/>
                <w:szCs w:val="18"/>
              </w:rPr>
              <w:t xml:space="preserve">transporteurs et </w:t>
            </w:r>
            <w:r>
              <w:rPr>
                <w:rFonts w:eastAsia="Calibri"/>
                <w:sz w:val="18"/>
                <w:szCs w:val="18"/>
              </w:rPr>
              <w:t>l</w:t>
            </w:r>
            <w:r>
              <w:rPr>
                <w:rFonts w:eastAsia="Calibri"/>
                <w:sz w:val="18"/>
                <w:szCs w:val="18"/>
              </w:rPr>
              <w:t xml:space="preserve">es </w:t>
            </w:r>
            <w:r>
              <w:rPr>
                <w:rFonts w:eastAsia="Calibri"/>
                <w:sz w:val="18"/>
                <w:szCs w:val="18"/>
              </w:rPr>
              <w:t>producteurs</w:t>
            </w:r>
          </w:p>
          <w:p>
            <w:pPr>
              <w:pStyle w:val="style0"/>
              <w:spacing w:before="0"/>
              <w:rPr>
                <w:rFonts w:eastAsia="Calibri"/>
                <w:sz w:val="18"/>
                <w:szCs w:val="18"/>
              </w:rPr>
            </w:pPr>
            <w:r>
              <w:rPr>
                <w:rFonts w:eastAsia="Calibri"/>
                <w:sz w:val="18"/>
                <w:szCs w:val="18"/>
              </w:rPr>
              <w:t>-</w:t>
            </w:r>
            <w:r>
              <w:rPr>
                <w:rFonts w:eastAsia="Calibri"/>
                <w:sz w:val="18"/>
                <w:szCs w:val="18"/>
              </w:rPr>
              <w:t>Eviter de confier le transport des pesticides aux personnes non averties</w:t>
            </w:r>
          </w:p>
          <w:p>
            <w:pPr>
              <w:pStyle w:val="style0"/>
              <w:spacing w:before="0"/>
              <w:rPr>
                <w:rFonts w:eastAsia="Calibri"/>
                <w:sz w:val="18"/>
                <w:szCs w:val="18"/>
              </w:rPr>
            </w:pPr>
            <w:r>
              <w:rPr>
                <w:rFonts w:eastAsia="Calibri"/>
                <w:sz w:val="18"/>
                <w:szCs w:val="18"/>
              </w:rPr>
              <w:t>-</w:t>
            </w:r>
            <w:r>
              <w:rPr>
                <w:rFonts w:eastAsia="Calibri"/>
                <w:sz w:val="18"/>
                <w:szCs w:val="18"/>
              </w:rPr>
              <w:t>Eviter les associations eaux de boisson, vivres et tenues de travail avec les pesticides</w:t>
            </w:r>
          </w:p>
        </w:tc>
        <w:tc>
          <w:tcPr>
            <w:tcW w:w="1431" w:type="dxa"/>
            <w:tcBorders/>
            <w:shd w:val="clear" w:color="auto" w:fill="ffffff"/>
          </w:tcPr>
          <w:p>
            <w:pPr>
              <w:pStyle w:val="style0"/>
              <w:spacing w:before="0"/>
              <w:rPr>
                <w:rFonts w:eastAsia="Calibri"/>
                <w:sz w:val="18"/>
                <w:szCs w:val="18"/>
              </w:rPr>
            </w:pPr>
          </w:p>
          <w:p>
            <w:pPr>
              <w:pStyle w:val="style0"/>
              <w:spacing w:before="0"/>
              <w:rPr>
                <w:rFonts w:eastAsia="Calibri"/>
                <w:sz w:val="18"/>
                <w:szCs w:val="18"/>
              </w:rPr>
            </w:pPr>
            <w:r>
              <w:rPr>
                <w:rFonts w:eastAsia="Calibri"/>
                <w:sz w:val="18"/>
                <w:szCs w:val="18"/>
              </w:rPr>
              <w:t>Tout le Pro</w:t>
            </w:r>
            <w:r>
              <w:rPr>
                <w:rFonts w:eastAsia="Calibri"/>
                <w:sz w:val="18"/>
                <w:szCs w:val="18"/>
              </w:rPr>
              <w:t xml:space="preserve">gramme </w:t>
            </w:r>
          </w:p>
        </w:tc>
        <w:tc>
          <w:tcPr>
            <w:tcW w:w="1276" w:type="dxa"/>
            <w:tcBorders/>
            <w:shd w:val="clear" w:color="auto" w:fill="ffffff"/>
          </w:tcPr>
          <w:p>
            <w:pPr>
              <w:pStyle w:val="style0"/>
              <w:spacing w:before="0"/>
              <w:rPr>
                <w:rFonts w:eastAsia="Calibri"/>
                <w:sz w:val="18"/>
                <w:szCs w:val="18"/>
              </w:rPr>
            </w:pPr>
            <w:r>
              <w:rPr>
                <w:rFonts w:eastAsia="Calibri"/>
                <w:sz w:val="18"/>
                <w:szCs w:val="18"/>
              </w:rPr>
              <w:t>DPCA</w:t>
            </w:r>
          </w:p>
          <w:p>
            <w:pPr>
              <w:pStyle w:val="style0"/>
              <w:spacing w:before="0"/>
              <w:rPr>
                <w:rFonts w:eastAsia="Calibri"/>
                <w:sz w:val="18"/>
                <w:szCs w:val="18"/>
              </w:rPr>
            </w:pPr>
            <w:r>
              <w:rPr>
                <w:rFonts w:eastAsia="Calibri"/>
                <w:sz w:val="18"/>
                <w:szCs w:val="18"/>
              </w:rPr>
              <w:t>DPVC</w:t>
            </w:r>
          </w:p>
          <w:p>
            <w:pPr>
              <w:pStyle w:val="style0"/>
              <w:spacing w:before="0"/>
              <w:rPr>
                <w:rFonts w:eastAsia="Calibri"/>
                <w:sz w:val="18"/>
                <w:szCs w:val="18"/>
              </w:rPr>
            </w:pPr>
            <w:r>
              <w:rPr>
                <w:rFonts w:eastAsia="Calibri"/>
                <w:color w:val="000000"/>
                <w:sz w:val="18"/>
                <w:szCs w:val="18"/>
              </w:rPr>
              <w:t>MAAH</w:t>
            </w:r>
            <w:r>
              <w:rPr>
                <w:rFonts w:eastAsia="Calibri"/>
                <w:sz w:val="18"/>
                <w:szCs w:val="18"/>
              </w:rPr>
              <w:t xml:space="preserve"> DP</w:t>
            </w:r>
            <w:r>
              <w:rPr>
                <w:rFonts w:eastAsia="Calibri"/>
                <w:color w:val="000000"/>
                <w:sz w:val="18"/>
                <w:szCs w:val="18"/>
              </w:rPr>
              <w:t>AAH</w:t>
            </w:r>
          </w:p>
          <w:p>
            <w:pPr>
              <w:pStyle w:val="style0"/>
              <w:spacing w:before="0"/>
              <w:rPr>
                <w:rFonts w:eastAsia="Calibri"/>
                <w:sz w:val="18"/>
                <w:szCs w:val="18"/>
              </w:rPr>
            </w:pPr>
            <w:r>
              <w:rPr>
                <w:rFonts w:eastAsia="Calibri"/>
                <w:sz w:val="18"/>
                <w:szCs w:val="18"/>
              </w:rPr>
              <w:t>INERA</w:t>
            </w:r>
          </w:p>
          <w:p>
            <w:pPr>
              <w:pStyle w:val="style0"/>
              <w:spacing w:before="0"/>
              <w:rPr>
                <w:rFonts w:eastAsia="Calibri"/>
                <w:sz w:val="18"/>
                <w:szCs w:val="18"/>
              </w:rPr>
            </w:pPr>
            <w:r>
              <w:rPr>
                <w:rFonts w:eastAsia="Calibri"/>
                <w:sz w:val="18"/>
                <w:szCs w:val="18"/>
              </w:rPr>
              <w:t>BUNEE</w:t>
            </w:r>
          </w:p>
          <w:p>
            <w:pPr>
              <w:pStyle w:val="style0"/>
              <w:spacing w:before="0"/>
              <w:rPr>
                <w:rFonts w:eastAsia="Calibri"/>
                <w:sz w:val="18"/>
                <w:szCs w:val="18"/>
              </w:rPr>
            </w:pPr>
            <w:r>
              <w:rPr>
                <w:rFonts w:eastAsia="Calibri"/>
                <w:sz w:val="18"/>
                <w:szCs w:val="18"/>
              </w:rPr>
              <w:t>DGPE</w:t>
            </w:r>
          </w:p>
        </w:tc>
        <w:tc>
          <w:tcPr>
            <w:tcW w:w="1843" w:type="dxa"/>
            <w:tcBorders/>
            <w:shd w:val="clear" w:color="auto" w:fill="ffffff"/>
          </w:tcPr>
          <w:p>
            <w:pPr>
              <w:pStyle w:val="style0"/>
              <w:spacing w:before="0"/>
              <w:rPr>
                <w:rFonts w:eastAsia="Calibri"/>
                <w:sz w:val="18"/>
                <w:szCs w:val="18"/>
              </w:rPr>
            </w:pPr>
          </w:p>
          <w:p>
            <w:pPr>
              <w:pStyle w:val="style0"/>
              <w:spacing w:before="0"/>
              <w:rPr>
                <w:rFonts w:eastAsia="Calibri"/>
                <w:sz w:val="18"/>
                <w:szCs w:val="18"/>
              </w:rPr>
            </w:pPr>
            <w:r>
              <w:rPr>
                <w:rFonts w:eastAsia="Calibri"/>
                <w:sz w:val="18"/>
                <w:szCs w:val="18"/>
              </w:rPr>
              <w:t>-</w:t>
            </w:r>
            <w:r>
              <w:rPr>
                <w:rFonts w:eastAsia="Calibri"/>
                <w:sz w:val="18"/>
                <w:szCs w:val="18"/>
              </w:rPr>
              <w:t>Nombre</w:t>
            </w:r>
            <w:r>
              <w:rPr>
                <w:rFonts w:eastAsia="Calibri"/>
                <w:sz w:val="18"/>
                <w:szCs w:val="18"/>
              </w:rPr>
              <w:t xml:space="preserve"> de campagne de sensibilisation</w:t>
            </w:r>
          </w:p>
          <w:p>
            <w:pPr>
              <w:pStyle w:val="style0"/>
              <w:spacing w:before="0"/>
              <w:rPr>
                <w:rFonts w:eastAsia="Calibri"/>
                <w:sz w:val="18"/>
                <w:szCs w:val="18"/>
              </w:rPr>
            </w:pPr>
            <w:r>
              <w:rPr>
                <w:rFonts w:eastAsia="Calibri"/>
                <w:sz w:val="18"/>
                <w:szCs w:val="18"/>
              </w:rPr>
              <w:t>-</w:t>
            </w:r>
            <w:r>
              <w:rPr>
                <w:rFonts w:eastAsia="Calibri"/>
                <w:sz w:val="18"/>
                <w:szCs w:val="18"/>
              </w:rPr>
              <w:t>nombre de formation des acteurs</w:t>
            </w:r>
          </w:p>
        </w:tc>
        <w:tc>
          <w:tcPr>
            <w:tcW w:w="1576" w:type="dxa"/>
            <w:tcBorders/>
            <w:shd w:val="clear" w:color="auto" w:fill="ffffff"/>
          </w:tcPr>
          <w:p>
            <w:pPr>
              <w:pStyle w:val="style179"/>
              <w:numPr>
                <w:ilvl w:val="0"/>
                <w:numId w:val="120"/>
              </w:numPr>
              <w:spacing w:before="0"/>
              <w:ind w:firstLine="0"/>
              <w:rPr>
                <w:rFonts w:eastAsia="Calibri"/>
                <w:sz w:val="18"/>
                <w:szCs w:val="18"/>
              </w:rPr>
            </w:pPr>
            <w:r>
              <w:rPr>
                <w:rFonts w:eastAsia="Calibri"/>
                <w:sz w:val="18"/>
                <w:szCs w:val="18"/>
              </w:rPr>
              <w:t xml:space="preserve">Rapport de formation </w:t>
            </w:r>
          </w:p>
          <w:p>
            <w:pPr>
              <w:pStyle w:val="style179"/>
              <w:numPr>
                <w:ilvl w:val="0"/>
                <w:numId w:val="120"/>
              </w:numPr>
              <w:spacing w:before="0"/>
              <w:ind w:firstLine="0"/>
              <w:rPr>
                <w:rFonts w:eastAsia="Calibri"/>
                <w:sz w:val="18"/>
                <w:szCs w:val="18"/>
              </w:rPr>
            </w:pPr>
            <w:r>
              <w:rPr>
                <w:rFonts w:eastAsia="Calibri"/>
                <w:sz w:val="18"/>
                <w:szCs w:val="18"/>
              </w:rPr>
              <w:t>Rapport de sensibilisation</w:t>
            </w:r>
          </w:p>
          <w:p>
            <w:pPr>
              <w:pStyle w:val="style179"/>
              <w:numPr>
                <w:ilvl w:val="0"/>
                <w:numId w:val="120"/>
              </w:numPr>
              <w:spacing w:before="0"/>
              <w:ind w:firstLine="0"/>
              <w:rPr>
                <w:rFonts w:eastAsia="Calibri"/>
                <w:sz w:val="18"/>
                <w:szCs w:val="18"/>
              </w:rPr>
            </w:pPr>
            <w:r>
              <w:rPr>
                <w:rFonts w:eastAsia="Calibri"/>
                <w:sz w:val="18"/>
                <w:szCs w:val="18"/>
              </w:rPr>
              <w:t>Journaux</w:t>
            </w:r>
          </w:p>
          <w:p>
            <w:pPr>
              <w:pStyle w:val="style179"/>
              <w:numPr>
                <w:ilvl w:val="0"/>
                <w:numId w:val="120"/>
              </w:numPr>
              <w:spacing w:before="0"/>
              <w:ind w:firstLine="0"/>
              <w:rPr>
                <w:rFonts w:eastAsia="Calibri"/>
                <w:sz w:val="18"/>
                <w:szCs w:val="18"/>
              </w:rPr>
            </w:pPr>
            <w:r>
              <w:rPr>
                <w:rFonts w:eastAsia="Calibri"/>
                <w:sz w:val="18"/>
                <w:szCs w:val="18"/>
              </w:rPr>
              <w:t>Liste de présence</w:t>
            </w:r>
          </w:p>
        </w:tc>
      </w:tr>
      <w:tr>
        <w:tblPrEx/>
        <w:trPr>
          <w:cantSplit/>
          <w:trHeight w:val="592" w:hRule="atLeast"/>
          <w:jc w:val="center"/>
        </w:trPr>
        <w:tc>
          <w:tcPr>
            <w:tcW w:w="0" w:type="auto"/>
            <w:tcBorders>
              <w:top w:val="single" w:sz="6" w:space="0" w:color="auto"/>
              <w:bottom w:val="nil"/>
            </w:tcBorders>
            <w:shd w:val="clear" w:color="auto" w:fill="ffffff"/>
            <w:vAlign w:val="center"/>
          </w:tcPr>
          <w:p>
            <w:pPr>
              <w:pStyle w:val="style0"/>
              <w:spacing w:before="0"/>
              <w:rPr>
                <w:rFonts w:eastAsia="Calibri"/>
                <w:sz w:val="21"/>
                <w:szCs w:val="18"/>
              </w:rPr>
            </w:pPr>
          </w:p>
        </w:tc>
        <w:tc>
          <w:tcPr>
            <w:tcW w:w="0" w:type="auto"/>
            <w:vMerge w:val="restart"/>
            <w:tcBorders/>
            <w:shd w:val="clear" w:color="auto" w:fill="ffffff"/>
            <w:vAlign w:val="bottom"/>
          </w:tcPr>
          <w:p>
            <w:pPr>
              <w:pStyle w:val="style0"/>
              <w:spacing w:before="0"/>
              <w:jc w:val="center"/>
              <w:rPr>
                <w:rFonts w:eastAsia="Calibri"/>
                <w:b/>
                <w:sz w:val="18"/>
                <w:szCs w:val="18"/>
              </w:rPr>
            </w:pPr>
            <w:r>
              <w:rPr>
                <w:rFonts w:eastAsia="Calibri"/>
                <w:b/>
                <w:sz w:val="18"/>
                <w:szCs w:val="18"/>
              </w:rPr>
              <w:t xml:space="preserve"> stockage des pesticides</w:t>
            </w:r>
          </w:p>
          <w:p>
            <w:pPr>
              <w:pStyle w:val="style0"/>
              <w:spacing w:before="0"/>
              <w:jc w:val="center"/>
              <w:rPr>
                <w:rFonts w:eastAsia="Calibri"/>
                <w:b/>
                <w:sz w:val="18"/>
                <w:szCs w:val="18"/>
              </w:rPr>
            </w:pPr>
          </w:p>
          <w:p>
            <w:pPr>
              <w:pStyle w:val="style0"/>
              <w:spacing w:before="0"/>
              <w:jc w:val="center"/>
              <w:rPr>
                <w:rFonts w:eastAsia="Calibri"/>
                <w:b/>
                <w:sz w:val="18"/>
                <w:szCs w:val="18"/>
              </w:rPr>
            </w:pPr>
          </w:p>
          <w:p>
            <w:pPr>
              <w:pStyle w:val="style0"/>
              <w:spacing w:before="0"/>
              <w:jc w:val="center"/>
              <w:rPr>
                <w:rFonts w:eastAsia="Calibri"/>
                <w:b/>
                <w:sz w:val="18"/>
                <w:szCs w:val="18"/>
              </w:rPr>
            </w:pPr>
          </w:p>
          <w:p>
            <w:pPr>
              <w:pStyle w:val="style0"/>
              <w:spacing w:before="0"/>
              <w:jc w:val="center"/>
              <w:rPr>
                <w:rFonts w:eastAsia="Calibri"/>
                <w:b/>
                <w:sz w:val="18"/>
                <w:szCs w:val="18"/>
              </w:rPr>
            </w:pPr>
          </w:p>
          <w:p>
            <w:pPr>
              <w:pStyle w:val="style0"/>
              <w:spacing w:before="0"/>
              <w:jc w:val="center"/>
              <w:rPr>
                <w:rFonts w:eastAsia="Calibri"/>
                <w:b/>
                <w:sz w:val="18"/>
                <w:szCs w:val="18"/>
              </w:rPr>
            </w:pPr>
          </w:p>
          <w:p>
            <w:pPr>
              <w:pStyle w:val="style0"/>
              <w:spacing w:before="0"/>
              <w:jc w:val="center"/>
              <w:rPr>
                <w:rFonts w:eastAsia="Calibri"/>
                <w:b/>
                <w:sz w:val="18"/>
                <w:szCs w:val="18"/>
              </w:rPr>
            </w:pPr>
          </w:p>
          <w:p>
            <w:pPr>
              <w:pStyle w:val="style0"/>
              <w:spacing w:before="0"/>
              <w:rPr>
                <w:rFonts w:eastAsia="Calibri"/>
                <w:b/>
                <w:sz w:val="18"/>
                <w:szCs w:val="18"/>
              </w:rPr>
            </w:pPr>
          </w:p>
        </w:tc>
        <w:tc>
          <w:tcPr>
            <w:tcW w:w="0" w:type="auto"/>
            <w:tcBorders/>
            <w:shd w:val="clear" w:color="auto" w:fill="ffffff"/>
          </w:tcPr>
          <w:p>
            <w:pPr>
              <w:pStyle w:val="style0"/>
              <w:spacing w:before="0"/>
              <w:rPr>
                <w:rFonts w:eastAsia="Calibri"/>
                <w:sz w:val="18"/>
                <w:szCs w:val="18"/>
              </w:rPr>
            </w:pPr>
            <w:r>
              <w:rPr>
                <w:rFonts w:eastAsia="Calibri"/>
                <w:sz w:val="18"/>
                <w:szCs w:val="18"/>
              </w:rPr>
              <w:t>Pollution du sol et des eaux de surface et souterraines</w:t>
            </w:r>
          </w:p>
        </w:tc>
        <w:tc>
          <w:tcPr>
            <w:tcW w:w="4589" w:type="dxa"/>
            <w:tcBorders/>
            <w:shd w:val="clear" w:color="auto" w:fill="ffffff"/>
          </w:tcPr>
          <w:p>
            <w:pPr>
              <w:pStyle w:val="style0"/>
              <w:spacing w:before="0"/>
              <w:rPr>
                <w:rFonts w:eastAsia="Calibri"/>
                <w:sz w:val="18"/>
                <w:szCs w:val="18"/>
              </w:rPr>
            </w:pPr>
            <w:r>
              <w:rPr>
                <w:rFonts w:eastAsia="Calibri"/>
                <w:sz w:val="18"/>
                <w:szCs w:val="18"/>
              </w:rPr>
              <w:t>-</w:t>
            </w:r>
            <w:r>
              <w:rPr>
                <w:rFonts w:eastAsia="Calibri"/>
                <w:sz w:val="18"/>
                <w:szCs w:val="18"/>
              </w:rPr>
              <w:t>Form</w:t>
            </w:r>
            <w:r>
              <w:rPr>
                <w:rFonts w:eastAsia="Calibri"/>
                <w:sz w:val="18"/>
                <w:szCs w:val="18"/>
              </w:rPr>
              <w:t>er</w:t>
            </w:r>
            <w:r>
              <w:rPr>
                <w:rFonts w:eastAsia="Calibri"/>
                <w:sz w:val="18"/>
                <w:szCs w:val="18"/>
              </w:rPr>
              <w:t> / sensibilis</w:t>
            </w:r>
            <w:r>
              <w:rPr>
                <w:rFonts w:eastAsia="Calibri"/>
                <w:sz w:val="18"/>
                <w:szCs w:val="18"/>
              </w:rPr>
              <w:t>er</w:t>
            </w:r>
            <w:r>
              <w:rPr>
                <w:rFonts w:eastAsia="Calibri"/>
                <w:sz w:val="18"/>
                <w:szCs w:val="18"/>
              </w:rPr>
              <w:t xml:space="preserve"> </w:t>
            </w:r>
            <w:r>
              <w:rPr>
                <w:rFonts w:eastAsia="Calibri"/>
                <w:sz w:val="18"/>
                <w:szCs w:val="18"/>
              </w:rPr>
              <w:t>l</w:t>
            </w:r>
            <w:r>
              <w:rPr>
                <w:rFonts w:eastAsia="Calibri"/>
                <w:sz w:val="18"/>
                <w:szCs w:val="18"/>
              </w:rPr>
              <w:t xml:space="preserve">es </w:t>
            </w:r>
            <w:r>
              <w:rPr>
                <w:rFonts w:eastAsia="Calibri"/>
                <w:sz w:val="18"/>
                <w:szCs w:val="18"/>
              </w:rPr>
              <w:t xml:space="preserve">utilisateurs sur les bonnes </w:t>
            </w:r>
            <w:r>
              <w:rPr>
                <w:rFonts w:eastAsia="Calibri"/>
                <w:sz w:val="18"/>
                <w:szCs w:val="18"/>
              </w:rPr>
              <w:t xml:space="preserve">pratiques </w:t>
            </w:r>
            <w:r>
              <w:rPr>
                <w:rFonts w:eastAsia="Calibri"/>
                <w:sz w:val="18"/>
                <w:szCs w:val="18"/>
              </w:rPr>
              <w:t>de stockage</w:t>
            </w:r>
          </w:p>
          <w:p>
            <w:pPr>
              <w:pStyle w:val="style0"/>
              <w:spacing w:before="0"/>
              <w:rPr>
                <w:rFonts w:eastAsia="Calibri"/>
                <w:sz w:val="18"/>
                <w:szCs w:val="18"/>
              </w:rPr>
            </w:pPr>
            <w:r>
              <w:rPr>
                <w:rFonts w:eastAsia="Calibri"/>
                <w:sz w:val="18"/>
                <w:szCs w:val="18"/>
              </w:rPr>
              <w:t>-assurer le s</w:t>
            </w:r>
            <w:r>
              <w:rPr>
                <w:rFonts w:eastAsia="Calibri"/>
                <w:sz w:val="18"/>
                <w:szCs w:val="18"/>
              </w:rPr>
              <w:t xml:space="preserve">uivi </w:t>
            </w:r>
            <w:r>
              <w:rPr>
                <w:rFonts w:eastAsia="Calibri"/>
                <w:sz w:val="18"/>
                <w:szCs w:val="18"/>
              </w:rPr>
              <w:t>de la qualité des eaux et du sol</w:t>
            </w:r>
          </w:p>
        </w:tc>
        <w:tc>
          <w:tcPr>
            <w:tcW w:w="1431" w:type="dxa"/>
            <w:vMerge w:val="restart"/>
            <w:tcBorders/>
            <w:shd w:val="clear" w:color="auto" w:fill="ffffff"/>
          </w:tcPr>
          <w:p>
            <w:pPr>
              <w:pStyle w:val="style0"/>
              <w:spacing w:before="0"/>
              <w:rPr>
                <w:rFonts w:eastAsia="Calibri"/>
                <w:sz w:val="18"/>
                <w:szCs w:val="18"/>
              </w:rPr>
            </w:pPr>
            <w:r>
              <w:rPr>
                <w:rFonts w:eastAsia="Calibri"/>
                <w:sz w:val="18"/>
                <w:szCs w:val="18"/>
              </w:rPr>
              <w:t>En phase d’exploitation</w:t>
            </w:r>
          </w:p>
        </w:tc>
        <w:tc>
          <w:tcPr>
            <w:tcW w:w="1276" w:type="dxa"/>
            <w:vMerge w:val="restart"/>
            <w:tcBorders/>
            <w:shd w:val="clear" w:color="auto" w:fill="ffffff"/>
          </w:tcPr>
          <w:p>
            <w:pPr>
              <w:pStyle w:val="style0"/>
              <w:spacing w:before="0"/>
              <w:rPr>
                <w:rFonts w:eastAsia="Calibri"/>
                <w:sz w:val="18"/>
                <w:szCs w:val="18"/>
                <w:lang w:val="en-GB"/>
              </w:rPr>
            </w:pPr>
          </w:p>
          <w:p>
            <w:pPr>
              <w:pStyle w:val="style0"/>
              <w:spacing w:before="0"/>
              <w:rPr>
                <w:rFonts w:eastAsia="Calibri"/>
                <w:sz w:val="18"/>
                <w:szCs w:val="18"/>
                <w:lang w:val="en-GB"/>
              </w:rPr>
            </w:pPr>
          </w:p>
          <w:p>
            <w:pPr>
              <w:pStyle w:val="style0"/>
              <w:spacing w:before="0"/>
              <w:rPr>
                <w:rFonts w:eastAsia="Calibri"/>
                <w:sz w:val="18"/>
                <w:szCs w:val="18"/>
                <w:lang w:val="en-GB"/>
              </w:rPr>
            </w:pPr>
            <w:r>
              <w:rPr>
                <w:rFonts w:eastAsia="Calibri"/>
                <w:sz w:val="18"/>
                <w:szCs w:val="18"/>
                <w:lang w:val="en-GB"/>
              </w:rPr>
              <w:t>DPVC</w:t>
            </w:r>
          </w:p>
          <w:p>
            <w:pPr>
              <w:pStyle w:val="style0"/>
              <w:spacing w:before="0"/>
              <w:rPr>
                <w:rFonts w:eastAsia="Calibri"/>
                <w:sz w:val="18"/>
                <w:szCs w:val="18"/>
                <w:lang w:val="en-GB"/>
              </w:rPr>
            </w:pPr>
            <w:r>
              <w:rPr>
                <w:rFonts w:eastAsia="Calibri"/>
                <w:color w:val="000000"/>
                <w:sz w:val="18"/>
                <w:szCs w:val="18"/>
                <w:lang w:val="en-GB"/>
              </w:rPr>
              <w:t>MAAH</w:t>
            </w:r>
            <w:r>
              <w:rPr>
                <w:rFonts w:eastAsia="Calibri"/>
                <w:sz w:val="18"/>
                <w:szCs w:val="18"/>
                <w:lang w:val="en-GB"/>
              </w:rPr>
              <w:t xml:space="preserve"> DP</w:t>
            </w:r>
            <w:r>
              <w:rPr>
                <w:rFonts w:eastAsia="Calibri"/>
                <w:color w:val="000000"/>
                <w:sz w:val="18"/>
                <w:szCs w:val="18"/>
                <w:lang w:val="en-GB"/>
              </w:rPr>
              <w:t>AAH</w:t>
            </w:r>
          </w:p>
          <w:p>
            <w:pPr>
              <w:pStyle w:val="style0"/>
              <w:spacing w:before="0"/>
              <w:rPr>
                <w:rFonts w:eastAsia="Calibri"/>
                <w:sz w:val="18"/>
                <w:szCs w:val="18"/>
                <w:lang w:val="en-GB"/>
              </w:rPr>
            </w:pPr>
            <w:r>
              <w:rPr>
                <w:rFonts w:eastAsia="Calibri"/>
                <w:sz w:val="18"/>
                <w:szCs w:val="18"/>
                <w:lang w:val="en-GB"/>
              </w:rPr>
              <w:t>INERA</w:t>
            </w:r>
          </w:p>
          <w:p>
            <w:pPr>
              <w:pStyle w:val="style0"/>
              <w:spacing w:before="0"/>
              <w:rPr>
                <w:rFonts w:eastAsia="Calibri"/>
                <w:sz w:val="18"/>
                <w:szCs w:val="18"/>
                <w:lang w:val="en-GB"/>
              </w:rPr>
            </w:pPr>
            <w:r>
              <w:rPr>
                <w:rFonts w:eastAsia="Calibri"/>
                <w:sz w:val="18"/>
                <w:szCs w:val="18"/>
                <w:lang w:val="en-GB"/>
              </w:rPr>
              <w:t>MEEVCC</w:t>
            </w:r>
          </w:p>
        </w:tc>
        <w:tc>
          <w:tcPr>
            <w:tcW w:w="1843" w:type="dxa"/>
            <w:tcBorders/>
            <w:shd w:val="clear" w:color="auto" w:fill="ffffff"/>
          </w:tcPr>
          <w:p>
            <w:pPr>
              <w:pStyle w:val="style0"/>
              <w:spacing w:before="0"/>
              <w:rPr>
                <w:rFonts w:eastAsia="Calibri"/>
                <w:sz w:val="18"/>
                <w:szCs w:val="18"/>
              </w:rPr>
            </w:pPr>
            <w:r>
              <w:rPr>
                <w:rFonts w:eastAsia="Calibri"/>
                <w:sz w:val="18"/>
                <w:szCs w:val="18"/>
              </w:rPr>
              <w:t>Nombre de sensibilisation / Formation</w:t>
            </w:r>
          </w:p>
        </w:tc>
        <w:tc>
          <w:tcPr>
            <w:tcW w:w="1576" w:type="dxa"/>
            <w:tcBorders/>
            <w:shd w:val="clear" w:color="auto" w:fill="ffffff"/>
          </w:tcPr>
          <w:p>
            <w:pPr>
              <w:pStyle w:val="style0"/>
              <w:spacing w:before="0"/>
              <w:rPr>
                <w:rFonts w:eastAsia="Calibri"/>
                <w:sz w:val="18"/>
                <w:szCs w:val="18"/>
              </w:rPr>
            </w:pPr>
            <w:r>
              <w:rPr>
                <w:rFonts w:eastAsia="Calibri"/>
                <w:sz w:val="18"/>
                <w:szCs w:val="18"/>
              </w:rPr>
              <w:t>Rapport de formation</w:t>
            </w:r>
          </w:p>
          <w:p>
            <w:pPr>
              <w:pStyle w:val="style0"/>
              <w:spacing w:before="0"/>
              <w:rPr>
                <w:rFonts w:eastAsia="Calibri"/>
                <w:sz w:val="18"/>
                <w:szCs w:val="18"/>
              </w:rPr>
            </w:pPr>
            <w:r>
              <w:rPr>
                <w:rFonts w:eastAsia="Calibri"/>
                <w:sz w:val="18"/>
                <w:szCs w:val="18"/>
              </w:rPr>
              <w:t>Liste de présence</w:t>
            </w:r>
          </w:p>
        </w:tc>
      </w:tr>
      <w:tr>
        <w:tblPrEx/>
        <w:trPr>
          <w:cantSplit/>
          <w:trHeight w:val="1134" w:hRule="atLeast"/>
          <w:jc w:val="center"/>
        </w:trPr>
        <w:tc>
          <w:tcPr>
            <w:tcW w:w="0" w:type="auto"/>
            <w:vMerge w:val="restart"/>
            <w:tcBorders>
              <w:top w:val="nil"/>
              <w:bottom w:val="nil"/>
            </w:tcBorders>
            <w:shd w:val="clear" w:color="auto" w:fill="ffffff"/>
            <w:textDirection w:val="tbRl"/>
            <w:vAlign w:val="center"/>
          </w:tcPr>
          <w:p>
            <w:pPr>
              <w:pStyle w:val="style0"/>
              <w:spacing w:before="0"/>
              <w:jc w:val="center"/>
              <w:rPr>
                <w:rFonts w:eastAsia="Calibri"/>
                <w:sz w:val="21"/>
                <w:szCs w:val="18"/>
              </w:rPr>
            </w:pPr>
            <w:r>
              <w:rPr>
                <w:rFonts w:eastAsia="Calibri"/>
                <w:b/>
                <w:sz w:val="21"/>
                <w:szCs w:val="18"/>
              </w:rPr>
              <w:t>Période d’exploitation du programme</w:t>
            </w:r>
          </w:p>
        </w:tc>
        <w:tc>
          <w:tcPr>
            <w:tcW w:w="0" w:type="auto"/>
            <w:vMerge w:val="continue"/>
            <w:tcBorders/>
            <w:shd w:val="clear" w:color="auto" w:fill="ffffff"/>
          </w:tcPr>
          <w:p>
            <w:pPr>
              <w:pStyle w:val="style0"/>
              <w:spacing w:before="0"/>
              <w:rPr>
                <w:rFonts w:eastAsia="Calibri"/>
                <w:sz w:val="18"/>
                <w:szCs w:val="18"/>
              </w:rPr>
            </w:pPr>
          </w:p>
        </w:tc>
        <w:tc>
          <w:tcPr>
            <w:tcW w:w="0" w:type="auto"/>
            <w:tcBorders/>
            <w:shd w:val="clear" w:color="auto" w:fill="ffffff"/>
          </w:tcPr>
          <w:p>
            <w:pPr>
              <w:pStyle w:val="style0"/>
              <w:spacing w:before="0"/>
              <w:rPr>
                <w:rFonts w:eastAsia="Calibri"/>
                <w:sz w:val="18"/>
                <w:szCs w:val="18"/>
              </w:rPr>
            </w:pPr>
            <w:r>
              <w:rPr>
                <w:rFonts w:eastAsia="Calibri"/>
                <w:sz w:val="18"/>
                <w:szCs w:val="18"/>
              </w:rPr>
              <w:t>Inhalation et déversement des pesticides sur le corps</w:t>
            </w:r>
            <w:r>
              <w:rPr>
                <w:rFonts w:eastAsia="Calibri"/>
                <w:sz w:val="18"/>
                <w:szCs w:val="18"/>
              </w:rPr>
              <w:t xml:space="preserve"> </w:t>
            </w:r>
            <w:r>
              <w:rPr>
                <w:rFonts w:eastAsia="Calibri"/>
                <w:sz w:val="18"/>
                <w:szCs w:val="18"/>
              </w:rPr>
              <w:t>( la peau et les yeux et bouche);</w:t>
            </w:r>
          </w:p>
        </w:tc>
        <w:tc>
          <w:tcPr>
            <w:tcW w:w="4589" w:type="dxa"/>
            <w:tcBorders/>
            <w:shd w:val="clear" w:color="auto" w:fill="ffffff"/>
          </w:tcPr>
          <w:p>
            <w:pPr>
              <w:pStyle w:val="style0"/>
              <w:spacing w:before="0"/>
              <w:rPr>
                <w:rFonts w:eastAsia="Calibri"/>
                <w:sz w:val="18"/>
                <w:szCs w:val="18"/>
              </w:rPr>
            </w:pPr>
            <w:r>
              <w:rPr>
                <w:rFonts w:eastAsia="Calibri"/>
                <w:sz w:val="18"/>
                <w:szCs w:val="18"/>
              </w:rPr>
              <w:t>-</w:t>
            </w:r>
            <w:r>
              <w:rPr>
                <w:rFonts w:eastAsia="Calibri"/>
                <w:sz w:val="18"/>
                <w:szCs w:val="18"/>
              </w:rPr>
              <w:t xml:space="preserve">Aérer suffisamment le magasin de stockage </w:t>
            </w:r>
          </w:p>
          <w:p>
            <w:pPr>
              <w:pStyle w:val="style0"/>
              <w:spacing w:before="0"/>
              <w:rPr>
                <w:rFonts w:eastAsia="Calibri"/>
                <w:sz w:val="18"/>
                <w:szCs w:val="18"/>
              </w:rPr>
            </w:pPr>
            <w:r>
              <w:rPr>
                <w:rFonts w:eastAsia="Calibri"/>
                <w:sz w:val="18"/>
                <w:szCs w:val="18"/>
              </w:rPr>
              <w:t>-</w:t>
            </w:r>
            <w:r>
              <w:rPr>
                <w:rFonts w:eastAsia="Calibri"/>
                <w:sz w:val="18"/>
                <w:szCs w:val="18"/>
              </w:rPr>
              <w:t>M</w:t>
            </w:r>
            <w:r>
              <w:rPr>
                <w:rFonts w:eastAsia="Calibri"/>
                <w:sz w:val="18"/>
                <w:szCs w:val="18"/>
              </w:rPr>
              <w:t>ettre aux</w:t>
            </w:r>
            <w:r>
              <w:rPr>
                <w:rFonts w:eastAsia="Calibri"/>
                <w:sz w:val="18"/>
                <w:szCs w:val="18"/>
              </w:rPr>
              <w:t xml:space="preserve"> </w:t>
            </w:r>
            <w:r>
              <w:rPr>
                <w:rFonts w:eastAsia="Calibri"/>
                <w:sz w:val="18"/>
                <w:szCs w:val="18"/>
              </w:rPr>
              <w:t xml:space="preserve"> norme</w:t>
            </w:r>
            <w:r>
              <w:rPr>
                <w:rFonts w:eastAsia="Calibri"/>
                <w:sz w:val="18"/>
                <w:szCs w:val="18"/>
              </w:rPr>
              <w:t>s</w:t>
            </w:r>
            <w:r>
              <w:rPr>
                <w:rFonts w:eastAsia="Calibri"/>
                <w:sz w:val="18"/>
                <w:szCs w:val="18"/>
              </w:rPr>
              <w:t xml:space="preserve"> des boutiques afin d’éviter les pollutions </w:t>
            </w:r>
            <w:r>
              <w:rPr>
                <w:rFonts w:eastAsia="Calibri"/>
                <w:sz w:val="18"/>
                <w:szCs w:val="18"/>
              </w:rPr>
              <w:t>-</w:t>
            </w:r>
            <w:r>
              <w:rPr>
                <w:rFonts w:eastAsia="Calibri"/>
                <w:sz w:val="18"/>
                <w:szCs w:val="18"/>
              </w:rPr>
              <w:t xml:space="preserve">Eviter la conservation des produits dans les maisons </w:t>
            </w:r>
          </w:p>
          <w:p>
            <w:pPr>
              <w:pStyle w:val="style0"/>
              <w:spacing w:before="0"/>
              <w:rPr>
                <w:rFonts w:eastAsia="Calibri"/>
                <w:sz w:val="18"/>
                <w:szCs w:val="18"/>
              </w:rPr>
            </w:pPr>
            <w:r>
              <w:rPr>
                <w:rFonts w:eastAsia="Calibri"/>
                <w:sz w:val="18"/>
                <w:szCs w:val="18"/>
              </w:rPr>
              <w:t>-</w:t>
            </w:r>
            <w:r>
              <w:rPr>
                <w:rFonts w:eastAsia="Calibri"/>
                <w:sz w:val="18"/>
                <w:szCs w:val="18"/>
              </w:rPr>
              <w:t>Assurer le suivi sanitaire des gérants des boutiques d’intrants</w:t>
            </w:r>
          </w:p>
          <w:p>
            <w:pPr>
              <w:pStyle w:val="style0"/>
              <w:spacing w:before="0"/>
              <w:rPr>
                <w:rFonts w:eastAsia="Calibri"/>
                <w:sz w:val="18"/>
                <w:szCs w:val="18"/>
              </w:rPr>
            </w:pPr>
            <w:r>
              <w:rPr>
                <w:rFonts w:eastAsia="Calibri"/>
                <w:sz w:val="18"/>
                <w:szCs w:val="18"/>
              </w:rPr>
              <w:t>-</w:t>
            </w:r>
            <w:r>
              <w:rPr>
                <w:rFonts w:eastAsia="Calibri"/>
                <w:sz w:val="18"/>
                <w:szCs w:val="18"/>
              </w:rPr>
              <w:t>Eviter les associations des vivres avec les pesticides dans les points de vente</w:t>
            </w:r>
          </w:p>
          <w:p>
            <w:pPr>
              <w:pStyle w:val="style0"/>
              <w:spacing w:before="0"/>
              <w:rPr>
                <w:rFonts w:eastAsia="Calibri"/>
                <w:sz w:val="18"/>
                <w:szCs w:val="18"/>
              </w:rPr>
            </w:pPr>
            <w:r>
              <w:rPr>
                <w:rFonts w:eastAsia="Calibri"/>
                <w:sz w:val="18"/>
                <w:szCs w:val="18"/>
              </w:rPr>
              <w:t>-</w:t>
            </w:r>
            <w:r>
              <w:rPr>
                <w:rFonts w:eastAsia="Calibri"/>
                <w:sz w:val="18"/>
                <w:szCs w:val="18"/>
              </w:rPr>
              <w:t>Doter en équipement de stockage</w:t>
            </w:r>
          </w:p>
          <w:p>
            <w:pPr>
              <w:pStyle w:val="style0"/>
              <w:spacing w:before="0"/>
              <w:rPr>
                <w:rFonts w:eastAsia="Calibri"/>
                <w:sz w:val="18"/>
                <w:szCs w:val="18"/>
              </w:rPr>
            </w:pPr>
            <w:r>
              <w:rPr>
                <w:rFonts w:eastAsia="Calibri"/>
                <w:sz w:val="18"/>
                <w:szCs w:val="18"/>
              </w:rPr>
              <w:t xml:space="preserve">- </w:t>
            </w:r>
            <w:r>
              <w:rPr>
                <w:rFonts w:eastAsia="Calibri"/>
                <w:sz w:val="18"/>
                <w:szCs w:val="18"/>
              </w:rPr>
              <w:t>Eviter de stocker les pesticides dans un milieu confiné</w:t>
            </w:r>
          </w:p>
        </w:tc>
        <w:tc>
          <w:tcPr>
            <w:tcW w:w="1431" w:type="dxa"/>
            <w:vMerge w:val="continue"/>
            <w:tcBorders/>
            <w:shd w:val="clear" w:color="auto" w:fill="ffffff"/>
          </w:tcPr>
          <w:p>
            <w:pPr>
              <w:pStyle w:val="style0"/>
              <w:spacing w:before="0"/>
              <w:rPr>
                <w:rFonts w:eastAsia="Calibri"/>
                <w:sz w:val="18"/>
                <w:szCs w:val="18"/>
              </w:rPr>
            </w:pPr>
          </w:p>
        </w:tc>
        <w:tc>
          <w:tcPr>
            <w:tcW w:w="1276" w:type="dxa"/>
            <w:vMerge w:val="continue"/>
            <w:tcBorders/>
            <w:shd w:val="clear" w:color="auto" w:fill="ffffff"/>
          </w:tcPr>
          <w:p>
            <w:pPr>
              <w:pStyle w:val="style0"/>
              <w:spacing w:before="0"/>
              <w:rPr>
                <w:rFonts w:eastAsia="Calibri"/>
                <w:sz w:val="18"/>
                <w:szCs w:val="18"/>
              </w:rPr>
            </w:pPr>
          </w:p>
        </w:tc>
        <w:tc>
          <w:tcPr>
            <w:tcW w:w="1843" w:type="dxa"/>
            <w:tcBorders/>
            <w:shd w:val="clear" w:color="auto" w:fill="ffffff"/>
          </w:tcPr>
          <w:p>
            <w:pPr>
              <w:pStyle w:val="style0"/>
              <w:spacing w:before="0"/>
              <w:rPr>
                <w:rFonts w:eastAsia="Calibri"/>
                <w:sz w:val="18"/>
                <w:szCs w:val="18"/>
              </w:rPr>
            </w:pPr>
          </w:p>
          <w:p>
            <w:pPr>
              <w:pStyle w:val="style0"/>
              <w:spacing w:before="0"/>
              <w:rPr>
                <w:rFonts w:eastAsia="Calibri"/>
                <w:sz w:val="18"/>
                <w:szCs w:val="18"/>
              </w:rPr>
            </w:pPr>
          </w:p>
          <w:p>
            <w:pPr>
              <w:pStyle w:val="style0"/>
              <w:spacing w:before="0"/>
              <w:rPr>
                <w:rFonts w:eastAsia="Calibri"/>
                <w:sz w:val="18"/>
                <w:szCs w:val="18"/>
              </w:rPr>
            </w:pPr>
            <w:r>
              <w:rPr>
                <w:rFonts w:eastAsia="Calibri"/>
                <w:sz w:val="18"/>
                <w:szCs w:val="18"/>
              </w:rPr>
              <w:t xml:space="preserve">Nombre de mission de contrôle des gérants de boutiques </w:t>
            </w:r>
          </w:p>
        </w:tc>
        <w:tc>
          <w:tcPr>
            <w:tcW w:w="1576" w:type="dxa"/>
            <w:tcBorders/>
            <w:shd w:val="clear" w:color="auto" w:fill="ffffff"/>
          </w:tcPr>
          <w:p>
            <w:pPr>
              <w:pStyle w:val="style0"/>
              <w:spacing w:before="0"/>
              <w:rPr>
                <w:rFonts w:eastAsia="Calibri"/>
                <w:sz w:val="18"/>
                <w:szCs w:val="18"/>
              </w:rPr>
            </w:pPr>
          </w:p>
          <w:p>
            <w:pPr>
              <w:pStyle w:val="style0"/>
              <w:spacing w:before="0"/>
              <w:rPr>
                <w:rFonts w:eastAsia="Calibri"/>
                <w:sz w:val="18"/>
                <w:szCs w:val="18"/>
              </w:rPr>
            </w:pPr>
          </w:p>
          <w:p>
            <w:pPr>
              <w:pStyle w:val="style0"/>
              <w:spacing w:before="0"/>
              <w:rPr>
                <w:rFonts w:eastAsia="Calibri"/>
                <w:sz w:val="18"/>
                <w:szCs w:val="18"/>
              </w:rPr>
            </w:pPr>
          </w:p>
          <w:p>
            <w:pPr>
              <w:pStyle w:val="style0"/>
              <w:spacing w:before="0"/>
              <w:rPr>
                <w:rFonts w:eastAsia="Calibri"/>
                <w:sz w:val="18"/>
                <w:szCs w:val="18"/>
              </w:rPr>
            </w:pPr>
            <w:r>
              <w:rPr>
                <w:rFonts w:eastAsia="Calibri"/>
                <w:sz w:val="18"/>
                <w:szCs w:val="18"/>
              </w:rPr>
              <w:t>Rapport de mission</w:t>
            </w:r>
          </w:p>
        </w:tc>
      </w:tr>
      <w:tr>
        <w:tblPrEx/>
        <w:trPr>
          <w:cantSplit/>
          <w:jc w:val="center"/>
        </w:trPr>
        <w:tc>
          <w:tcPr>
            <w:tcW w:w="0" w:type="auto"/>
            <w:vMerge w:val="continue"/>
            <w:tcBorders>
              <w:top w:val="nil"/>
              <w:bottom w:val="nil"/>
            </w:tcBorders>
            <w:shd w:val="clear" w:color="auto" w:fill="ffffff"/>
            <w:vAlign w:val="center"/>
          </w:tcPr>
          <w:p>
            <w:pPr>
              <w:pStyle w:val="style0"/>
              <w:spacing w:before="0"/>
              <w:rPr>
                <w:rFonts w:eastAsia="Calibri"/>
                <w:sz w:val="21"/>
                <w:szCs w:val="18"/>
              </w:rPr>
            </w:pPr>
          </w:p>
        </w:tc>
        <w:tc>
          <w:tcPr>
            <w:tcW w:w="0" w:type="auto"/>
            <w:vMerge w:val="continue"/>
            <w:tcBorders>
              <w:bottom w:val="single" w:sz="4" w:space="0" w:color="000000"/>
            </w:tcBorders>
            <w:shd w:val="clear" w:color="auto" w:fill="ffffff"/>
          </w:tcPr>
          <w:p>
            <w:pPr>
              <w:pStyle w:val="style0"/>
              <w:spacing w:before="0"/>
              <w:rPr>
                <w:rFonts w:eastAsia="Calibri"/>
                <w:sz w:val="18"/>
                <w:szCs w:val="18"/>
              </w:rPr>
            </w:pPr>
          </w:p>
        </w:tc>
        <w:tc>
          <w:tcPr>
            <w:tcW w:w="0" w:type="auto"/>
            <w:tcBorders/>
            <w:shd w:val="clear" w:color="auto" w:fill="ffffff"/>
          </w:tcPr>
          <w:p>
            <w:pPr>
              <w:pStyle w:val="style0"/>
              <w:spacing w:before="0"/>
              <w:rPr>
                <w:rFonts w:eastAsia="Calibri"/>
                <w:sz w:val="18"/>
                <w:szCs w:val="18"/>
              </w:rPr>
            </w:pPr>
            <w:r>
              <w:rPr>
                <w:rFonts w:eastAsia="Calibri"/>
                <w:sz w:val="18"/>
                <w:szCs w:val="18"/>
              </w:rPr>
              <w:t>Contamination du faune aquatique, terrestre et animal domestiques</w:t>
            </w:r>
          </w:p>
        </w:tc>
        <w:tc>
          <w:tcPr>
            <w:tcW w:w="4589" w:type="dxa"/>
            <w:tcBorders/>
            <w:shd w:val="clear" w:color="auto" w:fill="ffffff"/>
          </w:tcPr>
          <w:p>
            <w:pPr>
              <w:pStyle w:val="style0"/>
              <w:spacing w:before="0"/>
              <w:rPr>
                <w:rFonts w:eastAsia="Calibri"/>
                <w:sz w:val="18"/>
                <w:szCs w:val="18"/>
              </w:rPr>
            </w:pPr>
            <w:r>
              <w:rPr>
                <w:rFonts w:eastAsia="Calibri"/>
                <w:sz w:val="18"/>
                <w:szCs w:val="18"/>
              </w:rPr>
              <w:t>Sensibilis</w:t>
            </w:r>
            <w:r>
              <w:rPr>
                <w:rFonts w:eastAsia="Calibri"/>
                <w:sz w:val="18"/>
                <w:szCs w:val="18"/>
              </w:rPr>
              <w:t>er</w:t>
            </w:r>
            <w:r>
              <w:rPr>
                <w:rFonts w:eastAsia="Calibri"/>
                <w:sz w:val="18"/>
                <w:szCs w:val="18"/>
              </w:rPr>
              <w:t xml:space="preserve"> et form</w:t>
            </w:r>
            <w:r>
              <w:rPr>
                <w:rFonts w:eastAsia="Calibri"/>
                <w:sz w:val="18"/>
                <w:szCs w:val="18"/>
              </w:rPr>
              <w:t>er</w:t>
            </w:r>
            <w:r>
              <w:rPr>
                <w:rFonts w:eastAsia="Calibri"/>
                <w:sz w:val="18"/>
                <w:szCs w:val="18"/>
              </w:rPr>
              <w:t xml:space="preserve"> </w:t>
            </w:r>
            <w:r>
              <w:rPr>
                <w:rFonts w:eastAsia="Calibri"/>
                <w:sz w:val="18"/>
                <w:szCs w:val="18"/>
              </w:rPr>
              <w:t>l</w:t>
            </w:r>
            <w:r>
              <w:rPr>
                <w:rFonts w:eastAsia="Calibri"/>
                <w:sz w:val="18"/>
                <w:szCs w:val="18"/>
              </w:rPr>
              <w:t xml:space="preserve">es </w:t>
            </w:r>
            <w:r>
              <w:rPr>
                <w:rFonts w:eastAsia="Calibri"/>
                <w:sz w:val="18"/>
                <w:szCs w:val="18"/>
              </w:rPr>
              <w:t>utilisateurs aux bonnes pratiques de manutention</w:t>
            </w:r>
          </w:p>
        </w:tc>
        <w:tc>
          <w:tcPr>
            <w:tcW w:w="1431" w:type="dxa"/>
            <w:vMerge w:val="restart"/>
            <w:tcBorders/>
            <w:shd w:val="clear" w:color="auto" w:fill="ffffff"/>
            <w:vAlign w:val="center"/>
          </w:tcPr>
          <w:p>
            <w:pPr>
              <w:pStyle w:val="style0"/>
              <w:spacing w:before="0"/>
              <w:rPr>
                <w:rFonts w:eastAsia="Calibri"/>
                <w:sz w:val="18"/>
                <w:szCs w:val="18"/>
              </w:rPr>
            </w:pPr>
            <w:r>
              <w:rPr>
                <w:rFonts w:eastAsia="Calibri"/>
                <w:sz w:val="18"/>
                <w:szCs w:val="18"/>
              </w:rPr>
              <w:t>Période d’exploitation</w:t>
            </w:r>
          </w:p>
        </w:tc>
        <w:tc>
          <w:tcPr>
            <w:tcW w:w="1276" w:type="dxa"/>
            <w:vMerge w:val="restart"/>
            <w:tcBorders/>
            <w:shd w:val="clear" w:color="auto" w:fill="ffffff"/>
          </w:tcPr>
          <w:p>
            <w:pPr>
              <w:pStyle w:val="style0"/>
              <w:spacing w:before="0"/>
              <w:rPr>
                <w:rFonts w:eastAsia="Calibri"/>
                <w:sz w:val="18"/>
                <w:szCs w:val="18"/>
                <w:lang w:val="en-GB"/>
              </w:rPr>
            </w:pPr>
          </w:p>
          <w:p>
            <w:pPr>
              <w:pStyle w:val="style0"/>
              <w:spacing w:before="0"/>
              <w:rPr>
                <w:rFonts w:eastAsia="Calibri"/>
                <w:sz w:val="18"/>
                <w:szCs w:val="18"/>
                <w:lang w:val="en-GB"/>
              </w:rPr>
            </w:pPr>
          </w:p>
          <w:p>
            <w:pPr>
              <w:pStyle w:val="style0"/>
              <w:spacing w:before="0"/>
              <w:rPr>
                <w:rFonts w:eastAsia="Calibri"/>
                <w:sz w:val="18"/>
                <w:szCs w:val="18"/>
                <w:lang w:val="en-GB"/>
              </w:rPr>
            </w:pPr>
            <w:r>
              <w:rPr>
                <w:rFonts w:eastAsia="Calibri"/>
                <w:sz w:val="18"/>
                <w:szCs w:val="18"/>
                <w:lang w:val="en-GB"/>
              </w:rPr>
              <w:t>DPVC</w:t>
            </w:r>
          </w:p>
          <w:p>
            <w:pPr>
              <w:pStyle w:val="style0"/>
              <w:spacing w:before="0"/>
              <w:rPr>
                <w:rFonts w:eastAsia="Calibri"/>
                <w:sz w:val="18"/>
                <w:szCs w:val="18"/>
                <w:lang w:val="en-GB"/>
              </w:rPr>
            </w:pPr>
            <w:r>
              <w:rPr>
                <w:rFonts w:eastAsia="Calibri"/>
                <w:color w:val="000000"/>
                <w:sz w:val="18"/>
                <w:szCs w:val="18"/>
                <w:lang w:val="en-GB"/>
              </w:rPr>
              <w:t>MAAH</w:t>
            </w:r>
          </w:p>
          <w:p>
            <w:pPr>
              <w:pStyle w:val="style0"/>
              <w:spacing w:before="0"/>
              <w:rPr>
                <w:rFonts w:eastAsia="Calibri"/>
                <w:sz w:val="18"/>
                <w:szCs w:val="18"/>
                <w:lang w:val="en-GB"/>
              </w:rPr>
            </w:pPr>
            <w:r>
              <w:rPr>
                <w:rFonts w:eastAsia="Calibri"/>
                <w:sz w:val="18"/>
                <w:szCs w:val="18"/>
                <w:lang w:val="en-GB"/>
              </w:rPr>
              <w:t>DP</w:t>
            </w:r>
            <w:r>
              <w:rPr>
                <w:rFonts w:eastAsia="Calibri"/>
                <w:color w:val="000000"/>
                <w:sz w:val="18"/>
                <w:szCs w:val="18"/>
                <w:lang w:val="en-GB"/>
              </w:rPr>
              <w:t>AAH</w:t>
            </w:r>
            <w:r>
              <w:rPr>
                <w:rFonts w:eastAsia="Calibri"/>
                <w:sz w:val="18"/>
                <w:szCs w:val="18"/>
                <w:lang w:val="en-GB"/>
              </w:rPr>
              <w:t xml:space="preserve"> INERA</w:t>
            </w:r>
          </w:p>
          <w:p>
            <w:pPr>
              <w:pStyle w:val="style0"/>
              <w:spacing w:before="0"/>
              <w:rPr>
                <w:rFonts w:eastAsia="Calibri"/>
                <w:sz w:val="18"/>
                <w:szCs w:val="18"/>
                <w:lang w:val="en-GB"/>
              </w:rPr>
            </w:pPr>
            <w:r>
              <w:rPr>
                <w:rFonts w:eastAsia="Calibri"/>
                <w:sz w:val="18"/>
                <w:szCs w:val="18"/>
                <w:lang w:val="en-GB"/>
              </w:rPr>
              <w:t>MEEVCC</w:t>
            </w:r>
          </w:p>
        </w:tc>
        <w:tc>
          <w:tcPr>
            <w:tcW w:w="1843" w:type="dxa"/>
            <w:vMerge w:val="restart"/>
            <w:tcBorders/>
            <w:shd w:val="clear" w:color="auto" w:fill="ffffff"/>
          </w:tcPr>
          <w:p>
            <w:pPr>
              <w:pStyle w:val="style0"/>
              <w:spacing w:before="0"/>
              <w:rPr>
                <w:rFonts w:eastAsia="Calibri"/>
                <w:sz w:val="18"/>
                <w:szCs w:val="18"/>
                <w:lang w:val="en-GB"/>
              </w:rPr>
            </w:pPr>
          </w:p>
          <w:p>
            <w:pPr>
              <w:pStyle w:val="style0"/>
              <w:spacing w:before="0"/>
              <w:rPr>
                <w:rFonts w:eastAsia="Calibri"/>
                <w:sz w:val="18"/>
                <w:szCs w:val="18"/>
                <w:lang w:val="en-GB"/>
              </w:rPr>
            </w:pPr>
          </w:p>
          <w:p>
            <w:pPr>
              <w:pStyle w:val="style0"/>
              <w:spacing w:before="0"/>
              <w:rPr>
                <w:rFonts w:eastAsia="Calibri"/>
                <w:sz w:val="18"/>
                <w:szCs w:val="18"/>
                <w:lang w:val="en-GB"/>
              </w:rPr>
            </w:pPr>
          </w:p>
          <w:p>
            <w:pPr>
              <w:pStyle w:val="style0"/>
              <w:spacing w:before="0"/>
              <w:rPr>
                <w:rFonts w:eastAsia="Calibri"/>
                <w:sz w:val="18"/>
                <w:szCs w:val="18"/>
                <w:lang w:val="en-GB"/>
              </w:rPr>
            </w:pPr>
          </w:p>
          <w:p>
            <w:pPr>
              <w:pStyle w:val="style0"/>
              <w:spacing w:before="0"/>
              <w:rPr>
                <w:rFonts w:eastAsia="Calibri"/>
                <w:sz w:val="18"/>
                <w:szCs w:val="18"/>
                <w:lang w:val="en-GB"/>
              </w:rPr>
            </w:pPr>
          </w:p>
          <w:p>
            <w:pPr>
              <w:pStyle w:val="style0"/>
              <w:spacing w:before="0"/>
              <w:rPr>
                <w:rFonts w:eastAsia="Calibri"/>
                <w:sz w:val="18"/>
                <w:szCs w:val="18"/>
                <w:lang w:val="en-GB"/>
              </w:rPr>
            </w:pPr>
          </w:p>
          <w:p>
            <w:pPr>
              <w:pStyle w:val="style0"/>
              <w:spacing w:before="0"/>
              <w:rPr>
                <w:rFonts w:eastAsia="Calibri"/>
                <w:sz w:val="18"/>
                <w:szCs w:val="18"/>
              </w:rPr>
            </w:pPr>
            <w:r>
              <w:rPr>
                <w:rFonts w:eastAsia="Calibri"/>
                <w:sz w:val="18"/>
                <w:szCs w:val="18"/>
              </w:rPr>
              <w:t>Nombre de sensibilisation / Formation</w:t>
            </w:r>
          </w:p>
        </w:tc>
        <w:tc>
          <w:tcPr>
            <w:tcW w:w="1576" w:type="dxa"/>
            <w:vMerge w:val="restart"/>
            <w:tcBorders/>
            <w:shd w:val="clear" w:color="auto" w:fill="ffffff"/>
            <w:vAlign w:val="center"/>
          </w:tcPr>
          <w:p>
            <w:pPr>
              <w:pStyle w:val="style0"/>
              <w:spacing w:before="0"/>
              <w:jc w:val="center"/>
              <w:rPr>
                <w:rFonts w:eastAsia="Calibri"/>
                <w:sz w:val="18"/>
                <w:szCs w:val="18"/>
              </w:rPr>
            </w:pPr>
            <w:r>
              <w:rPr>
                <w:rFonts w:eastAsia="Calibri"/>
                <w:sz w:val="18"/>
                <w:szCs w:val="18"/>
              </w:rPr>
              <w:t>Rapport de sensibilisation</w:t>
            </w:r>
          </w:p>
        </w:tc>
      </w:tr>
      <w:tr>
        <w:tblPrEx/>
        <w:trPr>
          <w:cantSplit/>
          <w:trHeight w:val="467" w:hRule="atLeast"/>
          <w:jc w:val="center"/>
        </w:trPr>
        <w:tc>
          <w:tcPr>
            <w:tcW w:w="0" w:type="auto"/>
            <w:vMerge w:val="continue"/>
            <w:tcBorders>
              <w:top w:val="nil"/>
              <w:bottom w:val="nil"/>
            </w:tcBorders>
            <w:shd w:val="clear" w:color="auto" w:fill="ffffff"/>
            <w:textDirection w:val="tbRl"/>
            <w:vAlign w:val="center"/>
          </w:tcPr>
          <w:p>
            <w:pPr>
              <w:pStyle w:val="style0"/>
              <w:spacing w:before="0"/>
              <w:rPr>
                <w:rFonts w:eastAsia="Calibri"/>
                <w:sz w:val="21"/>
                <w:szCs w:val="18"/>
              </w:rPr>
            </w:pPr>
          </w:p>
        </w:tc>
        <w:tc>
          <w:tcPr>
            <w:tcW w:w="0" w:type="auto"/>
            <w:vMerge w:val="restart"/>
            <w:tcBorders>
              <w:top w:val="single" w:sz="4" w:space="0" w:color="000000"/>
            </w:tcBorders>
            <w:shd w:val="clear" w:color="auto" w:fill="ffffff"/>
          </w:tcPr>
          <w:p>
            <w:pPr>
              <w:pStyle w:val="style0"/>
              <w:spacing w:before="0"/>
              <w:jc w:val="center"/>
              <w:rPr>
                <w:rFonts w:eastAsia="Calibri"/>
                <w:b/>
                <w:sz w:val="18"/>
                <w:szCs w:val="18"/>
              </w:rPr>
            </w:pPr>
          </w:p>
          <w:p>
            <w:pPr>
              <w:pStyle w:val="style0"/>
              <w:spacing w:before="0"/>
              <w:jc w:val="center"/>
              <w:rPr>
                <w:rFonts w:eastAsia="Calibri"/>
                <w:sz w:val="18"/>
                <w:szCs w:val="18"/>
              </w:rPr>
            </w:pPr>
            <w:r>
              <w:rPr>
                <w:rFonts w:eastAsia="Calibri"/>
                <w:b/>
                <w:sz w:val="18"/>
                <w:szCs w:val="18"/>
              </w:rPr>
              <w:t>L’utilisation des pesticides</w:t>
            </w:r>
          </w:p>
        </w:tc>
        <w:tc>
          <w:tcPr>
            <w:tcW w:w="0" w:type="auto"/>
            <w:tcBorders/>
            <w:shd w:val="clear" w:color="auto" w:fill="ffffff"/>
          </w:tcPr>
          <w:p>
            <w:pPr>
              <w:pStyle w:val="style0"/>
              <w:spacing w:before="0"/>
              <w:rPr>
                <w:rFonts w:eastAsia="Calibri"/>
                <w:sz w:val="18"/>
                <w:szCs w:val="18"/>
              </w:rPr>
            </w:pPr>
            <w:r>
              <w:rPr>
                <w:rFonts w:eastAsia="Calibri"/>
                <w:sz w:val="18"/>
                <w:szCs w:val="18"/>
              </w:rPr>
              <w:t>Contamination des sols et d</w:t>
            </w:r>
            <w:r>
              <w:rPr>
                <w:rFonts w:eastAsia="Calibri"/>
                <w:sz w:val="18"/>
                <w:szCs w:val="18"/>
              </w:rPr>
              <w:t>es eaux de surface et souterraine</w:t>
            </w:r>
          </w:p>
        </w:tc>
        <w:tc>
          <w:tcPr>
            <w:tcW w:w="4589" w:type="dxa"/>
            <w:tcBorders/>
            <w:shd w:val="clear" w:color="auto" w:fill="ffffff"/>
          </w:tcPr>
          <w:p>
            <w:pPr>
              <w:pStyle w:val="style0"/>
              <w:spacing w:before="0"/>
              <w:rPr>
                <w:rFonts w:eastAsia="Calibri"/>
                <w:sz w:val="18"/>
                <w:szCs w:val="18"/>
              </w:rPr>
            </w:pPr>
            <w:r>
              <w:rPr>
                <w:rFonts w:eastAsia="Calibri"/>
                <w:sz w:val="18"/>
                <w:szCs w:val="18"/>
              </w:rPr>
              <w:t>-</w:t>
            </w:r>
            <w:r>
              <w:rPr>
                <w:rFonts w:eastAsia="Calibri"/>
                <w:sz w:val="18"/>
                <w:szCs w:val="18"/>
              </w:rPr>
              <w:t xml:space="preserve">Manipuler les pesticides avec délicatesse et </w:t>
            </w:r>
            <w:r>
              <w:rPr>
                <w:rFonts w:eastAsia="Calibri"/>
                <w:sz w:val="18"/>
                <w:szCs w:val="18"/>
              </w:rPr>
              <w:t>éviter le</w:t>
            </w:r>
            <w:r>
              <w:rPr>
                <w:rFonts w:eastAsia="Calibri"/>
                <w:sz w:val="18"/>
                <w:szCs w:val="18"/>
              </w:rPr>
              <w:t xml:space="preserve"> déversement dans les eaux et sur les sols ; </w:t>
            </w:r>
          </w:p>
          <w:p>
            <w:pPr>
              <w:pStyle w:val="style0"/>
              <w:spacing w:before="0"/>
              <w:rPr>
                <w:rFonts w:eastAsia="Calibri"/>
                <w:sz w:val="18"/>
                <w:szCs w:val="18"/>
              </w:rPr>
            </w:pPr>
            <w:r>
              <w:rPr>
                <w:rFonts w:eastAsia="Calibri"/>
                <w:sz w:val="18"/>
                <w:szCs w:val="18"/>
              </w:rPr>
              <w:t>-</w:t>
            </w:r>
            <w:r>
              <w:rPr>
                <w:rFonts w:eastAsia="Calibri"/>
                <w:sz w:val="18"/>
                <w:szCs w:val="18"/>
              </w:rPr>
              <w:t>Proscrire les contenants à grand volume afin d’éviter les transvasements</w:t>
            </w:r>
          </w:p>
        </w:tc>
        <w:tc>
          <w:tcPr>
            <w:tcW w:w="1431" w:type="dxa"/>
            <w:vMerge w:val="continue"/>
            <w:tcBorders/>
            <w:shd w:val="clear" w:color="auto" w:fill="ffffff"/>
          </w:tcPr>
          <w:p>
            <w:pPr>
              <w:pStyle w:val="style0"/>
              <w:spacing w:before="0"/>
              <w:rPr>
                <w:rFonts w:eastAsia="Calibri"/>
                <w:sz w:val="18"/>
                <w:szCs w:val="18"/>
              </w:rPr>
            </w:pPr>
          </w:p>
        </w:tc>
        <w:tc>
          <w:tcPr>
            <w:tcW w:w="1276" w:type="dxa"/>
            <w:vMerge w:val="continue"/>
            <w:tcBorders/>
            <w:shd w:val="clear" w:color="auto" w:fill="ffffff"/>
          </w:tcPr>
          <w:p>
            <w:pPr>
              <w:pStyle w:val="style0"/>
              <w:spacing w:before="0"/>
              <w:rPr>
                <w:rFonts w:eastAsia="Calibri"/>
                <w:sz w:val="18"/>
                <w:szCs w:val="18"/>
              </w:rPr>
            </w:pPr>
          </w:p>
        </w:tc>
        <w:tc>
          <w:tcPr>
            <w:tcW w:w="1843" w:type="dxa"/>
            <w:vMerge w:val="continue"/>
            <w:tcBorders/>
            <w:shd w:val="clear" w:color="auto" w:fill="ffffff"/>
          </w:tcPr>
          <w:p>
            <w:pPr>
              <w:pStyle w:val="style0"/>
              <w:spacing w:before="0"/>
              <w:rPr>
                <w:rFonts w:eastAsia="Calibri"/>
                <w:sz w:val="18"/>
                <w:szCs w:val="18"/>
              </w:rPr>
            </w:pPr>
          </w:p>
        </w:tc>
        <w:tc>
          <w:tcPr>
            <w:tcW w:w="1576" w:type="dxa"/>
            <w:vMerge w:val="continue"/>
            <w:tcBorders/>
            <w:shd w:val="clear" w:color="auto" w:fill="ffffff"/>
          </w:tcPr>
          <w:p>
            <w:pPr>
              <w:pStyle w:val="style0"/>
              <w:spacing w:before="0"/>
              <w:rPr>
                <w:rFonts w:eastAsia="Calibri"/>
                <w:sz w:val="18"/>
                <w:szCs w:val="18"/>
              </w:rPr>
            </w:pPr>
          </w:p>
        </w:tc>
      </w:tr>
      <w:tr>
        <w:tblPrEx/>
        <w:trPr>
          <w:cantSplit/>
          <w:trHeight w:val="900" w:hRule="atLeast"/>
          <w:jc w:val="center"/>
        </w:trPr>
        <w:tc>
          <w:tcPr>
            <w:tcW w:w="0" w:type="auto"/>
            <w:vMerge w:val="continue"/>
            <w:tcBorders>
              <w:top w:val="nil"/>
              <w:bottom w:val="nil"/>
            </w:tcBorders>
            <w:shd w:val="clear" w:color="auto" w:fill="ffffff"/>
            <w:vAlign w:val="center"/>
          </w:tcPr>
          <w:p>
            <w:pPr>
              <w:pStyle w:val="style0"/>
              <w:spacing w:before="0"/>
              <w:rPr>
                <w:rFonts w:eastAsia="Calibri"/>
                <w:sz w:val="21"/>
                <w:szCs w:val="18"/>
              </w:rPr>
            </w:pPr>
          </w:p>
        </w:tc>
        <w:tc>
          <w:tcPr>
            <w:tcW w:w="0" w:type="auto"/>
            <w:vMerge w:val="continue"/>
            <w:tcBorders/>
            <w:shd w:val="clear" w:color="auto" w:fill="ffffff"/>
          </w:tcPr>
          <w:p>
            <w:pPr>
              <w:pStyle w:val="style0"/>
              <w:spacing w:before="0"/>
              <w:rPr>
                <w:rFonts w:eastAsia="Calibri"/>
                <w:sz w:val="18"/>
                <w:szCs w:val="18"/>
              </w:rPr>
            </w:pPr>
          </w:p>
        </w:tc>
        <w:tc>
          <w:tcPr>
            <w:tcW w:w="0" w:type="auto"/>
            <w:tcBorders/>
            <w:shd w:val="clear" w:color="auto" w:fill="ffffff"/>
          </w:tcPr>
          <w:p>
            <w:pPr>
              <w:pStyle w:val="style0"/>
              <w:spacing w:before="0"/>
              <w:rPr>
                <w:rFonts w:eastAsia="Calibri"/>
                <w:sz w:val="18"/>
                <w:szCs w:val="18"/>
              </w:rPr>
            </w:pPr>
            <w:r>
              <w:rPr>
                <w:rFonts w:eastAsia="Calibri"/>
                <w:sz w:val="18"/>
                <w:szCs w:val="18"/>
              </w:rPr>
              <w:t>Intoxication accidentelle par ingestion</w:t>
            </w:r>
          </w:p>
          <w:p>
            <w:pPr>
              <w:pStyle w:val="style0"/>
              <w:spacing w:before="0"/>
              <w:rPr>
                <w:rFonts w:eastAsia="Calibri"/>
                <w:sz w:val="18"/>
                <w:szCs w:val="18"/>
              </w:rPr>
            </w:pPr>
            <w:r>
              <w:rPr>
                <w:rFonts w:eastAsia="Calibri"/>
                <w:sz w:val="18"/>
                <w:szCs w:val="18"/>
              </w:rPr>
              <w:t>Inhalation des pesticides par voie respiratoire, les yeux</w:t>
            </w:r>
          </w:p>
        </w:tc>
        <w:tc>
          <w:tcPr>
            <w:tcW w:w="4589" w:type="dxa"/>
            <w:tcBorders/>
            <w:shd w:val="clear" w:color="auto" w:fill="ffffff"/>
          </w:tcPr>
          <w:p>
            <w:pPr>
              <w:pStyle w:val="style0"/>
              <w:spacing w:before="0"/>
              <w:rPr>
                <w:rFonts w:eastAsia="Calibri"/>
                <w:sz w:val="18"/>
                <w:szCs w:val="18"/>
              </w:rPr>
            </w:pPr>
            <w:r>
              <w:rPr>
                <w:rFonts w:eastAsia="Calibri"/>
                <w:sz w:val="18"/>
                <w:szCs w:val="18"/>
              </w:rPr>
              <w:t>-</w:t>
            </w:r>
            <w:r>
              <w:rPr>
                <w:rFonts w:eastAsia="Calibri"/>
                <w:sz w:val="18"/>
                <w:szCs w:val="18"/>
              </w:rPr>
              <w:t>Eviter d’épandage les pesticides sur les vivres et les aliments</w:t>
            </w:r>
          </w:p>
          <w:p>
            <w:pPr>
              <w:pStyle w:val="style0"/>
              <w:spacing w:before="0"/>
              <w:rPr>
                <w:rFonts w:eastAsia="Calibri"/>
                <w:sz w:val="18"/>
                <w:szCs w:val="18"/>
              </w:rPr>
            </w:pPr>
            <w:r>
              <w:rPr>
                <w:rFonts w:eastAsia="Calibri"/>
                <w:sz w:val="18"/>
                <w:szCs w:val="18"/>
              </w:rPr>
              <w:t>-</w:t>
            </w:r>
            <w:r>
              <w:rPr>
                <w:rFonts w:eastAsia="Calibri"/>
                <w:sz w:val="18"/>
                <w:szCs w:val="18"/>
              </w:rPr>
              <w:t xml:space="preserve">Exiger les ports des équipements de protection (masque, lunette, lors de l’épandage </w:t>
            </w:r>
            <w:r>
              <w:rPr>
                <w:rFonts w:eastAsia="Calibri"/>
                <w:sz w:val="18"/>
                <w:szCs w:val="18"/>
              </w:rPr>
              <w:t>etc.</w:t>
            </w:r>
            <w:r>
              <w:rPr>
                <w:rFonts w:eastAsia="Calibri"/>
                <w:sz w:val="18"/>
                <w:szCs w:val="18"/>
              </w:rPr>
              <w:t>)</w:t>
            </w:r>
          </w:p>
        </w:tc>
        <w:tc>
          <w:tcPr>
            <w:tcW w:w="1431" w:type="dxa"/>
            <w:vMerge w:val="continue"/>
            <w:tcBorders/>
            <w:shd w:val="clear" w:color="auto" w:fill="ffffff"/>
          </w:tcPr>
          <w:p>
            <w:pPr>
              <w:pStyle w:val="style0"/>
              <w:spacing w:before="0"/>
              <w:rPr>
                <w:rFonts w:eastAsia="Calibri"/>
                <w:sz w:val="18"/>
                <w:szCs w:val="18"/>
              </w:rPr>
            </w:pPr>
          </w:p>
        </w:tc>
        <w:tc>
          <w:tcPr>
            <w:tcW w:w="1276" w:type="dxa"/>
            <w:vMerge w:val="continue"/>
            <w:tcBorders/>
            <w:shd w:val="clear" w:color="auto" w:fill="ffffff"/>
          </w:tcPr>
          <w:p>
            <w:pPr>
              <w:pStyle w:val="style0"/>
              <w:spacing w:before="0"/>
              <w:rPr>
                <w:rFonts w:eastAsia="Calibri"/>
                <w:sz w:val="18"/>
                <w:szCs w:val="18"/>
              </w:rPr>
            </w:pPr>
          </w:p>
        </w:tc>
        <w:tc>
          <w:tcPr>
            <w:tcW w:w="1843" w:type="dxa"/>
            <w:vMerge w:val="continue"/>
            <w:tcBorders/>
            <w:shd w:val="clear" w:color="auto" w:fill="ffffff"/>
          </w:tcPr>
          <w:p>
            <w:pPr>
              <w:pStyle w:val="style0"/>
              <w:spacing w:before="0"/>
              <w:rPr>
                <w:rFonts w:eastAsia="Calibri"/>
                <w:sz w:val="18"/>
                <w:szCs w:val="18"/>
              </w:rPr>
            </w:pPr>
          </w:p>
        </w:tc>
        <w:tc>
          <w:tcPr>
            <w:tcW w:w="1576" w:type="dxa"/>
            <w:vMerge w:val="continue"/>
            <w:tcBorders/>
            <w:shd w:val="clear" w:color="auto" w:fill="ffffff"/>
          </w:tcPr>
          <w:p>
            <w:pPr>
              <w:pStyle w:val="style0"/>
              <w:spacing w:before="0"/>
              <w:rPr>
                <w:rFonts w:eastAsia="Calibri"/>
                <w:sz w:val="18"/>
                <w:szCs w:val="18"/>
              </w:rPr>
            </w:pPr>
          </w:p>
        </w:tc>
      </w:tr>
      <w:tr>
        <w:tblPrEx/>
        <w:trPr>
          <w:cantSplit/>
          <w:trHeight w:val="94" w:hRule="atLeast"/>
          <w:jc w:val="center"/>
        </w:trPr>
        <w:tc>
          <w:tcPr>
            <w:tcW w:w="0" w:type="auto"/>
            <w:tcBorders>
              <w:top w:val="nil"/>
              <w:bottom w:val="single" w:sz="6" w:space="0" w:color="auto"/>
            </w:tcBorders>
            <w:shd w:val="clear" w:color="auto" w:fill="ffffff"/>
            <w:vAlign w:val="center"/>
          </w:tcPr>
          <w:p>
            <w:pPr>
              <w:pStyle w:val="style0"/>
              <w:spacing w:before="0"/>
              <w:rPr>
                <w:rFonts w:eastAsia="Calibri"/>
                <w:sz w:val="21"/>
                <w:szCs w:val="18"/>
              </w:rPr>
            </w:pPr>
          </w:p>
        </w:tc>
        <w:tc>
          <w:tcPr>
            <w:tcW w:w="0" w:type="auto"/>
            <w:vMerge w:val="restart"/>
            <w:tcBorders/>
            <w:shd w:val="clear" w:color="auto" w:fill="ffffff"/>
          </w:tcPr>
          <w:p>
            <w:pPr>
              <w:pStyle w:val="style0"/>
              <w:spacing w:before="0"/>
              <w:jc w:val="center"/>
              <w:rPr>
                <w:rFonts w:eastAsia="Calibri"/>
                <w:b/>
                <w:sz w:val="18"/>
                <w:szCs w:val="18"/>
              </w:rPr>
            </w:pPr>
          </w:p>
          <w:p>
            <w:pPr>
              <w:pStyle w:val="style0"/>
              <w:spacing w:before="0"/>
              <w:jc w:val="center"/>
              <w:rPr>
                <w:rFonts w:eastAsia="Calibri"/>
                <w:b/>
                <w:sz w:val="18"/>
                <w:szCs w:val="18"/>
              </w:rPr>
            </w:pPr>
          </w:p>
          <w:p>
            <w:pPr>
              <w:pStyle w:val="style0"/>
              <w:spacing w:before="0"/>
              <w:jc w:val="center"/>
              <w:rPr>
                <w:rFonts w:eastAsia="Calibri"/>
                <w:b/>
                <w:sz w:val="18"/>
                <w:szCs w:val="18"/>
              </w:rPr>
            </w:pPr>
          </w:p>
          <w:p>
            <w:pPr>
              <w:pStyle w:val="style0"/>
              <w:spacing w:before="0"/>
              <w:jc w:val="center"/>
              <w:rPr>
                <w:rFonts w:eastAsia="Calibri"/>
                <w:b/>
                <w:sz w:val="18"/>
                <w:szCs w:val="18"/>
              </w:rPr>
            </w:pPr>
          </w:p>
          <w:p>
            <w:pPr>
              <w:pStyle w:val="style0"/>
              <w:spacing w:before="0"/>
              <w:jc w:val="center"/>
              <w:rPr>
                <w:rFonts w:eastAsia="Calibri"/>
                <w:sz w:val="18"/>
                <w:szCs w:val="18"/>
              </w:rPr>
            </w:pPr>
            <w:r>
              <w:rPr>
                <w:rFonts w:eastAsia="Calibri"/>
                <w:b/>
                <w:sz w:val="18"/>
                <w:szCs w:val="18"/>
              </w:rPr>
              <w:t>Gestion des pesticides obsolètes et des contenants vides</w:t>
            </w:r>
          </w:p>
        </w:tc>
        <w:tc>
          <w:tcPr>
            <w:tcW w:w="0" w:type="auto"/>
            <w:tcBorders/>
            <w:shd w:val="clear" w:color="auto" w:fill="ffffff"/>
          </w:tcPr>
          <w:p>
            <w:pPr>
              <w:pStyle w:val="style0"/>
              <w:spacing w:before="0"/>
              <w:rPr>
                <w:rFonts w:eastAsia="Calibri"/>
                <w:sz w:val="18"/>
                <w:szCs w:val="18"/>
              </w:rPr>
            </w:pPr>
            <w:r>
              <w:rPr>
                <w:rFonts w:eastAsia="Calibri"/>
                <w:sz w:val="18"/>
                <w:szCs w:val="18"/>
              </w:rPr>
              <w:t>Ingestion des pesticides  contamination et intoxication aigue et chronique</w:t>
            </w:r>
          </w:p>
        </w:tc>
        <w:tc>
          <w:tcPr>
            <w:tcW w:w="4589" w:type="dxa"/>
            <w:tcBorders/>
            <w:shd w:val="clear" w:color="auto" w:fill="ffffff"/>
          </w:tcPr>
          <w:p>
            <w:pPr>
              <w:pStyle w:val="style0"/>
              <w:spacing w:before="0"/>
              <w:rPr>
                <w:rFonts w:eastAsia="Calibri"/>
                <w:sz w:val="18"/>
                <w:szCs w:val="18"/>
              </w:rPr>
            </w:pPr>
            <w:r>
              <w:rPr>
                <w:rFonts w:eastAsia="Calibri"/>
                <w:sz w:val="18"/>
                <w:szCs w:val="18"/>
              </w:rPr>
              <w:t>-</w:t>
            </w:r>
            <w:r>
              <w:rPr>
                <w:rFonts w:eastAsia="Calibri"/>
                <w:sz w:val="18"/>
                <w:szCs w:val="18"/>
              </w:rPr>
              <w:t>Absorber du charbon actif</w:t>
            </w:r>
          </w:p>
          <w:p>
            <w:pPr>
              <w:pStyle w:val="style0"/>
              <w:spacing w:before="0"/>
              <w:rPr>
                <w:rFonts w:eastAsia="Calibri"/>
                <w:sz w:val="18"/>
                <w:szCs w:val="18"/>
              </w:rPr>
            </w:pPr>
            <w:r>
              <w:rPr>
                <w:rFonts w:eastAsia="Calibri"/>
                <w:sz w:val="18"/>
                <w:szCs w:val="18"/>
              </w:rPr>
              <w:t>-</w:t>
            </w:r>
            <w:r>
              <w:rPr>
                <w:rFonts w:eastAsia="Calibri"/>
                <w:sz w:val="18"/>
                <w:szCs w:val="18"/>
              </w:rPr>
              <w:t>Consulter un toxicologue</w:t>
            </w:r>
          </w:p>
          <w:p>
            <w:pPr>
              <w:pStyle w:val="style0"/>
              <w:spacing w:before="0"/>
              <w:rPr>
                <w:rFonts w:eastAsia="Calibri"/>
                <w:sz w:val="18"/>
                <w:szCs w:val="18"/>
              </w:rPr>
            </w:pPr>
            <w:r>
              <w:rPr>
                <w:rFonts w:eastAsia="Calibri"/>
                <w:sz w:val="18"/>
                <w:szCs w:val="18"/>
              </w:rPr>
              <w:t>-</w:t>
            </w:r>
            <w:r>
              <w:rPr>
                <w:rFonts w:eastAsia="Calibri"/>
                <w:sz w:val="18"/>
                <w:szCs w:val="18"/>
              </w:rPr>
              <w:t>Respecter les bonnes pratiques</w:t>
            </w:r>
          </w:p>
        </w:tc>
        <w:tc>
          <w:tcPr>
            <w:tcW w:w="1431" w:type="dxa"/>
            <w:tcBorders/>
            <w:shd w:val="clear" w:color="auto" w:fill="ffffff"/>
            <w:vAlign w:val="center"/>
          </w:tcPr>
          <w:p>
            <w:pPr>
              <w:pStyle w:val="style0"/>
              <w:spacing w:before="0"/>
              <w:rPr>
                <w:rFonts w:eastAsia="Calibri"/>
                <w:sz w:val="18"/>
                <w:szCs w:val="18"/>
              </w:rPr>
            </w:pPr>
            <w:r>
              <w:rPr>
                <w:rFonts w:eastAsia="Calibri"/>
                <w:sz w:val="18"/>
                <w:szCs w:val="18"/>
              </w:rPr>
              <w:t>Période d’exploitation</w:t>
            </w:r>
          </w:p>
        </w:tc>
        <w:tc>
          <w:tcPr>
            <w:tcW w:w="1276" w:type="dxa"/>
            <w:vMerge w:val="restart"/>
            <w:tcBorders/>
            <w:shd w:val="clear" w:color="auto" w:fill="ffffff"/>
          </w:tcPr>
          <w:p>
            <w:pPr>
              <w:pStyle w:val="style0"/>
              <w:spacing w:before="0"/>
              <w:rPr>
                <w:rFonts w:eastAsia="Calibri"/>
                <w:sz w:val="18"/>
                <w:szCs w:val="18"/>
                <w:lang w:val="pt-BR"/>
              </w:rPr>
            </w:pPr>
          </w:p>
          <w:p>
            <w:pPr>
              <w:pStyle w:val="style0"/>
              <w:spacing w:before="0"/>
              <w:rPr>
                <w:rFonts w:eastAsia="Calibri"/>
                <w:sz w:val="18"/>
                <w:szCs w:val="18"/>
                <w:lang w:val="pt-BR"/>
              </w:rPr>
            </w:pPr>
          </w:p>
          <w:p>
            <w:pPr>
              <w:pStyle w:val="style0"/>
              <w:spacing w:before="0"/>
              <w:rPr>
                <w:rFonts w:eastAsia="Calibri"/>
                <w:sz w:val="18"/>
                <w:szCs w:val="18"/>
                <w:lang w:val="pt-BR"/>
              </w:rPr>
            </w:pPr>
            <w:r>
              <w:rPr>
                <w:rFonts w:eastAsia="Calibri"/>
                <w:sz w:val="18"/>
                <w:szCs w:val="18"/>
                <w:lang w:val="pt-BR"/>
              </w:rPr>
              <w:t>DPVC</w:t>
            </w:r>
          </w:p>
          <w:p>
            <w:pPr>
              <w:pStyle w:val="style0"/>
              <w:spacing w:before="0"/>
              <w:rPr>
                <w:rFonts w:eastAsia="Calibri"/>
                <w:sz w:val="18"/>
                <w:szCs w:val="18"/>
                <w:lang w:val="pt-BR"/>
              </w:rPr>
            </w:pPr>
            <w:r>
              <w:rPr>
                <w:rFonts w:eastAsia="Calibri"/>
                <w:color w:val="000000"/>
                <w:sz w:val="18"/>
                <w:szCs w:val="18"/>
                <w:lang w:val="pt-BR"/>
              </w:rPr>
              <w:t>MAAHSA</w:t>
            </w:r>
            <w:r>
              <w:rPr>
                <w:rFonts w:eastAsia="Calibri"/>
                <w:sz w:val="18"/>
                <w:szCs w:val="18"/>
                <w:lang w:val="pt-BR"/>
              </w:rPr>
              <w:t xml:space="preserve"> DP</w:t>
            </w:r>
            <w:r>
              <w:rPr>
                <w:rFonts w:eastAsia="Calibri"/>
                <w:color w:val="000000"/>
                <w:sz w:val="18"/>
                <w:szCs w:val="18"/>
                <w:lang w:val="pt-BR"/>
              </w:rPr>
              <w:t>AAHSA</w:t>
            </w:r>
          </w:p>
          <w:p>
            <w:pPr>
              <w:pStyle w:val="style0"/>
              <w:spacing w:before="0"/>
              <w:rPr>
                <w:rFonts w:eastAsia="Calibri"/>
                <w:sz w:val="18"/>
                <w:szCs w:val="18"/>
                <w:lang w:val="pt-BR"/>
              </w:rPr>
            </w:pPr>
            <w:r>
              <w:rPr>
                <w:rFonts w:eastAsia="Calibri"/>
                <w:sz w:val="18"/>
                <w:szCs w:val="18"/>
                <w:lang w:val="pt-BR"/>
              </w:rPr>
              <w:t>INERA</w:t>
            </w:r>
          </w:p>
          <w:p>
            <w:pPr>
              <w:pStyle w:val="style0"/>
              <w:spacing w:before="0"/>
              <w:rPr>
                <w:rFonts w:eastAsia="Calibri"/>
                <w:sz w:val="18"/>
                <w:szCs w:val="18"/>
                <w:lang w:val="pt-BR"/>
              </w:rPr>
            </w:pPr>
            <w:r>
              <w:rPr>
                <w:rFonts w:eastAsia="Calibri"/>
                <w:sz w:val="18"/>
                <w:szCs w:val="18"/>
                <w:lang w:val="pt-BR"/>
              </w:rPr>
              <w:t>MEEVCC</w:t>
            </w:r>
          </w:p>
        </w:tc>
        <w:tc>
          <w:tcPr>
            <w:tcW w:w="1843" w:type="dxa"/>
            <w:vMerge w:val="restart"/>
            <w:tcBorders/>
            <w:shd w:val="clear" w:color="auto" w:fill="ffffff"/>
          </w:tcPr>
          <w:p>
            <w:pPr>
              <w:pStyle w:val="style0"/>
              <w:spacing w:before="0"/>
              <w:rPr>
                <w:rFonts w:eastAsia="Calibri"/>
                <w:sz w:val="18"/>
                <w:szCs w:val="18"/>
                <w:lang w:val="pt-BR"/>
              </w:rPr>
            </w:pPr>
          </w:p>
          <w:p>
            <w:pPr>
              <w:pStyle w:val="style0"/>
              <w:spacing w:before="0"/>
              <w:rPr>
                <w:rFonts w:eastAsia="Calibri"/>
                <w:sz w:val="18"/>
                <w:szCs w:val="18"/>
              </w:rPr>
            </w:pPr>
            <w:r>
              <w:rPr>
                <w:rFonts w:eastAsia="Calibri"/>
                <w:sz w:val="18"/>
                <w:szCs w:val="18"/>
              </w:rPr>
              <w:t>Nombre de consultation médicale</w:t>
            </w:r>
          </w:p>
          <w:p>
            <w:pPr>
              <w:pStyle w:val="style0"/>
              <w:spacing w:before="0"/>
              <w:rPr>
                <w:rFonts w:eastAsia="Calibri"/>
                <w:sz w:val="18"/>
                <w:szCs w:val="18"/>
              </w:rPr>
            </w:pPr>
          </w:p>
          <w:p>
            <w:pPr>
              <w:pStyle w:val="style0"/>
              <w:spacing w:before="0"/>
              <w:rPr>
                <w:rFonts w:eastAsia="Calibri"/>
                <w:sz w:val="18"/>
                <w:szCs w:val="18"/>
              </w:rPr>
            </w:pPr>
          </w:p>
          <w:p>
            <w:pPr>
              <w:pStyle w:val="style0"/>
              <w:spacing w:before="0"/>
              <w:rPr>
                <w:rFonts w:eastAsia="Calibri"/>
                <w:sz w:val="18"/>
                <w:szCs w:val="18"/>
              </w:rPr>
            </w:pPr>
          </w:p>
          <w:p>
            <w:pPr>
              <w:pStyle w:val="style0"/>
              <w:spacing w:before="0"/>
              <w:rPr>
                <w:rFonts w:eastAsia="Calibri"/>
                <w:sz w:val="18"/>
                <w:szCs w:val="18"/>
              </w:rPr>
            </w:pPr>
            <w:r>
              <w:rPr>
                <w:rFonts w:eastAsia="Calibri"/>
                <w:sz w:val="18"/>
                <w:szCs w:val="18"/>
              </w:rPr>
              <w:t>Nombre de sensibilisation / Formation</w:t>
            </w:r>
          </w:p>
        </w:tc>
        <w:tc>
          <w:tcPr>
            <w:tcW w:w="1576" w:type="dxa"/>
            <w:vMerge w:val="restart"/>
            <w:tcBorders/>
            <w:shd w:val="clear" w:color="auto" w:fill="ffffff"/>
          </w:tcPr>
          <w:p>
            <w:pPr>
              <w:pStyle w:val="style0"/>
              <w:spacing w:before="0"/>
              <w:rPr>
                <w:rFonts w:eastAsia="Calibri"/>
                <w:sz w:val="18"/>
                <w:szCs w:val="18"/>
              </w:rPr>
            </w:pPr>
          </w:p>
          <w:p>
            <w:pPr>
              <w:pStyle w:val="style0"/>
              <w:spacing w:before="0"/>
              <w:rPr>
                <w:rFonts w:eastAsia="Calibri"/>
                <w:sz w:val="18"/>
                <w:szCs w:val="18"/>
              </w:rPr>
            </w:pPr>
            <w:r>
              <w:rPr>
                <w:rFonts w:eastAsia="Calibri"/>
                <w:sz w:val="18"/>
                <w:szCs w:val="18"/>
              </w:rPr>
              <w:t>Rapport de consultation</w:t>
            </w:r>
          </w:p>
          <w:p>
            <w:pPr>
              <w:pStyle w:val="style0"/>
              <w:spacing w:before="0"/>
              <w:rPr>
                <w:rFonts w:eastAsia="Calibri"/>
                <w:sz w:val="18"/>
                <w:szCs w:val="18"/>
              </w:rPr>
            </w:pPr>
          </w:p>
          <w:p>
            <w:pPr>
              <w:pStyle w:val="style0"/>
              <w:spacing w:before="0"/>
              <w:rPr>
                <w:rFonts w:eastAsia="Calibri"/>
                <w:sz w:val="18"/>
                <w:szCs w:val="18"/>
              </w:rPr>
            </w:pPr>
          </w:p>
          <w:p>
            <w:pPr>
              <w:pStyle w:val="style0"/>
              <w:spacing w:before="0"/>
              <w:rPr>
                <w:rFonts w:eastAsia="Calibri"/>
                <w:sz w:val="18"/>
                <w:szCs w:val="18"/>
              </w:rPr>
            </w:pPr>
            <w:r>
              <w:rPr>
                <w:rFonts w:eastAsia="Calibri"/>
                <w:sz w:val="18"/>
                <w:szCs w:val="18"/>
              </w:rPr>
              <w:t>Rapport de sensibilisation ou de formation</w:t>
            </w:r>
          </w:p>
        </w:tc>
      </w:tr>
      <w:tr>
        <w:tblPrEx/>
        <w:trPr>
          <w:cantSplit/>
          <w:jc w:val="center"/>
        </w:trPr>
        <w:tc>
          <w:tcPr>
            <w:tcW w:w="0" w:type="auto"/>
            <w:vMerge w:val="restart"/>
            <w:tcBorders>
              <w:top w:val="single" w:sz="6" w:space="0" w:color="auto"/>
            </w:tcBorders>
            <w:shd w:val="clear" w:color="auto" w:fill="ffffff"/>
            <w:textDirection w:val="tbRl"/>
            <w:vAlign w:val="center"/>
          </w:tcPr>
          <w:p>
            <w:pPr>
              <w:pStyle w:val="style0"/>
              <w:spacing w:before="0"/>
              <w:rPr>
                <w:rFonts w:eastAsia="Calibri"/>
                <w:sz w:val="18"/>
                <w:szCs w:val="18"/>
              </w:rPr>
            </w:pPr>
          </w:p>
        </w:tc>
        <w:tc>
          <w:tcPr>
            <w:tcW w:w="0" w:type="auto"/>
            <w:vMerge w:val="continue"/>
            <w:tcBorders/>
            <w:shd w:val="clear" w:color="auto" w:fill="ffffff"/>
          </w:tcPr>
          <w:p>
            <w:pPr>
              <w:pStyle w:val="style0"/>
              <w:spacing w:before="0"/>
              <w:jc w:val="center"/>
              <w:rPr>
                <w:rFonts w:eastAsia="Calibri"/>
                <w:b/>
                <w:sz w:val="18"/>
                <w:szCs w:val="18"/>
              </w:rPr>
            </w:pPr>
          </w:p>
        </w:tc>
        <w:tc>
          <w:tcPr>
            <w:tcW w:w="0" w:type="auto"/>
            <w:tcBorders/>
            <w:shd w:val="clear" w:color="auto" w:fill="ffffff"/>
          </w:tcPr>
          <w:p>
            <w:pPr>
              <w:pStyle w:val="style0"/>
              <w:spacing w:before="0"/>
              <w:rPr>
                <w:rFonts w:eastAsia="Calibri"/>
                <w:sz w:val="18"/>
                <w:szCs w:val="18"/>
              </w:rPr>
            </w:pPr>
            <w:r>
              <w:rPr>
                <w:rFonts w:eastAsia="Calibri"/>
                <w:sz w:val="18"/>
                <w:szCs w:val="18"/>
              </w:rPr>
              <w:t>Contamination des eaux et du sols par les pesticides obsolètes</w:t>
            </w:r>
          </w:p>
        </w:tc>
        <w:tc>
          <w:tcPr>
            <w:tcW w:w="4589" w:type="dxa"/>
            <w:tcBorders/>
            <w:shd w:val="clear" w:color="auto" w:fill="ffffff"/>
          </w:tcPr>
          <w:p>
            <w:pPr>
              <w:pStyle w:val="style0"/>
              <w:spacing w:before="0"/>
              <w:rPr>
                <w:rFonts w:eastAsia="Calibri"/>
                <w:sz w:val="18"/>
                <w:szCs w:val="18"/>
              </w:rPr>
            </w:pPr>
            <w:r>
              <w:rPr>
                <w:rFonts w:eastAsia="Calibri"/>
                <w:sz w:val="18"/>
                <w:szCs w:val="18"/>
              </w:rPr>
              <w:t>-</w:t>
            </w:r>
            <w:r>
              <w:rPr>
                <w:rFonts w:eastAsia="Calibri"/>
                <w:sz w:val="18"/>
                <w:szCs w:val="18"/>
              </w:rPr>
              <w:t>Sensibilis</w:t>
            </w:r>
            <w:r>
              <w:rPr>
                <w:rFonts w:eastAsia="Calibri"/>
                <w:sz w:val="18"/>
                <w:szCs w:val="18"/>
              </w:rPr>
              <w:t>er</w:t>
            </w:r>
            <w:r>
              <w:rPr>
                <w:rFonts w:eastAsia="Calibri"/>
                <w:sz w:val="18"/>
                <w:szCs w:val="18"/>
              </w:rPr>
              <w:t xml:space="preserve"> et form</w:t>
            </w:r>
            <w:r>
              <w:rPr>
                <w:rFonts w:eastAsia="Calibri"/>
                <w:sz w:val="18"/>
                <w:szCs w:val="18"/>
              </w:rPr>
              <w:t>er</w:t>
            </w:r>
            <w:r>
              <w:rPr>
                <w:rFonts w:eastAsia="Calibri"/>
                <w:sz w:val="18"/>
                <w:szCs w:val="18"/>
              </w:rPr>
              <w:t xml:space="preserve"> </w:t>
            </w:r>
            <w:r>
              <w:rPr>
                <w:rFonts w:eastAsia="Calibri"/>
                <w:sz w:val="18"/>
                <w:szCs w:val="18"/>
              </w:rPr>
              <w:t>l</w:t>
            </w:r>
            <w:r>
              <w:rPr>
                <w:rFonts w:eastAsia="Calibri"/>
                <w:sz w:val="18"/>
                <w:szCs w:val="18"/>
              </w:rPr>
              <w:t xml:space="preserve">es </w:t>
            </w:r>
            <w:r>
              <w:rPr>
                <w:rFonts w:eastAsia="Calibri"/>
                <w:sz w:val="18"/>
                <w:szCs w:val="18"/>
              </w:rPr>
              <w:t xml:space="preserve">utilisateurs aux bonnes pratiques de manutention </w:t>
            </w:r>
          </w:p>
          <w:p>
            <w:pPr>
              <w:pStyle w:val="style0"/>
              <w:spacing w:before="0"/>
              <w:rPr>
                <w:rFonts w:eastAsia="Calibri"/>
                <w:sz w:val="18"/>
                <w:szCs w:val="18"/>
              </w:rPr>
            </w:pPr>
            <w:r>
              <w:rPr>
                <w:rFonts w:eastAsia="Calibri"/>
                <w:sz w:val="18"/>
                <w:szCs w:val="18"/>
              </w:rPr>
              <w:t>-</w:t>
            </w:r>
            <w:r>
              <w:rPr>
                <w:rFonts w:eastAsia="Calibri"/>
                <w:sz w:val="18"/>
                <w:szCs w:val="18"/>
              </w:rPr>
              <w:t>Manipuler les pesticides avec délicatesse et éviter le déversement dans les eaux et sur les sols </w:t>
            </w:r>
          </w:p>
        </w:tc>
        <w:tc>
          <w:tcPr>
            <w:tcW w:w="1431" w:type="dxa"/>
            <w:tcBorders/>
            <w:shd w:val="clear" w:color="auto" w:fill="ffffff"/>
          </w:tcPr>
          <w:p>
            <w:pPr>
              <w:pStyle w:val="style0"/>
              <w:spacing w:before="0"/>
              <w:rPr>
                <w:rFonts w:eastAsia="Calibri"/>
                <w:sz w:val="18"/>
                <w:szCs w:val="18"/>
              </w:rPr>
            </w:pPr>
          </w:p>
        </w:tc>
        <w:tc>
          <w:tcPr>
            <w:tcW w:w="1276" w:type="dxa"/>
            <w:vMerge w:val="continue"/>
            <w:tcBorders/>
            <w:shd w:val="clear" w:color="auto" w:fill="ffffff"/>
          </w:tcPr>
          <w:p>
            <w:pPr>
              <w:pStyle w:val="style0"/>
              <w:spacing w:before="0"/>
              <w:rPr>
                <w:rFonts w:eastAsia="Calibri"/>
                <w:sz w:val="18"/>
                <w:szCs w:val="18"/>
              </w:rPr>
            </w:pPr>
          </w:p>
        </w:tc>
        <w:tc>
          <w:tcPr>
            <w:tcW w:w="1843" w:type="dxa"/>
            <w:vMerge w:val="continue"/>
            <w:tcBorders/>
            <w:shd w:val="clear" w:color="auto" w:fill="ffffff"/>
          </w:tcPr>
          <w:p>
            <w:pPr>
              <w:pStyle w:val="style0"/>
              <w:spacing w:before="0"/>
              <w:rPr>
                <w:rFonts w:eastAsia="Calibri"/>
                <w:sz w:val="18"/>
                <w:szCs w:val="18"/>
              </w:rPr>
            </w:pPr>
          </w:p>
        </w:tc>
        <w:tc>
          <w:tcPr>
            <w:tcW w:w="1576" w:type="dxa"/>
            <w:vMerge w:val="continue"/>
            <w:tcBorders/>
            <w:shd w:val="clear" w:color="auto" w:fill="ffffff"/>
          </w:tcPr>
          <w:p>
            <w:pPr>
              <w:pStyle w:val="style0"/>
              <w:spacing w:before="0"/>
              <w:rPr>
                <w:rFonts w:eastAsia="Calibri"/>
                <w:sz w:val="18"/>
                <w:szCs w:val="18"/>
              </w:rPr>
            </w:pPr>
          </w:p>
        </w:tc>
      </w:tr>
      <w:tr>
        <w:tblPrEx/>
        <w:trPr>
          <w:cantSplit/>
          <w:jc w:val="center"/>
        </w:trPr>
        <w:tc>
          <w:tcPr>
            <w:tcW w:w="0" w:type="auto"/>
            <w:vMerge w:val="continue"/>
            <w:tcBorders/>
            <w:shd w:val="clear" w:color="auto" w:fill="ffffff"/>
            <w:vAlign w:val="center"/>
          </w:tcPr>
          <w:p>
            <w:pPr>
              <w:pStyle w:val="style0"/>
              <w:spacing w:before="0"/>
              <w:rPr>
                <w:rFonts w:eastAsia="Calibri"/>
                <w:sz w:val="18"/>
                <w:szCs w:val="18"/>
              </w:rPr>
            </w:pPr>
          </w:p>
        </w:tc>
        <w:tc>
          <w:tcPr>
            <w:tcW w:w="0" w:type="auto"/>
            <w:vMerge w:val="continue"/>
            <w:tcBorders/>
            <w:shd w:val="clear" w:color="auto" w:fill="ffffff"/>
          </w:tcPr>
          <w:p>
            <w:pPr>
              <w:pStyle w:val="style0"/>
              <w:spacing w:before="0"/>
              <w:rPr>
                <w:rFonts w:eastAsia="Calibri"/>
                <w:sz w:val="18"/>
                <w:szCs w:val="18"/>
              </w:rPr>
            </w:pPr>
          </w:p>
        </w:tc>
        <w:tc>
          <w:tcPr>
            <w:tcW w:w="0" w:type="auto"/>
            <w:tcBorders/>
            <w:shd w:val="clear" w:color="auto" w:fill="ffffff"/>
          </w:tcPr>
          <w:p>
            <w:pPr>
              <w:pStyle w:val="style0"/>
              <w:spacing w:before="0"/>
              <w:rPr>
                <w:rFonts w:eastAsia="Calibri"/>
                <w:sz w:val="18"/>
                <w:szCs w:val="18"/>
              </w:rPr>
            </w:pPr>
            <w:r>
              <w:rPr>
                <w:rFonts w:eastAsia="Calibri"/>
                <w:sz w:val="18"/>
                <w:szCs w:val="18"/>
              </w:rPr>
              <w:t>Contamination alimentaire et vivriers</w:t>
            </w:r>
          </w:p>
        </w:tc>
        <w:tc>
          <w:tcPr>
            <w:tcW w:w="4589" w:type="dxa"/>
            <w:tcBorders/>
            <w:shd w:val="clear" w:color="auto" w:fill="ffffff"/>
          </w:tcPr>
          <w:p>
            <w:pPr>
              <w:pStyle w:val="style0"/>
              <w:spacing w:before="0"/>
              <w:rPr>
                <w:rFonts w:eastAsia="Calibri"/>
                <w:sz w:val="18"/>
                <w:szCs w:val="18"/>
              </w:rPr>
            </w:pPr>
            <w:r>
              <w:rPr>
                <w:rFonts w:eastAsia="Calibri"/>
                <w:sz w:val="18"/>
                <w:szCs w:val="18"/>
              </w:rPr>
              <w:t>Eviter de manipuler les pesticides proche</w:t>
            </w:r>
            <w:r>
              <w:rPr>
                <w:rFonts w:eastAsia="Calibri"/>
                <w:sz w:val="18"/>
                <w:szCs w:val="18"/>
              </w:rPr>
              <w:t>s</w:t>
            </w:r>
            <w:r>
              <w:rPr>
                <w:rFonts w:eastAsia="Calibri"/>
                <w:sz w:val="18"/>
                <w:szCs w:val="18"/>
              </w:rPr>
              <w:t xml:space="preserve"> des aliments ou des vivres ;</w:t>
            </w:r>
          </w:p>
        </w:tc>
        <w:tc>
          <w:tcPr>
            <w:tcW w:w="1431" w:type="dxa"/>
            <w:tcBorders/>
            <w:shd w:val="clear" w:color="auto" w:fill="ffffff"/>
          </w:tcPr>
          <w:p>
            <w:pPr>
              <w:pStyle w:val="style0"/>
              <w:spacing w:before="0"/>
              <w:rPr>
                <w:rFonts w:eastAsia="Calibri"/>
                <w:sz w:val="18"/>
                <w:szCs w:val="18"/>
              </w:rPr>
            </w:pPr>
          </w:p>
        </w:tc>
        <w:tc>
          <w:tcPr>
            <w:tcW w:w="1276" w:type="dxa"/>
            <w:vMerge w:val="continue"/>
            <w:tcBorders/>
            <w:shd w:val="clear" w:color="auto" w:fill="ffffff"/>
          </w:tcPr>
          <w:p>
            <w:pPr>
              <w:pStyle w:val="style0"/>
              <w:spacing w:before="0"/>
              <w:rPr>
                <w:rFonts w:eastAsia="Calibri"/>
                <w:sz w:val="18"/>
                <w:szCs w:val="18"/>
              </w:rPr>
            </w:pPr>
          </w:p>
        </w:tc>
        <w:tc>
          <w:tcPr>
            <w:tcW w:w="1843" w:type="dxa"/>
            <w:vMerge w:val="continue"/>
            <w:tcBorders/>
            <w:shd w:val="clear" w:color="auto" w:fill="ffffff"/>
          </w:tcPr>
          <w:p>
            <w:pPr>
              <w:pStyle w:val="style0"/>
              <w:spacing w:before="0"/>
              <w:rPr>
                <w:rFonts w:eastAsia="Calibri"/>
                <w:sz w:val="18"/>
                <w:szCs w:val="18"/>
              </w:rPr>
            </w:pPr>
          </w:p>
        </w:tc>
        <w:tc>
          <w:tcPr>
            <w:tcW w:w="1576" w:type="dxa"/>
            <w:vMerge w:val="continue"/>
            <w:tcBorders/>
            <w:shd w:val="clear" w:color="auto" w:fill="ffffff"/>
          </w:tcPr>
          <w:p>
            <w:pPr>
              <w:pStyle w:val="style0"/>
              <w:spacing w:before="0"/>
              <w:rPr>
                <w:rFonts w:eastAsia="Calibri"/>
                <w:sz w:val="18"/>
                <w:szCs w:val="18"/>
              </w:rPr>
            </w:pPr>
          </w:p>
        </w:tc>
      </w:tr>
      <w:tr>
        <w:tblPrEx/>
        <w:trPr>
          <w:cantSplit/>
          <w:jc w:val="center"/>
        </w:trPr>
        <w:tc>
          <w:tcPr>
            <w:tcW w:w="0" w:type="auto"/>
            <w:vMerge w:val="continue"/>
            <w:tcBorders/>
            <w:shd w:val="clear" w:color="auto" w:fill="ffffff"/>
            <w:vAlign w:val="center"/>
          </w:tcPr>
          <w:p>
            <w:pPr>
              <w:pStyle w:val="style0"/>
              <w:spacing w:before="0"/>
              <w:rPr>
                <w:rFonts w:eastAsia="Calibri"/>
                <w:sz w:val="18"/>
                <w:szCs w:val="18"/>
              </w:rPr>
            </w:pPr>
          </w:p>
        </w:tc>
        <w:tc>
          <w:tcPr>
            <w:tcW w:w="0" w:type="auto"/>
            <w:vMerge w:val="continue"/>
            <w:tcBorders/>
            <w:shd w:val="clear" w:color="auto" w:fill="ffffff"/>
          </w:tcPr>
          <w:p>
            <w:pPr>
              <w:pStyle w:val="style0"/>
              <w:spacing w:before="0"/>
              <w:rPr>
                <w:rFonts w:eastAsia="Calibri"/>
                <w:sz w:val="18"/>
                <w:szCs w:val="18"/>
              </w:rPr>
            </w:pPr>
          </w:p>
        </w:tc>
        <w:tc>
          <w:tcPr>
            <w:tcW w:w="0" w:type="auto"/>
            <w:tcBorders/>
            <w:shd w:val="clear" w:color="auto" w:fill="ffffff"/>
          </w:tcPr>
          <w:p>
            <w:pPr>
              <w:pStyle w:val="style0"/>
              <w:spacing w:before="0"/>
              <w:rPr>
                <w:rFonts w:eastAsia="Calibri"/>
                <w:sz w:val="18"/>
                <w:szCs w:val="18"/>
              </w:rPr>
            </w:pPr>
            <w:r>
              <w:rPr>
                <w:rFonts w:eastAsia="Calibri"/>
                <w:sz w:val="18"/>
                <w:szCs w:val="18"/>
              </w:rPr>
              <w:t>Intoxication de faune aquatique et sauvage</w:t>
            </w:r>
          </w:p>
        </w:tc>
        <w:tc>
          <w:tcPr>
            <w:tcW w:w="4589" w:type="dxa"/>
            <w:tcBorders/>
            <w:shd w:val="clear" w:color="auto" w:fill="ffffff"/>
          </w:tcPr>
          <w:p>
            <w:pPr>
              <w:pStyle w:val="style0"/>
              <w:spacing w:before="0"/>
              <w:rPr>
                <w:rFonts w:eastAsia="Calibri"/>
                <w:sz w:val="18"/>
                <w:szCs w:val="18"/>
              </w:rPr>
            </w:pPr>
            <w:r>
              <w:rPr>
                <w:rFonts w:eastAsia="Calibri"/>
                <w:sz w:val="18"/>
                <w:szCs w:val="18"/>
              </w:rPr>
              <w:t>Sensibilis</w:t>
            </w:r>
            <w:r>
              <w:rPr>
                <w:rFonts w:eastAsia="Calibri"/>
                <w:sz w:val="18"/>
                <w:szCs w:val="18"/>
              </w:rPr>
              <w:t>er</w:t>
            </w:r>
            <w:r>
              <w:rPr>
                <w:rFonts w:eastAsia="Calibri"/>
                <w:sz w:val="18"/>
                <w:szCs w:val="18"/>
              </w:rPr>
              <w:t xml:space="preserve"> et form</w:t>
            </w:r>
            <w:r>
              <w:rPr>
                <w:rFonts w:eastAsia="Calibri"/>
                <w:sz w:val="18"/>
                <w:szCs w:val="18"/>
              </w:rPr>
              <w:t>er</w:t>
            </w:r>
            <w:r>
              <w:rPr>
                <w:rFonts w:eastAsia="Calibri"/>
                <w:sz w:val="18"/>
                <w:szCs w:val="18"/>
              </w:rPr>
              <w:t xml:space="preserve"> </w:t>
            </w:r>
            <w:r>
              <w:rPr>
                <w:rFonts w:eastAsia="Calibri"/>
                <w:sz w:val="18"/>
                <w:szCs w:val="18"/>
              </w:rPr>
              <w:t>l</w:t>
            </w:r>
            <w:r>
              <w:rPr>
                <w:rFonts w:eastAsia="Calibri"/>
                <w:sz w:val="18"/>
                <w:szCs w:val="18"/>
              </w:rPr>
              <w:t xml:space="preserve">es </w:t>
            </w:r>
            <w:r>
              <w:rPr>
                <w:rFonts w:eastAsia="Calibri"/>
                <w:sz w:val="18"/>
                <w:szCs w:val="18"/>
              </w:rPr>
              <w:t>utilisateurs aux bonnes pratiques de manutention</w:t>
            </w:r>
          </w:p>
        </w:tc>
        <w:tc>
          <w:tcPr>
            <w:tcW w:w="1431" w:type="dxa"/>
            <w:tcBorders/>
            <w:shd w:val="clear" w:color="auto" w:fill="ffffff"/>
            <w:vAlign w:val="center"/>
          </w:tcPr>
          <w:p>
            <w:pPr>
              <w:pStyle w:val="style0"/>
              <w:spacing w:before="0"/>
              <w:rPr>
                <w:rFonts w:eastAsia="Calibri"/>
                <w:sz w:val="18"/>
                <w:szCs w:val="18"/>
              </w:rPr>
            </w:pPr>
            <w:r>
              <w:rPr>
                <w:rFonts w:eastAsia="Calibri"/>
                <w:sz w:val="18"/>
                <w:szCs w:val="18"/>
              </w:rPr>
              <w:t>Période d’exploitation</w:t>
            </w:r>
          </w:p>
        </w:tc>
        <w:tc>
          <w:tcPr>
            <w:tcW w:w="1276" w:type="dxa"/>
            <w:tcBorders/>
            <w:shd w:val="clear" w:color="auto" w:fill="ffffff"/>
          </w:tcPr>
          <w:p>
            <w:pPr>
              <w:pStyle w:val="style0"/>
              <w:spacing w:before="0"/>
              <w:rPr>
                <w:rFonts w:eastAsia="Calibri"/>
                <w:sz w:val="18"/>
                <w:szCs w:val="18"/>
                <w:lang w:val="pt-BR"/>
              </w:rPr>
            </w:pPr>
            <w:r>
              <w:rPr>
                <w:rFonts w:eastAsia="Calibri"/>
                <w:sz w:val="18"/>
                <w:szCs w:val="18"/>
                <w:lang w:val="pt-BR"/>
              </w:rPr>
              <w:t>DPVC</w:t>
            </w:r>
          </w:p>
          <w:p>
            <w:pPr>
              <w:pStyle w:val="style0"/>
              <w:spacing w:before="0"/>
              <w:rPr>
                <w:rFonts w:eastAsia="Calibri"/>
                <w:sz w:val="18"/>
                <w:szCs w:val="18"/>
                <w:lang w:val="pt-BR"/>
              </w:rPr>
            </w:pPr>
            <w:r>
              <w:rPr>
                <w:rFonts w:eastAsia="Calibri"/>
                <w:color w:val="000000"/>
                <w:sz w:val="18"/>
                <w:szCs w:val="18"/>
                <w:lang w:val="pt-BR"/>
              </w:rPr>
              <w:t>MAAHSA</w:t>
            </w:r>
            <w:r>
              <w:rPr>
                <w:rFonts w:eastAsia="Calibri"/>
                <w:sz w:val="18"/>
                <w:szCs w:val="18"/>
                <w:lang w:val="pt-BR"/>
              </w:rPr>
              <w:t xml:space="preserve"> DP</w:t>
            </w:r>
            <w:r>
              <w:rPr>
                <w:rFonts w:eastAsia="Calibri"/>
                <w:color w:val="000000"/>
                <w:sz w:val="18"/>
                <w:szCs w:val="18"/>
                <w:lang w:val="pt-BR"/>
              </w:rPr>
              <w:t>AAHSA</w:t>
            </w:r>
          </w:p>
          <w:p>
            <w:pPr>
              <w:pStyle w:val="style0"/>
              <w:spacing w:before="0"/>
              <w:rPr>
                <w:rFonts w:eastAsia="Calibri"/>
                <w:sz w:val="18"/>
                <w:szCs w:val="18"/>
                <w:lang w:val="pt-BR"/>
              </w:rPr>
            </w:pPr>
            <w:r>
              <w:rPr>
                <w:rFonts w:eastAsia="Calibri"/>
                <w:sz w:val="18"/>
                <w:szCs w:val="18"/>
                <w:lang w:val="pt-BR"/>
              </w:rPr>
              <w:t>INERA</w:t>
            </w:r>
          </w:p>
          <w:p>
            <w:pPr>
              <w:pStyle w:val="style0"/>
              <w:spacing w:before="0"/>
              <w:rPr>
                <w:rFonts w:eastAsia="Calibri"/>
                <w:sz w:val="18"/>
                <w:szCs w:val="18"/>
                <w:lang w:val="pt-BR"/>
              </w:rPr>
            </w:pPr>
            <w:r>
              <w:rPr>
                <w:rFonts w:eastAsia="Calibri"/>
                <w:sz w:val="18"/>
                <w:szCs w:val="18"/>
                <w:lang w:val="pt-BR"/>
              </w:rPr>
              <w:t>MEEVCC</w:t>
            </w:r>
          </w:p>
        </w:tc>
        <w:tc>
          <w:tcPr>
            <w:tcW w:w="1843" w:type="dxa"/>
            <w:tcBorders/>
            <w:shd w:val="clear" w:color="auto" w:fill="ffffff"/>
          </w:tcPr>
          <w:p>
            <w:pPr>
              <w:pStyle w:val="style0"/>
              <w:spacing w:before="0"/>
              <w:rPr>
                <w:rFonts w:eastAsia="Calibri"/>
                <w:sz w:val="18"/>
                <w:szCs w:val="18"/>
                <w:lang w:val="pt-BR"/>
              </w:rPr>
            </w:pPr>
          </w:p>
          <w:p>
            <w:pPr>
              <w:pStyle w:val="style0"/>
              <w:spacing w:before="0"/>
              <w:rPr>
                <w:rFonts w:eastAsia="Calibri"/>
                <w:sz w:val="18"/>
                <w:szCs w:val="18"/>
                <w:lang w:val="pt-BR"/>
              </w:rPr>
            </w:pPr>
          </w:p>
          <w:p>
            <w:pPr>
              <w:pStyle w:val="style0"/>
              <w:spacing w:before="0"/>
              <w:rPr>
                <w:rFonts w:eastAsia="Calibri"/>
                <w:sz w:val="18"/>
                <w:szCs w:val="18"/>
              </w:rPr>
            </w:pPr>
            <w:r>
              <w:rPr>
                <w:rFonts w:eastAsia="Calibri"/>
                <w:sz w:val="18"/>
                <w:szCs w:val="18"/>
              </w:rPr>
              <w:t>Nombre de sensibilisation / Formation</w:t>
            </w:r>
          </w:p>
        </w:tc>
        <w:tc>
          <w:tcPr>
            <w:tcW w:w="1576" w:type="dxa"/>
            <w:tcBorders/>
            <w:shd w:val="clear" w:color="auto" w:fill="ffffff"/>
          </w:tcPr>
          <w:p>
            <w:pPr>
              <w:pStyle w:val="style0"/>
              <w:spacing w:before="0"/>
              <w:rPr>
                <w:rFonts w:eastAsia="Calibri"/>
                <w:sz w:val="18"/>
                <w:szCs w:val="18"/>
              </w:rPr>
            </w:pPr>
          </w:p>
        </w:tc>
      </w:tr>
    </w:tbl>
    <w:p>
      <w:pPr>
        <w:pStyle w:val="style0"/>
        <w:tabs>
          <w:tab w:val="left" w:leader="none" w:pos="1486"/>
        </w:tabs>
        <w:rPr>
          <w:sz w:val="22"/>
          <w:szCs w:val="22"/>
        </w:rPr>
        <w:sectPr>
          <w:pgSz w:w="16838" w:h="11906" w:orient="landscape"/>
          <w:pgMar w:top="1418" w:right="1418" w:bottom="1418" w:left="1418" w:header="709" w:footer="709" w:gutter="0"/>
          <w:cols w:space="708"/>
          <w:docGrid w:linePitch="360"/>
        </w:sectPr>
      </w:pPr>
    </w:p>
    <w:bookmarkStart w:id="412" w:name="_Toc2831225"/>
    <w:bookmarkStart w:id="413" w:name="_Toc279400748"/>
    <w:bookmarkStart w:id="414" w:name="_Toc354769189"/>
    <w:bookmarkStart w:id="415" w:name="_Toc458331348"/>
    <w:bookmarkStart w:id="416" w:name="_Toc462221591"/>
    <w:bookmarkStart w:id="417" w:name="_Toc514190170"/>
    <w:bookmarkStart w:id="418" w:name="_Toc249972178"/>
    <w:bookmarkStart w:id="419" w:name="_Toc381371857"/>
    <w:bookmarkStart w:id="420" w:name="_Toc385280124"/>
    <w:p>
      <w:pPr>
        <w:pStyle w:val="style2"/>
        <w:numPr>
          <w:ilvl w:val="1"/>
          <w:numId w:val="85"/>
        </w:numPr>
        <w:rPr/>
      </w:pPr>
      <w:r>
        <w:t>Suivi, évaluation et rapportage de la mise en œuvre du MGIP</w:t>
      </w:r>
      <w:bookmarkEnd w:id="412"/>
      <w:r>
        <w:t xml:space="preserve"> </w:t>
      </w:r>
    </w:p>
    <w:bookmarkStart w:id="421" w:name="_Toc2831226"/>
    <w:p>
      <w:pPr>
        <w:pStyle w:val="style3"/>
        <w:numPr>
          <w:ilvl w:val="2"/>
          <w:numId w:val="85"/>
        </w:numPr>
        <w:rPr/>
      </w:pPr>
      <w:r>
        <w:t>La surveillance environnementale</w:t>
      </w:r>
      <w:bookmarkEnd w:id="413"/>
      <w:bookmarkEnd w:id="414"/>
      <w:bookmarkEnd w:id="415"/>
      <w:bookmarkEnd w:id="416"/>
      <w:bookmarkEnd w:id="417"/>
      <w:bookmarkEnd w:id="421"/>
    </w:p>
    <w:p>
      <w:pPr>
        <w:pStyle w:val="style0"/>
        <w:rPr>
          <w:rFonts w:eastAsia="Calibri"/>
        </w:rPr>
      </w:pPr>
      <w:r>
        <w:rPr>
          <w:rFonts w:eastAsia="Calibri"/>
        </w:rPr>
        <w:t>La surveillance environnementale vise à s’assurer que le projet (en collaboration avec la DPVC</w:t>
      </w:r>
      <w:r>
        <w:rPr>
          <w:rFonts w:eastAsia="Calibri"/>
        </w:rPr>
        <w:t>, le BUNEE</w:t>
      </w:r>
      <w:r>
        <w:rPr>
          <w:rFonts w:eastAsia="Calibri"/>
        </w:rPr>
        <w:t xml:space="preserve">) chargé de la mise en œuvre des activités de la gestion des pestes respecte ses engagements et ses obligations en matière d’environnement tout au long du cycle du projet. Chaque </w:t>
      </w:r>
      <w:r>
        <w:rPr>
          <w:rFonts w:eastAsia="Calibri"/>
        </w:rPr>
        <w:t>producteur</w:t>
      </w:r>
      <w:r>
        <w:rPr>
          <w:rFonts w:eastAsia="Calibri"/>
        </w:rPr>
        <w:t xml:space="preserve"> devrait s’engager à la mise en œuvre des activités identifiées. </w:t>
      </w:r>
    </w:p>
    <w:p>
      <w:pPr>
        <w:pStyle w:val="style0"/>
        <w:rPr>
          <w:rFonts w:eastAsia="Calibri"/>
        </w:rPr>
      </w:pPr>
      <w:r>
        <w:rPr>
          <w:rFonts w:eastAsia="Calibri"/>
        </w:rPr>
        <w:t>Les activités de surveillance seront contenues dans le cahier de charge du Pro</w:t>
      </w:r>
      <w:r>
        <w:rPr>
          <w:rFonts w:eastAsia="Calibri"/>
        </w:rPr>
        <w:t>gramme</w:t>
      </w:r>
      <w:r>
        <w:rPr>
          <w:rFonts w:eastAsia="Calibri"/>
        </w:rPr>
        <w:t xml:space="preserve">. </w:t>
      </w:r>
    </w:p>
    <w:p>
      <w:pPr>
        <w:pStyle w:val="style0"/>
        <w:spacing w:lineRule="auto" w:line="276"/>
        <w:rPr>
          <w:rFonts w:eastAsia="Calibri"/>
          <w:sz w:val="23"/>
          <w:szCs w:val="23"/>
        </w:rPr>
      </w:pPr>
    </w:p>
    <w:bookmarkStart w:id="422" w:name="_Toc260228"/>
    <w:p>
      <w:pPr>
        <w:pStyle w:val="style34"/>
        <w:keepNext/>
        <w:rPr>
          <w:sz w:val="20"/>
          <w:szCs w:val="20"/>
        </w:rPr>
      </w:pPr>
      <w:r>
        <w:rPr>
          <w:sz w:val="20"/>
          <w:szCs w:val="20"/>
        </w:rPr>
        <w:t xml:space="preserve">Tableau </w:t>
      </w:r>
      <w:r>
        <w:rPr>
          <w:sz w:val="20"/>
          <w:szCs w:val="20"/>
        </w:rPr>
        <w:fldChar w:fldCharType="begin"/>
      </w:r>
      <w:r>
        <w:rPr>
          <w:sz w:val="20"/>
          <w:szCs w:val="20"/>
        </w:rPr>
        <w:instrText xml:space="preserve"> </w:instrText>
      </w:r>
      <w:r>
        <w:rPr>
          <w:sz w:val="20"/>
          <w:szCs w:val="20"/>
        </w:rPr>
        <w:instrText>SEQ</w:instrText>
      </w:r>
      <w:r>
        <w:rPr>
          <w:sz w:val="20"/>
          <w:szCs w:val="20"/>
        </w:rPr>
        <w:instrText xml:space="preserve"> Tableau \* ARABIC </w:instrText>
      </w:r>
      <w:r>
        <w:rPr>
          <w:sz w:val="20"/>
          <w:szCs w:val="20"/>
        </w:rPr>
        <w:fldChar w:fldCharType="separate"/>
      </w:r>
      <w:r>
        <w:rPr>
          <w:noProof/>
          <w:sz w:val="20"/>
          <w:szCs w:val="20"/>
        </w:rPr>
        <w:t>21</w:t>
      </w:r>
      <w:r>
        <w:rPr>
          <w:sz w:val="20"/>
          <w:szCs w:val="20"/>
        </w:rPr>
        <w:fldChar w:fldCharType="end"/>
      </w:r>
      <w:r>
        <w:rPr>
          <w:rFonts w:eastAsia="Calibri"/>
          <w:i/>
          <w:iCs/>
          <w:color w:val="1f497d"/>
          <w:sz w:val="20"/>
          <w:szCs w:val="20"/>
        </w:rPr>
        <w:t> :</w:t>
      </w:r>
      <w:r>
        <w:rPr>
          <w:rFonts w:eastAsia="Calibri"/>
          <w:i/>
          <w:iCs/>
          <w:color w:val="1f497d"/>
          <w:sz w:val="20"/>
          <w:szCs w:val="20"/>
        </w:rPr>
        <w:t>Mesures de surveillance à mettre en œuvre dans le cadre du PDCA</w:t>
      </w:r>
      <w:bookmarkEnd w:id="422"/>
      <w:r>
        <w:rPr>
          <w:rFonts w:eastAsia="Calibri"/>
          <w:i/>
          <w:iCs/>
          <w:color w:val="1f497d"/>
          <w:sz w:val="20"/>
          <w:szCs w:val="20"/>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27"/>
        <w:gridCol w:w="4111"/>
        <w:gridCol w:w="1791"/>
        <w:gridCol w:w="1533"/>
      </w:tblGrid>
      <w:tr>
        <w:trPr>
          <w:jc w:val="center"/>
        </w:trPr>
        <w:tc>
          <w:tcPr>
            <w:tcW w:w="0" w:type="auto"/>
            <w:tcBorders/>
            <w:shd w:val="clear" w:color="auto" w:fill="d9d9d9"/>
          </w:tcPr>
          <w:p>
            <w:pPr>
              <w:pStyle w:val="style0"/>
              <w:spacing w:lineRule="auto" w:line="276"/>
              <w:rPr>
                <w:b/>
                <w:bCs/>
                <w:color w:val="000000"/>
                <w:sz w:val="20"/>
                <w:szCs w:val="20"/>
              </w:rPr>
            </w:pPr>
            <w:r>
              <w:rPr>
                <w:b/>
                <w:bCs/>
                <w:color w:val="000000"/>
                <w:sz w:val="20"/>
                <w:szCs w:val="20"/>
              </w:rPr>
              <w:t>Périodes</w:t>
            </w:r>
          </w:p>
        </w:tc>
        <w:tc>
          <w:tcPr>
            <w:tcW w:w="4111" w:type="dxa"/>
            <w:tcBorders/>
            <w:shd w:val="clear" w:color="auto" w:fill="d9d9d9"/>
          </w:tcPr>
          <w:p>
            <w:pPr>
              <w:pStyle w:val="style0"/>
              <w:spacing w:lineRule="auto" w:line="276"/>
              <w:rPr>
                <w:b/>
                <w:bCs/>
                <w:color w:val="000000"/>
                <w:sz w:val="20"/>
                <w:szCs w:val="20"/>
              </w:rPr>
            </w:pPr>
            <w:r>
              <w:rPr>
                <w:b/>
                <w:bCs/>
                <w:color w:val="000000"/>
                <w:sz w:val="20"/>
                <w:szCs w:val="20"/>
              </w:rPr>
              <w:t>Tâches/Atténuation</w:t>
            </w:r>
          </w:p>
        </w:tc>
        <w:tc>
          <w:tcPr>
            <w:tcW w:w="1791" w:type="dxa"/>
            <w:tcBorders/>
            <w:shd w:val="clear" w:color="auto" w:fill="d9d9d9"/>
          </w:tcPr>
          <w:p>
            <w:pPr>
              <w:pStyle w:val="style0"/>
              <w:spacing w:lineRule="auto" w:line="276"/>
              <w:rPr>
                <w:b/>
                <w:bCs/>
                <w:color w:val="000000"/>
                <w:sz w:val="20"/>
                <w:szCs w:val="20"/>
              </w:rPr>
            </w:pPr>
            <w:r>
              <w:rPr>
                <w:b/>
                <w:bCs/>
                <w:color w:val="000000"/>
                <w:sz w:val="20"/>
                <w:szCs w:val="20"/>
              </w:rPr>
              <w:t>Responsables de l’application</w:t>
            </w:r>
          </w:p>
        </w:tc>
        <w:tc>
          <w:tcPr>
            <w:tcW w:w="1533" w:type="dxa"/>
            <w:tcBorders/>
            <w:shd w:val="clear" w:color="auto" w:fill="d9d9d9"/>
          </w:tcPr>
          <w:p>
            <w:pPr>
              <w:pStyle w:val="style0"/>
              <w:spacing w:lineRule="auto" w:line="276"/>
              <w:rPr>
                <w:b/>
                <w:bCs/>
                <w:color w:val="000000"/>
                <w:sz w:val="20"/>
                <w:szCs w:val="20"/>
              </w:rPr>
            </w:pPr>
            <w:r>
              <w:rPr>
                <w:b/>
                <w:bCs/>
                <w:color w:val="000000"/>
                <w:sz w:val="20"/>
                <w:szCs w:val="20"/>
              </w:rPr>
              <w:t>Responsables surveillance</w:t>
            </w:r>
          </w:p>
        </w:tc>
      </w:tr>
      <w:tr>
        <w:tblPrEx/>
        <w:trPr>
          <w:jc w:val="center"/>
        </w:trPr>
        <w:tc>
          <w:tcPr>
            <w:tcW w:w="0" w:type="auto"/>
            <w:tcBorders/>
          </w:tcPr>
          <w:p>
            <w:pPr>
              <w:pStyle w:val="style0"/>
              <w:spacing w:lineRule="auto" w:line="276"/>
              <w:rPr>
                <w:b/>
                <w:color w:val="000000"/>
                <w:sz w:val="20"/>
                <w:szCs w:val="20"/>
              </w:rPr>
            </w:pPr>
            <w:r>
              <w:rPr>
                <w:b/>
                <w:color w:val="000000"/>
                <w:sz w:val="20"/>
                <w:szCs w:val="20"/>
              </w:rPr>
              <w:t>Le transport des pesticides</w:t>
            </w:r>
          </w:p>
        </w:tc>
        <w:tc>
          <w:tcPr>
            <w:tcW w:w="4111" w:type="dxa"/>
            <w:tcBorders/>
          </w:tcPr>
          <w:p>
            <w:pPr>
              <w:pStyle w:val="style0"/>
              <w:spacing w:lineRule="auto" w:line="276"/>
              <w:rPr>
                <w:color w:val="000000"/>
                <w:sz w:val="20"/>
                <w:szCs w:val="20"/>
              </w:rPr>
            </w:pPr>
            <w:r>
              <w:rPr>
                <w:color w:val="000000"/>
                <w:sz w:val="20"/>
                <w:szCs w:val="20"/>
              </w:rPr>
              <w:t>-assurer le r</w:t>
            </w:r>
            <w:r>
              <w:rPr>
                <w:color w:val="000000"/>
                <w:sz w:val="20"/>
                <w:szCs w:val="20"/>
              </w:rPr>
              <w:t xml:space="preserve">espect </w:t>
            </w:r>
            <w:r>
              <w:rPr>
                <w:color w:val="000000"/>
                <w:sz w:val="20"/>
                <w:szCs w:val="20"/>
              </w:rPr>
              <w:t>de la limitation de vitesse</w:t>
            </w:r>
          </w:p>
          <w:p>
            <w:pPr>
              <w:pStyle w:val="style0"/>
              <w:spacing w:lineRule="auto" w:line="276"/>
              <w:rPr>
                <w:color w:val="000000"/>
                <w:sz w:val="20"/>
                <w:szCs w:val="20"/>
              </w:rPr>
            </w:pPr>
            <w:r>
              <w:rPr>
                <w:color w:val="000000"/>
                <w:sz w:val="20"/>
                <w:szCs w:val="20"/>
              </w:rPr>
              <w:t>-garantir le c</w:t>
            </w:r>
            <w:r>
              <w:rPr>
                <w:color w:val="000000"/>
                <w:sz w:val="20"/>
                <w:szCs w:val="20"/>
              </w:rPr>
              <w:t xml:space="preserve">ontrôle </w:t>
            </w:r>
            <w:r>
              <w:rPr>
                <w:color w:val="000000"/>
                <w:sz w:val="20"/>
                <w:szCs w:val="20"/>
              </w:rPr>
              <w:t>technique des véhicules de transport et bonne disposition des produits pour éviter les accidents et le déversement des pesticides</w:t>
            </w:r>
          </w:p>
          <w:p>
            <w:pPr>
              <w:pStyle w:val="style0"/>
              <w:spacing w:lineRule="auto" w:line="276"/>
              <w:rPr>
                <w:color w:val="000000"/>
                <w:sz w:val="20"/>
                <w:szCs w:val="20"/>
              </w:rPr>
            </w:pPr>
            <w:r>
              <w:rPr>
                <w:color w:val="000000"/>
                <w:sz w:val="20"/>
                <w:szCs w:val="20"/>
              </w:rPr>
              <w:t>-</w:t>
            </w:r>
            <w:r>
              <w:rPr>
                <w:color w:val="000000"/>
                <w:sz w:val="20"/>
                <w:szCs w:val="20"/>
              </w:rPr>
              <w:t xml:space="preserve"> </w:t>
            </w:r>
            <w:r>
              <w:rPr>
                <w:color w:val="000000"/>
                <w:sz w:val="20"/>
                <w:szCs w:val="20"/>
              </w:rPr>
              <w:t>le transport des pesticides avec les aliments, les animaux et les personnes</w:t>
            </w:r>
          </w:p>
        </w:tc>
        <w:tc>
          <w:tcPr>
            <w:tcW w:w="1791" w:type="dxa"/>
            <w:vMerge w:val="restart"/>
            <w:tcBorders/>
            <w:vAlign w:val="center"/>
          </w:tcPr>
          <w:p>
            <w:pPr>
              <w:pStyle w:val="style0"/>
              <w:spacing w:lineRule="auto" w:line="276"/>
              <w:jc w:val="center"/>
              <w:rPr>
                <w:color w:val="000000"/>
                <w:sz w:val="20"/>
                <w:szCs w:val="20"/>
              </w:rPr>
            </w:pPr>
            <w:r>
              <w:rPr>
                <w:color w:val="000000"/>
                <w:sz w:val="20"/>
                <w:szCs w:val="20"/>
              </w:rPr>
              <w:t>URC</w:t>
            </w:r>
          </w:p>
          <w:p>
            <w:pPr>
              <w:pStyle w:val="style0"/>
              <w:spacing w:lineRule="auto" w:line="276"/>
              <w:jc w:val="center"/>
              <w:rPr>
                <w:color w:val="000000"/>
                <w:sz w:val="20"/>
                <w:szCs w:val="20"/>
              </w:rPr>
            </w:pPr>
            <w:r>
              <w:rPr>
                <w:color w:val="000000"/>
                <w:sz w:val="20"/>
                <w:szCs w:val="20"/>
              </w:rPr>
              <w:t>PDCA</w:t>
            </w:r>
          </w:p>
          <w:p>
            <w:pPr>
              <w:pStyle w:val="style0"/>
              <w:spacing w:lineRule="auto" w:line="276"/>
              <w:jc w:val="center"/>
              <w:rPr>
                <w:color w:val="000000"/>
                <w:sz w:val="20"/>
                <w:szCs w:val="20"/>
              </w:rPr>
            </w:pPr>
            <w:r>
              <w:rPr>
                <w:color w:val="000000"/>
                <w:sz w:val="20"/>
                <w:szCs w:val="20"/>
              </w:rPr>
              <w:t>DPVC</w:t>
            </w:r>
          </w:p>
          <w:p>
            <w:pPr>
              <w:pStyle w:val="style0"/>
              <w:spacing w:lineRule="auto" w:line="276"/>
              <w:jc w:val="center"/>
              <w:rPr>
                <w:color w:val="000000"/>
                <w:sz w:val="20"/>
                <w:szCs w:val="20"/>
              </w:rPr>
            </w:pPr>
            <w:r>
              <w:rPr>
                <w:color w:val="000000"/>
                <w:sz w:val="20"/>
                <w:szCs w:val="20"/>
              </w:rPr>
              <w:t>BUNEE</w:t>
            </w:r>
          </w:p>
          <w:p>
            <w:pPr>
              <w:pStyle w:val="style0"/>
              <w:spacing w:lineRule="auto" w:line="276"/>
              <w:jc w:val="center"/>
              <w:rPr>
                <w:color w:val="000000"/>
                <w:sz w:val="20"/>
                <w:szCs w:val="20"/>
              </w:rPr>
            </w:pPr>
          </w:p>
          <w:p>
            <w:pPr>
              <w:pStyle w:val="style0"/>
              <w:spacing w:lineRule="auto" w:line="276"/>
              <w:jc w:val="center"/>
              <w:rPr>
                <w:color w:val="000000"/>
                <w:sz w:val="20"/>
                <w:szCs w:val="20"/>
              </w:rPr>
            </w:pPr>
          </w:p>
        </w:tc>
        <w:tc>
          <w:tcPr>
            <w:tcW w:w="1533" w:type="dxa"/>
            <w:vMerge w:val="restart"/>
            <w:tcBorders/>
            <w:vAlign w:val="center"/>
          </w:tcPr>
          <w:p>
            <w:pPr>
              <w:pStyle w:val="style0"/>
              <w:spacing w:lineRule="auto" w:line="276"/>
              <w:jc w:val="center"/>
              <w:rPr>
                <w:color w:val="000000"/>
                <w:sz w:val="20"/>
                <w:szCs w:val="20"/>
              </w:rPr>
            </w:pPr>
            <w:r>
              <w:rPr>
                <w:color w:val="000000"/>
                <w:sz w:val="20"/>
                <w:szCs w:val="20"/>
              </w:rPr>
              <w:t>DPVC et BUNEE</w:t>
            </w:r>
            <w:r>
              <w:rPr>
                <w:color w:val="000000"/>
                <w:sz w:val="20"/>
                <w:szCs w:val="20"/>
                <w:highlight w:val="yellow"/>
              </w:rPr>
              <w:t xml:space="preserve"> </w:t>
            </w:r>
            <w:r>
              <w:rPr>
                <w:color w:val="000000"/>
                <w:sz w:val="20"/>
                <w:szCs w:val="20"/>
              </w:rPr>
              <w:t>Mission</w:t>
            </w:r>
            <w:r>
              <w:rPr>
                <w:color w:val="000000"/>
                <w:sz w:val="20"/>
                <w:szCs w:val="20"/>
              </w:rPr>
              <w:t xml:space="preserve"> de contrôle</w:t>
            </w:r>
          </w:p>
          <w:p>
            <w:pPr>
              <w:pStyle w:val="style0"/>
              <w:spacing w:lineRule="auto" w:line="276"/>
              <w:jc w:val="center"/>
              <w:rPr>
                <w:color w:val="000000"/>
                <w:sz w:val="20"/>
                <w:szCs w:val="20"/>
              </w:rPr>
            </w:pPr>
          </w:p>
        </w:tc>
      </w:tr>
      <w:tr>
        <w:tblPrEx/>
        <w:trPr>
          <w:jc w:val="center"/>
        </w:trPr>
        <w:tc>
          <w:tcPr>
            <w:tcW w:w="0" w:type="auto"/>
            <w:tcBorders/>
          </w:tcPr>
          <w:p>
            <w:pPr>
              <w:pStyle w:val="style0"/>
              <w:spacing w:lineRule="auto" w:line="276"/>
              <w:rPr>
                <w:b/>
                <w:color w:val="000000"/>
                <w:sz w:val="20"/>
                <w:szCs w:val="20"/>
              </w:rPr>
            </w:pPr>
            <w:r>
              <w:rPr>
                <w:b/>
                <w:color w:val="000000"/>
                <w:sz w:val="20"/>
                <w:szCs w:val="20"/>
              </w:rPr>
              <w:t>Le stockage des pesticides</w:t>
            </w:r>
          </w:p>
        </w:tc>
        <w:tc>
          <w:tcPr>
            <w:tcW w:w="4111" w:type="dxa"/>
            <w:tcBorders/>
          </w:tcPr>
          <w:p>
            <w:pPr>
              <w:pStyle w:val="style0"/>
              <w:spacing w:lineRule="auto" w:line="276"/>
              <w:rPr>
                <w:color w:val="000000"/>
                <w:sz w:val="20"/>
                <w:szCs w:val="20"/>
              </w:rPr>
            </w:pPr>
            <w:r>
              <w:rPr>
                <w:color w:val="000000"/>
                <w:sz w:val="20"/>
                <w:szCs w:val="20"/>
              </w:rPr>
              <w:t>-</w:t>
            </w:r>
            <w:r>
              <w:rPr>
                <w:color w:val="000000"/>
                <w:sz w:val="20"/>
                <w:szCs w:val="20"/>
              </w:rPr>
              <w:t>r</w:t>
            </w:r>
            <w:r>
              <w:rPr>
                <w:color w:val="000000"/>
                <w:sz w:val="20"/>
                <w:szCs w:val="20"/>
              </w:rPr>
              <w:t>espect</w:t>
            </w:r>
            <w:r>
              <w:rPr>
                <w:color w:val="000000"/>
                <w:sz w:val="20"/>
                <w:szCs w:val="20"/>
              </w:rPr>
              <w:t>er</w:t>
            </w:r>
            <w:r>
              <w:rPr>
                <w:color w:val="000000"/>
                <w:sz w:val="20"/>
                <w:szCs w:val="20"/>
              </w:rPr>
              <w:t xml:space="preserve"> </w:t>
            </w:r>
            <w:r>
              <w:rPr>
                <w:color w:val="000000"/>
                <w:sz w:val="20"/>
                <w:szCs w:val="20"/>
              </w:rPr>
              <w:t>l</w:t>
            </w:r>
            <w:r>
              <w:rPr>
                <w:color w:val="000000"/>
                <w:sz w:val="20"/>
                <w:szCs w:val="20"/>
              </w:rPr>
              <w:t xml:space="preserve">es </w:t>
            </w:r>
            <w:r>
              <w:rPr>
                <w:color w:val="000000"/>
                <w:sz w:val="20"/>
                <w:szCs w:val="20"/>
              </w:rPr>
              <w:t>normes de stockage afin d’éviter des déversements accidentels ;</w:t>
            </w:r>
          </w:p>
          <w:p>
            <w:pPr>
              <w:pStyle w:val="style0"/>
              <w:spacing w:lineRule="auto" w:line="276"/>
              <w:rPr>
                <w:color w:val="000000"/>
                <w:sz w:val="20"/>
                <w:szCs w:val="20"/>
              </w:rPr>
            </w:pPr>
            <w:r>
              <w:rPr>
                <w:color w:val="000000"/>
                <w:sz w:val="20"/>
                <w:szCs w:val="20"/>
              </w:rPr>
              <w:t>-</w:t>
            </w:r>
            <w:r>
              <w:rPr>
                <w:color w:val="000000"/>
                <w:sz w:val="20"/>
                <w:szCs w:val="20"/>
              </w:rPr>
              <w:t>r</w:t>
            </w:r>
            <w:r>
              <w:rPr>
                <w:color w:val="000000"/>
                <w:sz w:val="20"/>
                <w:szCs w:val="20"/>
              </w:rPr>
              <w:t>espect</w:t>
            </w:r>
            <w:r>
              <w:rPr>
                <w:color w:val="000000"/>
                <w:sz w:val="20"/>
                <w:szCs w:val="20"/>
              </w:rPr>
              <w:t>er</w:t>
            </w:r>
            <w:r>
              <w:rPr>
                <w:color w:val="000000"/>
                <w:sz w:val="20"/>
                <w:szCs w:val="20"/>
              </w:rPr>
              <w:t xml:space="preserve"> </w:t>
            </w:r>
            <w:r>
              <w:rPr>
                <w:color w:val="000000"/>
                <w:sz w:val="20"/>
                <w:szCs w:val="20"/>
              </w:rPr>
              <w:t>le</w:t>
            </w:r>
            <w:r>
              <w:rPr>
                <w:color w:val="000000"/>
                <w:sz w:val="20"/>
                <w:szCs w:val="20"/>
              </w:rPr>
              <w:t xml:space="preserve"> </w:t>
            </w:r>
            <w:r>
              <w:rPr>
                <w:color w:val="000000"/>
                <w:sz w:val="20"/>
                <w:szCs w:val="20"/>
              </w:rPr>
              <w:t>port des équipements de protection individuel</w:t>
            </w:r>
            <w:r>
              <w:rPr>
                <w:color w:val="000000"/>
                <w:sz w:val="20"/>
                <w:szCs w:val="20"/>
              </w:rPr>
              <w:t>le</w:t>
            </w:r>
            <w:r>
              <w:rPr>
                <w:color w:val="000000"/>
                <w:sz w:val="20"/>
                <w:szCs w:val="20"/>
              </w:rPr>
              <w:t xml:space="preserve"> pour éviter une contamination ou intoxication des travailleurs et des usagers</w:t>
            </w:r>
          </w:p>
        </w:tc>
        <w:tc>
          <w:tcPr>
            <w:tcW w:w="1791" w:type="dxa"/>
            <w:vMerge w:val="continue"/>
            <w:tcBorders/>
          </w:tcPr>
          <w:p>
            <w:pPr>
              <w:pStyle w:val="style0"/>
              <w:spacing w:lineRule="auto" w:line="276"/>
              <w:jc w:val="center"/>
              <w:rPr>
                <w:color w:val="000000"/>
                <w:sz w:val="20"/>
                <w:szCs w:val="20"/>
              </w:rPr>
            </w:pPr>
          </w:p>
        </w:tc>
        <w:tc>
          <w:tcPr>
            <w:tcW w:w="1533" w:type="dxa"/>
            <w:vMerge w:val="continue"/>
            <w:tcBorders/>
          </w:tcPr>
          <w:p>
            <w:pPr>
              <w:pStyle w:val="style0"/>
              <w:spacing w:lineRule="auto" w:line="276"/>
              <w:jc w:val="center"/>
              <w:rPr>
                <w:color w:val="000000"/>
                <w:sz w:val="20"/>
                <w:szCs w:val="20"/>
              </w:rPr>
            </w:pPr>
          </w:p>
        </w:tc>
      </w:tr>
      <w:tr>
        <w:tblPrEx/>
        <w:trPr>
          <w:jc w:val="center"/>
        </w:trPr>
        <w:tc>
          <w:tcPr>
            <w:tcW w:w="0" w:type="auto"/>
            <w:tcBorders/>
          </w:tcPr>
          <w:p>
            <w:pPr>
              <w:pStyle w:val="style0"/>
              <w:spacing w:lineRule="auto" w:line="276"/>
              <w:rPr>
                <w:b/>
                <w:color w:val="000000"/>
                <w:sz w:val="20"/>
                <w:szCs w:val="20"/>
              </w:rPr>
            </w:pPr>
            <w:r>
              <w:rPr>
                <w:b/>
                <w:color w:val="000000"/>
                <w:sz w:val="20"/>
                <w:szCs w:val="20"/>
              </w:rPr>
              <w:t>Utilisation</w:t>
            </w:r>
          </w:p>
        </w:tc>
        <w:tc>
          <w:tcPr>
            <w:tcW w:w="4111" w:type="dxa"/>
            <w:tcBorders/>
          </w:tcPr>
          <w:p>
            <w:pPr>
              <w:pStyle w:val="style0"/>
              <w:spacing w:lineRule="auto" w:line="276"/>
              <w:rPr>
                <w:color w:val="000000"/>
                <w:sz w:val="20"/>
                <w:szCs w:val="20"/>
              </w:rPr>
            </w:pPr>
            <w:r>
              <w:rPr>
                <w:color w:val="000000"/>
                <w:sz w:val="20"/>
                <w:szCs w:val="20"/>
              </w:rPr>
              <w:t>r</w:t>
            </w:r>
            <w:r>
              <w:rPr>
                <w:color w:val="000000"/>
                <w:sz w:val="20"/>
                <w:szCs w:val="20"/>
              </w:rPr>
              <w:t>espect</w:t>
            </w:r>
            <w:r>
              <w:rPr>
                <w:color w:val="000000"/>
                <w:sz w:val="20"/>
                <w:szCs w:val="20"/>
              </w:rPr>
              <w:t>er</w:t>
            </w:r>
            <w:r>
              <w:rPr>
                <w:color w:val="000000"/>
                <w:sz w:val="20"/>
                <w:szCs w:val="20"/>
              </w:rPr>
              <w:t xml:space="preserve"> </w:t>
            </w:r>
            <w:r>
              <w:rPr>
                <w:color w:val="000000"/>
                <w:sz w:val="20"/>
                <w:szCs w:val="20"/>
              </w:rPr>
              <w:t>strict</w:t>
            </w:r>
            <w:r>
              <w:rPr>
                <w:color w:val="000000"/>
                <w:sz w:val="20"/>
                <w:szCs w:val="20"/>
              </w:rPr>
              <w:t>ement</w:t>
            </w:r>
            <w:r>
              <w:rPr>
                <w:color w:val="000000"/>
                <w:sz w:val="20"/>
                <w:szCs w:val="20"/>
              </w:rPr>
              <w:t xml:space="preserve"> </w:t>
            </w:r>
            <w:r>
              <w:rPr>
                <w:color w:val="000000"/>
                <w:sz w:val="20"/>
                <w:szCs w:val="20"/>
              </w:rPr>
              <w:t>l</w:t>
            </w:r>
            <w:r>
              <w:rPr>
                <w:color w:val="000000"/>
                <w:sz w:val="20"/>
                <w:szCs w:val="20"/>
              </w:rPr>
              <w:t xml:space="preserve">es </w:t>
            </w:r>
            <w:r>
              <w:rPr>
                <w:color w:val="000000"/>
                <w:sz w:val="20"/>
                <w:szCs w:val="20"/>
              </w:rPr>
              <w:t>conditions d’utilisation</w:t>
            </w:r>
          </w:p>
        </w:tc>
        <w:tc>
          <w:tcPr>
            <w:tcW w:w="1791" w:type="dxa"/>
            <w:vMerge w:val="continue"/>
            <w:tcBorders/>
          </w:tcPr>
          <w:p>
            <w:pPr>
              <w:pStyle w:val="style0"/>
              <w:spacing w:lineRule="auto" w:line="276"/>
              <w:jc w:val="center"/>
              <w:rPr>
                <w:color w:val="000000"/>
                <w:sz w:val="20"/>
                <w:szCs w:val="20"/>
              </w:rPr>
            </w:pPr>
          </w:p>
        </w:tc>
        <w:tc>
          <w:tcPr>
            <w:tcW w:w="1533" w:type="dxa"/>
            <w:vMerge w:val="continue"/>
            <w:tcBorders/>
          </w:tcPr>
          <w:p>
            <w:pPr>
              <w:pStyle w:val="style0"/>
              <w:spacing w:lineRule="auto" w:line="276"/>
              <w:jc w:val="center"/>
              <w:rPr>
                <w:color w:val="000000"/>
                <w:sz w:val="20"/>
                <w:szCs w:val="20"/>
              </w:rPr>
            </w:pPr>
          </w:p>
        </w:tc>
      </w:tr>
      <w:tr>
        <w:tblPrEx/>
        <w:trPr>
          <w:jc w:val="center"/>
        </w:trPr>
        <w:tc>
          <w:tcPr>
            <w:tcW w:w="0" w:type="auto"/>
            <w:tcBorders/>
          </w:tcPr>
          <w:p>
            <w:pPr>
              <w:pStyle w:val="style0"/>
              <w:spacing w:lineRule="auto" w:line="276"/>
              <w:rPr>
                <w:b/>
                <w:color w:val="000000"/>
                <w:sz w:val="20"/>
                <w:szCs w:val="20"/>
              </w:rPr>
            </w:pPr>
            <w:r>
              <w:rPr>
                <w:b/>
                <w:color w:val="000000"/>
                <w:sz w:val="20"/>
                <w:szCs w:val="20"/>
              </w:rPr>
              <w:t>La gestion des contenants vides et des pesticides obsolètes</w:t>
            </w:r>
          </w:p>
        </w:tc>
        <w:tc>
          <w:tcPr>
            <w:tcW w:w="4111" w:type="dxa"/>
            <w:tcBorders/>
          </w:tcPr>
          <w:p>
            <w:pPr>
              <w:pStyle w:val="style0"/>
              <w:spacing w:lineRule="auto" w:line="276"/>
              <w:rPr>
                <w:color w:val="000000"/>
                <w:sz w:val="20"/>
                <w:szCs w:val="20"/>
              </w:rPr>
            </w:pPr>
            <w:r>
              <w:rPr>
                <w:color w:val="000000"/>
                <w:sz w:val="20"/>
                <w:szCs w:val="20"/>
              </w:rPr>
              <w:t>r</w:t>
            </w:r>
            <w:r>
              <w:rPr>
                <w:color w:val="000000"/>
                <w:sz w:val="20"/>
                <w:szCs w:val="20"/>
              </w:rPr>
              <w:t>espect</w:t>
            </w:r>
            <w:r>
              <w:rPr>
                <w:color w:val="000000"/>
                <w:sz w:val="20"/>
                <w:szCs w:val="20"/>
              </w:rPr>
              <w:t>er</w:t>
            </w:r>
            <w:r>
              <w:rPr>
                <w:color w:val="000000"/>
                <w:sz w:val="20"/>
                <w:szCs w:val="20"/>
              </w:rPr>
              <w:t xml:space="preserve"> </w:t>
            </w:r>
            <w:r>
              <w:rPr>
                <w:color w:val="000000"/>
                <w:sz w:val="20"/>
                <w:szCs w:val="20"/>
              </w:rPr>
              <w:t>l</w:t>
            </w:r>
            <w:r>
              <w:rPr>
                <w:color w:val="000000"/>
                <w:sz w:val="20"/>
                <w:szCs w:val="20"/>
              </w:rPr>
              <w:t xml:space="preserve">es </w:t>
            </w:r>
            <w:r>
              <w:rPr>
                <w:color w:val="000000"/>
                <w:sz w:val="20"/>
                <w:szCs w:val="20"/>
              </w:rPr>
              <w:t xml:space="preserve">conditions et </w:t>
            </w:r>
            <w:r>
              <w:rPr>
                <w:color w:val="000000"/>
                <w:sz w:val="20"/>
                <w:szCs w:val="20"/>
              </w:rPr>
              <w:t>l</w:t>
            </w:r>
            <w:r>
              <w:rPr>
                <w:color w:val="000000"/>
                <w:sz w:val="20"/>
                <w:szCs w:val="20"/>
              </w:rPr>
              <w:t xml:space="preserve">es </w:t>
            </w:r>
            <w:r>
              <w:rPr>
                <w:color w:val="000000"/>
                <w:sz w:val="20"/>
                <w:szCs w:val="20"/>
              </w:rPr>
              <w:t>normes de ramassage</w:t>
            </w:r>
          </w:p>
        </w:tc>
        <w:tc>
          <w:tcPr>
            <w:tcW w:w="1791" w:type="dxa"/>
            <w:vMerge w:val="continue"/>
            <w:tcBorders/>
          </w:tcPr>
          <w:p>
            <w:pPr>
              <w:pStyle w:val="style0"/>
              <w:spacing w:lineRule="auto" w:line="276"/>
              <w:jc w:val="center"/>
              <w:rPr>
                <w:color w:val="000000"/>
                <w:sz w:val="20"/>
                <w:szCs w:val="20"/>
              </w:rPr>
            </w:pPr>
          </w:p>
        </w:tc>
        <w:tc>
          <w:tcPr>
            <w:tcW w:w="1533" w:type="dxa"/>
            <w:vMerge w:val="continue"/>
            <w:tcBorders/>
          </w:tcPr>
          <w:p>
            <w:pPr>
              <w:pStyle w:val="style0"/>
              <w:spacing w:lineRule="auto" w:line="276"/>
              <w:rPr>
                <w:color w:val="000000"/>
                <w:sz w:val="20"/>
                <w:szCs w:val="20"/>
              </w:rPr>
            </w:pPr>
          </w:p>
        </w:tc>
      </w:tr>
    </w:tbl>
    <w:p>
      <w:pPr>
        <w:pStyle w:val="style0"/>
        <w:rPr>
          <w:rFonts w:eastAsia="Calibri"/>
        </w:rPr>
      </w:pPr>
    </w:p>
    <w:bookmarkStart w:id="423" w:name="_Toc458331349"/>
    <w:bookmarkStart w:id="424" w:name="_Toc462221592"/>
    <w:bookmarkStart w:id="425" w:name="_Toc514190171"/>
    <w:bookmarkStart w:id="426" w:name="_Toc284400711"/>
    <w:bookmarkStart w:id="427" w:name="_Toc295903069"/>
    <w:bookmarkStart w:id="428" w:name="_Toc2831227"/>
    <w:p>
      <w:pPr>
        <w:pStyle w:val="style3"/>
        <w:numPr>
          <w:ilvl w:val="2"/>
          <w:numId w:val="85"/>
        </w:numPr>
        <w:rPr/>
      </w:pPr>
      <w:r>
        <w:t>Indicateurs de suivi</w:t>
      </w:r>
      <w:bookmarkEnd w:id="418"/>
      <w:bookmarkEnd w:id="419"/>
      <w:bookmarkEnd w:id="420"/>
      <w:bookmarkEnd w:id="423"/>
      <w:bookmarkEnd w:id="424"/>
      <w:bookmarkEnd w:id="425"/>
      <w:bookmarkEnd w:id="426"/>
      <w:bookmarkEnd w:id="427"/>
      <w:bookmarkEnd w:id="428"/>
    </w:p>
    <w:p>
      <w:pPr>
        <w:pStyle w:val="style0"/>
        <w:rPr>
          <w:rFonts w:eastAsia="Calibri"/>
          <w:color w:val="000000"/>
        </w:rPr>
      </w:pPr>
      <w:r>
        <w:rPr>
          <w:rFonts w:eastAsia="Calibri"/>
        </w:rPr>
        <w:t xml:space="preserve">Pour mesurer l’efficacité des mesures de Gestion </w:t>
      </w:r>
      <w:r>
        <w:rPr>
          <w:rFonts w:eastAsia="Calibri"/>
        </w:rPr>
        <w:t xml:space="preserve">intégrée </w:t>
      </w:r>
      <w:r>
        <w:rPr>
          <w:rFonts w:eastAsia="Calibri"/>
        </w:rPr>
        <w:t xml:space="preserve">des Pestes et </w:t>
      </w:r>
      <w:r>
        <w:rPr>
          <w:rFonts w:eastAsia="Calibri"/>
        </w:rPr>
        <w:t xml:space="preserve">d’utilisation des </w:t>
      </w:r>
      <w:r>
        <w:rPr>
          <w:rFonts w:eastAsia="Calibri"/>
        </w:rPr>
        <w:t>Pesticides sur le niveau de réduction des affections et intoxications des personnes concernées, notamment la sécurité en milieu de traitement (dans les champs, la conservation des productions…), les actions préconisées devront faire l’objet d’un suivi/évaluation. Pour ce faire, i</w:t>
      </w:r>
      <w:r>
        <w:rPr>
          <w:rFonts w:eastAsia="Calibri"/>
          <w:color w:val="000000"/>
        </w:rPr>
        <w:t xml:space="preserve">l s’agira de définir des </w:t>
      </w:r>
      <w:r>
        <w:rPr>
          <w:rFonts w:eastAsia="Calibri"/>
          <w:b/>
          <w:i/>
          <w:color w:val="000000"/>
        </w:rPr>
        <w:t>indicateurs de suivi</w:t>
      </w:r>
      <w:r>
        <w:rPr>
          <w:rFonts w:eastAsia="Calibri"/>
          <w:color w:val="000000"/>
        </w:rPr>
        <w:t xml:space="preserve">, qualitatifs et quantitatifs, </w:t>
      </w:r>
      <w:r>
        <w:rPr>
          <w:rFonts w:eastAsia="Calibri"/>
          <w:color w:val="000000"/>
        </w:rPr>
        <w:t xml:space="preserve">qui sont des signaux pré-identifiés exprimant les changements dans certaines conditions ou résultats liés à des interventions spécifiques. </w:t>
      </w:r>
    </w:p>
    <w:p>
      <w:pPr>
        <w:pStyle w:val="style0"/>
        <w:rPr>
          <w:rFonts w:eastAsia="Calibri"/>
        </w:rPr>
      </w:pPr>
      <w:r>
        <w:rPr>
          <w:rFonts w:eastAsia="Calibri"/>
        </w:rPr>
        <w:t>Les indicateurs de suivi aideront dans la mise en application des mesures d'atténuation en vue d’évaluer l’efficacité de ces activités. Il s’agira</w:t>
      </w:r>
      <w:r>
        <w:rPr>
          <w:rFonts w:eastAsia="Calibri"/>
        </w:rPr>
        <w:t>,</w:t>
      </w:r>
      <w:r>
        <w:rPr>
          <w:rFonts w:eastAsia="Calibri"/>
        </w:rPr>
        <w:t xml:space="preserve"> notamment de vérifier :</w:t>
      </w:r>
    </w:p>
    <w:p>
      <w:pPr>
        <w:pStyle w:val="style0"/>
        <w:spacing w:lineRule="auto" w:line="276"/>
        <w:rPr>
          <w:rFonts w:eastAsia="Calibri"/>
          <w:b/>
          <w:i/>
          <w:sz w:val="23"/>
          <w:szCs w:val="23"/>
        </w:rPr>
      </w:pPr>
      <w:r>
        <w:rPr>
          <w:rFonts w:eastAsia="Calibri"/>
          <w:sz w:val="23"/>
          <w:szCs w:val="23"/>
        </w:rPr>
        <w:t xml:space="preserve">     </w:t>
      </w:r>
      <w:r>
        <w:rPr>
          <w:rFonts w:eastAsia="Calibri"/>
          <w:b/>
          <w:i/>
          <w:sz w:val="23"/>
          <w:szCs w:val="23"/>
        </w:rPr>
        <w:t>Indicateurs q</w:t>
      </w:r>
      <w:r>
        <w:rPr>
          <w:rFonts w:eastAsia="Calibri"/>
          <w:b/>
          <w:i/>
          <w:sz w:val="23"/>
          <w:szCs w:val="23"/>
        </w:rPr>
        <w:t>ualitatif</w:t>
      </w:r>
      <w:r>
        <w:rPr>
          <w:rFonts w:eastAsia="Calibri"/>
          <w:b/>
          <w:i/>
          <w:sz w:val="23"/>
          <w:szCs w:val="23"/>
        </w:rPr>
        <w:t>s</w:t>
      </w:r>
    </w:p>
    <w:p>
      <w:pPr>
        <w:pStyle w:val="style0"/>
        <w:numPr>
          <w:ilvl w:val="0"/>
          <w:numId w:val="41"/>
        </w:numPr>
        <w:spacing w:lineRule="auto" w:line="276"/>
        <w:ind w:left="360"/>
        <w:contextualSpacing/>
        <w:rPr>
          <w:rFonts w:eastAsia="Calibri"/>
          <w:szCs w:val="23"/>
        </w:rPr>
      </w:pPr>
      <w:r>
        <w:rPr>
          <w:rFonts w:eastAsia="Calibri"/>
          <w:szCs w:val="23"/>
        </w:rPr>
        <w:t>% de producteurs utilisant les pesticides homologués ;</w:t>
      </w:r>
    </w:p>
    <w:p>
      <w:pPr>
        <w:pStyle w:val="style0"/>
        <w:numPr>
          <w:ilvl w:val="0"/>
          <w:numId w:val="41"/>
        </w:numPr>
        <w:spacing w:lineRule="auto" w:line="276"/>
        <w:ind w:left="360"/>
        <w:contextualSpacing/>
        <w:rPr>
          <w:rFonts w:eastAsia="Calibri"/>
          <w:szCs w:val="23"/>
        </w:rPr>
      </w:pPr>
      <w:r>
        <w:rPr>
          <w:rFonts w:eastAsia="Calibri"/>
          <w:szCs w:val="23"/>
        </w:rPr>
        <w:t>% d'agriculteurs suivant les pratiques recommandées pour le dosage, le mélange des pesticides, leur application et le nettoyage de l'équipement d'application ;</w:t>
      </w:r>
    </w:p>
    <w:p>
      <w:pPr>
        <w:pStyle w:val="style0"/>
        <w:numPr>
          <w:ilvl w:val="0"/>
          <w:numId w:val="41"/>
        </w:numPr>
        <w:spacing w:lineRule="auto" w:line="276"/>
        <w:ind w:left="360"/>
        <w:contextualSpacing/>
        <w:rPr>
          <w:rFonts w:eastAsia="Calibri"/>
          <w:szCs w:val="23"/>
        </w:rPr>
      </w:pPr>
      <w:r>
        <w:rPr>
          <w:rFonts w:eastAsia="Calibri"/>
          <w:szCs w:val="23"/>
        </w:rPr>
        <w:t>% des ménages où des personnes vulnérables qui sont impliquées dans l'application des pesticides ;</w:t>
      </w:r>
    </w:p>
    <w:p>
      <w:pPr>
        <w:pStyle w:val="style0"/>
        <w:spacing w:lineRule="auto" w:line="276"/>
        <w:ind w:left="360"/>
        <w:contextualSpacing/>
        <w:rPr>
          <w:rFonts w:eastAsia="Calibri"/>
          <w:sz w:val="23"/>
          <w:szCs w:val="23"/>
        </w:rPr>
      </w:pPr>
    </w:p>
    <w:p>
      <w:pPr>
        <w:pStyle w:val="style0"/>
        <w:spacing w:lineRule="auto" w:line="276"/>
        <w:ind w:left="360"/>
        <w:contextualSpacing/>
        <w:rPr>
          <w:rFonts w:eastAsia="Calibri"/>
          <w:b/>
          <w:i/>
          <w:sz w:val="23"/>
          <w:szCs w:val="23"/>
        </w:rPr>
      </w:pPr>
      <w:r>
        <w:rPr>
          <w:rFonts w:eastAsia="Calibri"/>
          <w:b/>
          <w:i/>
          <w:sz w:val="23"/>
          <w:szCs w:val="23"/>
        </w:rPr>
        <w:t>Indicateurs q</w:t>
      </w:r>
      <w:r>
        <w:rPr>
          <w:rFonts w:eastAsia="Calibri"/>
          <w:b/>
          <w:i/>
          <w:sz w:val="23"/>
          <w:szCs w:val="23"/>
        </w:rPr>
        <w:t>uantitatif</w:t>
      </w:r>
      <w:r>
        <w:rPr>
          <w:rFonts w:eastAsia="Calibri"/>
          <w:b/>
          <w:i/>
          <w:sz w:val="23"/>
          <w:szCs w:val="23"/>
        </w:rPr>
        <w:t>s</w:t>
      </w:r>
    </w:p>
    <w:p>
      <w:pPr>
        <w:pStyle w:val="style0"/>
        <w:numPr>
          <w:ilvl w:val="0"/>
          <w:numId w:val="41"/>
        </w:numPr>
        <w:spacing w:lineRule="auto" w:line="276"/>
        <w:ind w:left="360"/>
        <w:contextualSpacing/>
        <w:rPr>
          <w:rFonts w:eastAsia="Calibri"/>
          <w:szCs w:val="23"/>
        </w:rPr>
      </w:pPr>
      <w:r>
        <w:rPr>
          <w:rFonts w:eastAsia="Calibri"/>
          <w:szCs w:val="23"/>
        </w:rPr>
        <w:t>nombre d’agents formés et de populations sensibilisées sur la gestion des pesticides ;</w:t>
      </w:r>
    </w:p>
    <w:p>
      <w:pPr>
        <w:pStyle w:val="style0"/>
        <w:numPr>
          <w:ilvl w:val="0"/>
          <w:numId w:val="41"/>
        </w:numPr>
        <w:spacing w:lineRule="auto" w:line="276"/>
        <w:ind w:left="360"/>
        <w:contextualSpacing/>
        <w:rPr>
          <w:rFonts w:eastAsia="Calibri"/>
          <w:szCs w:val="23"/>
        </w:rPr>
      </w:pPr>
      <w:r>
        <w:rPr>
          <w:rFonts w:eastAsia="Calibri"/>
          <w:szCs w:val="23"/>
        </w:rPr>
        <w:t>nombre de contrôles et analyses périodiques effectués (contrôle de qualité des pesticides ; analyses des impacts sanitaires et environnementaux ; analyse des résidus dans l’eau, les aliments, la végétation, etc.) ;</w:t>
      </w:r>
    </w:p>
    <w:p>
      <w:pPr>
        <w:pStyle w:val="style0"/>
        <w:numPr>
          <w:ilvl w:val="0"/>
          <w:numId w:val="41"/>
        </w:numPr>
        <w:spacing w:lineRule="auto" w:line="276"/>
        <w:ind w:left="360"/>
        <w:contextualSpacing/>
        <w:rPr>
          <w:rFonts w:eastAsia="Calibri"/>
          <w:szCs w:val="23"/>
        </w:rPr>
      </w:pPr>
      <w:r>
        <w:rPr>
          <w:rFonts w:eastAsia="Calibri"/>
          <w:szCs w:val="23"/>
        </w:rPr>
        <w:t>nombre de cas d’intoxication recensés ;</w:t>
      </w:r>
    </w:p>
    <w:p>
      <w:pPr>
        <w:pStyle w:val="style0"/>
        <w:numPr>
          <w:ilvl w:val="0"/>
          <w:numId w:val="41"/>
        </w:numPr>
        <w:spacing w:lineRule="auto" w:line="276"/>
        <w:ind w:left="360"/>
        <w:contextualSpacing/>
        <w:rPr>
          <w:rFonts w:eastAsia="Calibri"/>
          <w:szCs w:val="23"/>
        </w:rPr>
      </w:pPr>
      <w:r>
        <w:rPr>
          <w:rFonts w:eastAsia="Calibri"/>
          <w:szCs w:val="23"/>
        </w:rPr>
        <w:t>nombre de campagnes de suivi de la qualité des eaux ;</w:t>
      </w:r>
    </w:p>
    <w:p>
      <w:pPr>
        <w:pStyle w:val="style0"/>
        <w:numPr>
          <w:ilvl w:val="0"/>
          <w:numId w:val="41"/>
        </w:numPr>
        <w:spacing w:lineRule="auto" w:line="276"/>
        <w:ind w:left="360"/>
        <w:contextualSpacing/>
        <w:rPr>
          <w:rFonts w:eastAsia="Calibri"/>
          <w:szCs w:val="23"/>
        </w:rPr>
      </w:pPr>
      <w:r>
        <w:rPr>
          <w:rFonts w:eastAsia="Calibri"/>
          <w:szCs w:val="23"/>
        </w:rPr>
        <w:t>nombre de missions effectué</w:t>
      </w:r>
      <w:r>
        <w:rPr>
          <w:rFonts w:eastAsia="Calibri"/>
          <w:szCs w:val="23"/>
        </w:rPr>
        <w:t>e</w:t>
      </w:r>
      <w:r>
        <w:rPr>
          <w:rFonts w:eastAsia="Calibri"/>
          <w:szCs w:val="23"/>
        </w:rPr>
        <w:t>s (supervision et évaluations) ;</w:t>
      </w:r>
    </w:p>
    <w:p>
      <w:pPr>
        <w:pStyle w:val="style0"/>
        <w:numPr>
          <w:ilvl w:val="0"/>
          <w:numId w:val="41"/>
        </w:numPr>
        <w:spacing w:lineRule="auto" w:line="276"/>
        <w:ind w:left="360"/>
        <w:contextualSpacing/>
        <w:rPr>
          <w:rFonts w:eastAsia="Calibri"/>
          <w:szCs w:val="23"/>
        </w:rPr>
      </w:pPr>
      <w:r>
        <w:rPr>
          <w:rFonts w:eastAsia="Calibri"/>
          <w:szCs w:val="23"/>
        </w:rPr>
        <w:t>nombre de moustiquaires fournis dans la lutte contre le paludisme ;</w:t>
      </w:r>
    </w:p>
    <w:p>
      <w:pPr>
        <w:pStyle w:val="style0"/>
        <w:numPr>
          <w:ilvl w:val="0"/>
          <w:numId w:val="41"/>
        </w:numPr>
        <w:spacing w:lineRule="auto" w:line="276"/>
        <w:ind w:left="360"/>
        <w:contextualSpacing/>
        <w:rPr>
          <w:rFonts w:eastAsia="Calibri"/>
          <w:szCs w:val="23"/>
        </w:rPr>
      </w:pPr>
      <w:r>
        <w:rPr>
          <w:rFonts w:eastAsia="Calibri"/>
          <w:szCs w:val="23"/>
        </w:rPr>
        <w:t>nombre de producteurs sensibilisés sur les dangers de l’utilisation des pesticides ;</w:t>
      </w:r>
    </w:p>
    <w:p>
      <w:pPr>
        <w:pStyle w:val="style0"/>
        <w:numPr>
          <w:ilvl w:val="0"/>
          <w:numId w:val="41"/>
        </w:numPr>
        <w:spacing w:lineRule="auto" w:line="276"/>
        <w:ind w:left="360"/>
        <w:contextualSpacing/>
        <w:rPr>
          <w:rFonts w:eastAsia="Calibri"/>
          <w:szCs w:val="23"/>
        </w:rPr>
      </w:pPr>
      <w:r>
        <w:rPr>
          <w:rFonts w:eastAsia="Calibri"/>
          <w:szCs w:val="23"/>
        </w:rPr>
        <w:t>nombre de formation des agents de santé</w:t>
      </w:r>
      <w:r>
        <w:rPr>
          <w:rFonts w:eastAsia="Calibri"/>
          <w:szCs w:val="23"/>
        </w:rPr>
        <w:t xml:space="preserve">. </w:t>
      </w:r>
    </w:p>
    <w:p>
      <w:pPr>
        <w:pStyle w:val="style0"/>
        <w:spacing w:lineRule="auto" w:line="276"/>
        <w:rPr>
          <w:rFonts w:eastAsia="Calibri"/>
          <w:color w:val="000000"/>
          <w:sz w:val="23"/>
          <w:szCs w:val="23"/>
        </w:rPr>
      </w:pPr>
    </w:p>
    <w:p>
      <w:pPr>
        <w:pStyle w:val="style0"/>
        <w:rPr>
          <w:rFonts w:eastAsia="Calibri"/>
        </w:rPr>
      </w:pPr>
      <w:r>
        <w:rPr>
          <w:rFonts w:eastAsia="Calibri"/>
        </w:rPr>
        <w:t>A cela, s’ajoute</w:t>
      </w:r>
      <w:r>
        <w:rPr>
          <w:rFonts w:eastAsia="Calibri"/>
        </w:rPr>
        <w:t>nt</w:t>
      </w:r>
      <w:r>
        <w:rPr>
          <w:rFonts w:eastAsia="Calibri"/>
        </w:rPr>
        <w:t xml:space="preserve"> les indicateurs de performance suivants : </w:t>
      </w:r>
    </w:p>
    <w:p>
      <w:pPr>
        <w:pStyle w:val="style0"/>
        <w:numPr>
          <w:ilvl w:val="0"/>
          <w:numId w:val="41"/>
        </w:numPr>
        <w:spacing w:lineRule="auto" w:line="276"/>
        <w:ind w:left="360"/>
        <w:contextualSpacing/>
        <w:rPr>
          <w:rFonts w:eastAsia="Calibri"/>
          <w:szCs w:val="23"/>
        </w:rPr>
      </w:pPr>
      <w:r>
        <w:rPr>
          <w:rFonts w:eastAsia="Calibri"/>
          <w:szCs w:val="23"/>
        </w:rPr>
        <w:t>Existence d'un plan de lutte intégrée contre les ravageurs (LIR) défini dans le temps ;</w:t>
      </w:r>
    </w:p>
    <w:p>
      <w:pPr>
        <w:pStyle w:val="style0"/>
        <w:numPr>
          <w:ilvl w:val="0"/>
          <w:numId w:val="41"/>
        </w:numPr>
        <w:spacing w:lineRule="auto" w:line="276"/>
        <w:ind w:left="360"/>
        <w:contextualSpacing/>
        <w:rPr>
          <w:rFonts w:eastAsia="Calibri"/>
          <w:szCs w:val="23"/>
        </w:rPr>
      </w:pPr>
      <w:r>
        <w:rPr>
          <w:rFonts w:eastAsia="Calibri"/>
          <w:szCs w:val="23"/>
        </w:rPr>
        <w:t>% d'agriculteurs utilisant des méthodes d'élimination appropriées des contenants vides de pesticides et des matériaux contaminés, y compris l'équipement d'application des pesticides mis au rebut ;</w:t>
      </w:r>
    </w:p>
    <w:p>
      <w:pPr>
        <w:pStyle w:val="style0"/>
        <w:numPr>
          <w:ilvl w:val="0"/>
          <w:numId w:val="41"/>
        </w:numPr>
        <w:spacing w:lineRule="auto" w:line="276"/>
        <w:ind w:left="360"/>
        <w:contextualSpacing/>
        <w:rPr>
          <w:rFonts w:eastAsia="Calibri"/>
          <w:szCs w:val="23"/>
        </w:rPr>
      </w:pPr>
      <w:r>
        <w:rPr>
          <w:rFonts w:eastAsia="Calibri"/>
          <w:szCs w:val="23"/>
        </w:rPr>
        <w:t>% d'agriculteurs disposant d'installations de stockage dédiées à l’entreposage des pesticides en toute sécurité, hors de portée des enfants ;</w:t>
      </w:r>
    </w:p>
    <w:p>
      <w:pPr>
        <w:pStyle w:val="style0"/>
        <w:numPr>
          <w:ilvl w:val="0"/>
          <w:numId w:val="41"/>
        </w:numPr>
        <w:spacing w:lineRule="auto" w:line="276"/>
        <w:ind w:left="360"/>
        <w:contextualSpacing/>
        <w:rPr>
          <w:rFonts w:eastAsia="Calibri"/>
          <w:szCs w:val="23"/>
        </w:rPr>
      </w:pPr>
      <w:r>
        <w:rPr>
          <w:rFonts w:eastAsia="Calibri"/>
          <w:szCs w:val="23"/>
        </w:rPr>
        <w:t xml:space="preserve">% de producteurs appliquant des pesticides, qui ont été formés à la manipulation et à l’utilisation des pesticides. </w:t>
      </w:r>
    </w:p>
    <w:p>
      <w:pPr>
        <w:pStyle w:val="style0"/>
        <w:rPr>
          <w:rFonts w:eastAsia="Calibri"/>
        </w:rPr>
      </w:pPr>
      <w:r>
        <w:rPr>
          <w:rFonts w:eastAsia="Calibri"/>
        </w:rPr>
        <w:t>Comme indicateurs ou sources de vérification, il s’agira de :</w:t>
      </w:r>
    </w:p>
    <w:p>
      <w:pPr>
        <w:pStyle w:val="style0"/>
        <w:numPr>
          <w:ilvl w:val="0"/>
          <w:numId w:val="41"/>
        </w:numPr>
        <w:spacing w:lineRule="auto" w:line="276"/>
        <w:ind w:left="360"/>
        <w:contextualSpacing/>
        <w:rPr>
          <w:rFonts w:eastAsia="Calibri"/>
          <w:szCs w:val="23"/>
        </w:rPr>
      </w:pPr>
      <w:r>
        <w:rPr>
          <w:rFonts w:eastAsia="Calibri"/>
          <w:szCs w:val="23"/>
        </w:rPr>
        <w:t>r</w:t>
      </w:r>
      <w:r>
        <w:rPr>
          <w:rFonts w:eastAsia="Calibri"/>
          <w:szCs w:val="23"/>
        </w:rPr>
        <w:t xml:space="preserve">apport </w:t>
      </w:r>
      <w:r>
        <w:rPr>
          <w:rFonts w:eastAsia="Calibri"/>
          <w:szCs w:val="23"/>
        </w:rPr>
        <w:t>de formations</w:t>
      </w:r>
      <w:r>
        <w:rPr>
          <w:rFonts w:eastAsia="Calibri"/>
          <w:szCs w:val="23"/>
        </w:rPr>
        <w:t> ;</w:t>
      </w:r>
    </w:p>
    <w:p>
      <w:pPr>
        <w:pStyle w:val="style0"/>
        <w:numPr>
          <w:ilvl w:val="0"/>
          <w:numId w:val="41"/>
        </w:numPr>
        <w:spacing w:lineRule="auto" w:line="276"/>
        <w:ind w:left="360"/>
        <w:contextualSpacing/>
        <w:rPr>
          <w:rFonts w:eastAsia="Calibri"/>
          <w:szCs w:val="23"/>
        </w:rPr>
      </w:pPr>
      <w:r>
        <w:rPr>
          <w:rFonts w:eastAsia="Calibri"/>
          <w:szCs w:val="23"/>
        </w:rPr>
        <w:t>r</w:t>
      </w:r>
      <w:r>
        <w:rPr>
          <w:rFonts w:eastAsia="Calibri"/>
          <w:szCs w:val="23"/>
        </w:rPr>
        <w:t xml:space="preserve">apport </w:t>
      </w:r>
      <w:r>
        <w:rPr>
          <w:rFonts w:eastAsia="Calibri"/>
          <w:szCs w:val="23"/>
        </w:rPr>
        <w:t>de mission de sensibilisations</w:t>
      </w:r>
      <w:r>
        <w:rPr>
          <w:rFonts w:eastAsia="Calibri"/>
          <w:szCs w:val="23"/>
        </w:rPr>
        <w:t> ;</w:t>
      </w:r>
    </w:p>
    <w:p>
      <w:pPr>
        <w:pStyle w:val="style0"/>
        <w:numPr>
          <w:ilvl w:val="0"/>
          <w:numId w:val="41"/>
        </w:numPr>
        <w:spacing w:lineRule="auto" w:line="276"/>
        <w:ind w:left="360"/>
        <w:contextualSpacing/>
        <w:rPr>
          <w:rFonts w:eastAsia="Calibri"/>
          <w:szCs w:val="23"/>
        </w:rPr>
      </w:pPr>
      <w:r>
        <w:rPr>
          <w:rFonts w:eastAsia="Calibri"/>
          <w:szCs w:val="23"/>
        </w:rPr>
        <w:t>s</w:t>
      </w:r>
      <w:r>
        <w:rPr>
          <w:rFonts w:eastAsia="Calibri"/>
          <w:szCs w:val="23"/>
        </w:rPr>
        <w:t xml:space="preserve">tatistique </w:t>
      </w:r>
      <w:r>
        <w:rPr>
          <w:rFonts w:eastAsia="Calibri"/>
          <w:szCs w:val="23"/>
        </w:rPr>
        <w:t>des centres de santé</w:t>
      </w:r>
      <w:r>
        <w:rPr>
          <w:rFonts w:eastAsia="Calibri"/>
          <w:szCs w:val="23"/>
        </w:rPr>
        <w:t> ;</w:t>
      </w:r>
    </w:p>
    <w:p>
      <w:pPr>
        <w:pStyle w:val="style0"/>
        <w:numPr>
          <w:ilvl w:val="0"/>
          <w:numId w:val="41"/>
        </w:numPr>
        <w:spacing w:lineRule="auto" w:line="276"/>
        <w:ind w:left="360"/>
        <w:contextualSpacing/>
        <w:rPr>
          <w:rFonts w:eastAsia="Calibri"/>
          <w:szCs w:val="23"/>
        </w:rPr>
      </w:pPr>
      <w:r>
        <w:rPr>
          <w:rFonts w:eastAsia="Calibri"/>
          <w:szCs w:val="23"/>
        </w:rPr>
        <w:t>p</w:t>
      </w:r>
      <w:r>
        <w:rPr>
          <w:rFonts w:eastAsia="Calibri"/>
          <w:szCs w:val="23"/>
        </w:rPr>
        <w:t xml:space="preserve">resse </w:t>
      </w:r>
      <w:r>
        <w:rPr>
          <w:rFonts w:eastAsia="Calibri"/>
          <w:szCs w:val="23"/>
        </w:rPr>
        <w:t xml:space="preserve">écrite. </w:t>
      </w:r>
    </w:p>
    <w:p>
      <w:pPr>
        <w:pStyle w:val="style0"/>
        <w:spacing w:lineRule="auto" w:line="276"/>
        <w:ind w:left="360"/>
        <w:contextualSpacing/>
        <w:rPr>
          <w:rFonts w:eastAsia="Calibri"/>
          <w:sz w:val="23"/>
          <w:szCs w:val="23"/>
        </w:rPr>
      </w:pPr>
    </w:p>
    <w:p>
      <w:pPr>
        <w:pStyle w:val="style0"/>
        <w:rPr>
          <w:rFonts w:eastAsia="Calibri"/>
        </w:rPr>
      </w:pPr>
      <w:r>
        <w:rPr>
          <w:rFonts w:eastAsia="Calibri"/>
          <w:color w:val="000000"/>
        </w:rPr>
        <w:t xml:space="preserve">Ces </w:t>
      </w:r>
      <w:r>
        <w:rPr>
          <w:rFonts w:eastAsia="Calibri"/>
        </w:rPr>
        <w:t>indicateurs de suivi aideront dans la mise en application des mesures d'atténuation, le suivi et l'évaluation de l'ensemble du projet en vue d’évaluer l’efficacité de ces activités dans les deux années à venir. Les facteurs pertinents (indicateurs de suivi) d’une évaluation des risques/dangers sont indiqués au niveau des sous points suivants. </w:t>
      </w:r>
    </w:p>
    <w:bookmarkStart w:id="429" w:name="_Toc284400712"/>
    <w:bookmarkStart w:id="430" w:name="_Toc458331350"/>
    <w:p>
      <w:pPr>
        <w:pStyle w:val="style0"/>
        <w:rPr>
          <w:rFonts w:eastAsia="Calibri"/>
          <w:sz w:val="23"/>
          <w:szCs w:val="23"/>
        </w:rPr>
      </w:pPr>
    </w:p>
    <w:bookmarkStart w:id="431" w:name="_Toc462221593"/>
    <w:bookmarkStart w:id="432" w:name="_Toc514190172"/>
    <w:bookmarkStart w:id="433" w:name="_Toc2831228"/>
    <w:p>
      <w:pPr>
        <w:pStyle w:val="style3"/>
        <w:numPr>
          <w:ilvl w:val="2"/>
          <w:numId w:val="85"/>
        </w:numPr>
        <w:rPr/>
      </w:pPr>
      <w:r>
        <w:t xml:space="preserve">Suivi « stratégique » par la coordination du </w:t>
      </w:r>
      <w:bookmarkEnd w:id="429"/>
      <w:bookmarkEnd w:id="430"/>
      <w:bookmarkEnd w:id="431"/>
      <w:bookmarkEnd w:id="432"/>
      <w:r>
        <w:t>pro</w:t>
      </w:r>
      <w:r>
        <w:t>gramme</w:t>
      </w:r>
      <w:bookmarkEnd w:id="433"/>
    </w:p>
    <w:p>
      <w:pPr>
        <w:pStyle w:val="style0"/>
        <w:numPr>
          <w:ilvl w:val="0"/>
          <w:numId w:val="44"/>
        </w:numPr>
        <w:spacing w:lineRule="auto" w:line="276"/>
        <w:ind w:left="567"/>
        <w:rPr>
          <w:rFonts w:eastAsia="Calibri"/>
          <w:bCs/>
          <w:szCs w:val="23"/>
        </w:rPr>
      </w:pPr>
      <w:r>
        <w:rPr>
          <w:rFonts w:eastAsia="Calibri"/>
          <w:bCs/>
          <w:szCs w:val="23"/>
        </w:rPr>
        <w:t>Mise en place d’un accord avec les structures compétentes au niveau national pour le suivi de la mise en œuvre du PGP.</w:t>
      </w:r>
      <w:r>
        <w:rPr>
          <w:rFonts w:eastAsia="Calibri"/>
          <w:bCs/>
          <w:szCs w:val="23"/>
        </w:rPr>
        <w:t xml:space="preserve"> Il s’agit</w:t>
      </w:r>
      <w:r>
        <w:rPr>
          <w:rFonts w:eastAsia="Calibri"/>
          <w:bCs/>
          <w:szCs w:val="23"/>
        </w:rPr>
        <w:t>,</w:t>
      </w:r>
      <w:r>
        <w:rPr>
          <w:rFonts w:eastAsia="Calibri"/>
          <w:bCs/>
          <w:szCs w:val="23"/>
        </w:rPr>
        <w:t xml:space="preserve"> notamment de la DPVC, du BUNEE, du LNSP etc.</w:t>
      </w:r>
    </w:p>
    <w:p>
      <w:pPr>
        <w:pStyle w:val="style0"/>
        <w:numPr>
          <w:ilvl w:val="0"/>
          <w:numId w:val="44"/>
        </w:numPr>
        <w:spacing w:lineRule="auto" w:line="276"/>
        <w:ind w:left="567"/>
        <w:rPr>
          <w:rFonts w:eastAsia="Calibri"/>
          <w:bCs/>
          <w:szCs w:val="23"/>
        </w:rPr>
      </w:pPr>
      <w:r>
        <w:rPr>
          <w:rFonts w:eastAsia="Calibri"/>
          <w:bCs/>
          <w:szCs w:val="23"/>
        </w:rPr>
        <w:t>Encrage des activités avec des projets existants tel que le PTAAO, PARIIS_BF, AMVS</w:t>
      </w:r>
    </w:p>
    <w:p>
      <w:pPr>
        <w:pStyle w:val="style0"/>
        <w:numPr>
          <w:ilvl w:val="0"/>
          <w:numId w:val="44"/>
        </w:numPr>
        <w:spacing w:lineRule="auto" w:line="276"/>
        <w:ind w:left="567"/>
        <w:rPr>
          <w:rFonts w:eastAsia="Calibri"/>
          <w:bCs/>
          <w:szCs w:val="23"/>
        </w:rPr>
      </w:pPr>
      <w:r>
        <w:rPr>
          <w:rFonts w:eastAsia="Calibri"/>
          <w:bCs/>
          <w:szCs w:val="23"/>
        </w:rPr>
        <w:t>Degré d’implication des autres acteurs institutionnels et laboratoires dans le suivi.</w:t>
      </w:r>
      <w:bookmarkStart w:id="434" w:name="_Toc284400713"/>
    </w:p>
    <w:bookmarkStart w:id="435" w:name="_Toc514190173"/>
    <w:p>
      <w:pPr>
        <w:pStyle w:val="style4"/>
        <w:numPr>
          <w:ilvl w:val="3"/>
          <w:numId w:val="85"/>
        </w:numPr>
        <w:rPr/>
      </w:pPr>
      <w:r>
        <w:t xml:space="preserve"> Suivi « interne » ou de proximité</w:t>
      </w:r>
      <w:bookmarkEnd w:id="435"/>
      <w:r>
        <w:t xml:space="preserve"> </w:t>
      </w:r>
      <w:bookmarkEnd w:id="434"/>
    </w:p>
    <w:bookmarkStart w:id="436" w:name="_Toc284184169"/>
    <w:bookmarkStart w:id="437" w:name="_Toc284397536"/>
    <w:bookmarkStart w:id="438" w:name="_Toc284400714"/>
    <w:p>
      <w:pPr>
        <w:pStyle w:val="style0"/>
        <w:rPr>
          <w:rFonts w:eastAsia="Calibri"/>
          <w:u w:val="single"/>
        </w:rPr>
      </w:pPr>
      <w:r>
        <w:rPr>
          <w:rFonts w:eastAsia="Calibri"/>
        </w:rPr>
        <w:t>Le suivi interne portera sur les points suivants :</w:t>
      </w:r>
      <w:bookmarkStart w:id="439" w:name="_Toc284184170"/>
      <w:bookmarkStart w:id="440" w:name="_Toc284397537"/>
      <w:bookmarkStart w:id="441" w:name="_Toc284400715"/>
      <w:bookmarkEnd w:id="436"/>
      <w:bookmarkEnd w:id="437"/>
      <w:bookmarkEnd w:id="438"/>
    </w:p>
    <w:p>
      <w:pPr>
        <w:pStyle w:val="style0"/>
        <w:spacing w:lineRule="auto" w:line="276"/>
        <w:rPr>
          <w:rFonts w:eastAsia="Arial Unicode MS"/>
          <w:b/>
          <w:sz w:val="23"/>
          <w:szCs w:val="23"/>
          <w:u w:val="single"/>
        </w:rPr>
      </w:pPr>
      <w:r>
        <w:rPr>
          <w:rFonts w:eastAsia="Calibri"/>
          <w:b/>
          <w:sz w:val="23"/>
          <w:szCs w:val="23"/>
          <w:u w:val="single"/>
        </w:rPr>
        <w:t>Santé et Environnement :</w:t>
      </w:r>
      <w:bookmarkEnd w:id="439"/>
      <w:bookmarkEnd w:id="440"/>
      <w:bookmarkEnd w:id="441"/>
    </w:p>
    <w:p>
      <w:pPr>
        <w:pStyle w:val="style0"/>
        <w:numPr>
          <w:ilvl w:val="0"/>
          <w:numId w:val="50"/>
        </w:numPr>
        <w:ind w:left="714" w:hanging="357"/>
        <w:rPr>
          <w:rFonts w:eastAsia="Arial Unicode MS"/>
          <w:szCs w:val="23"/>
        </w:rPr>
      </w:pPr>
      <w:r>
        <w:rPr>
          <w:rFonts w:eastAsia="Calibri"/>
          <w:szCs w:val="23"/>
        </w:rPr>
        <w:t>degré de toxicité des produits utilisés ;</w:t>
      </w:r>
    </w:p>
    <w:p>
      <w:pPr>
        <w:pStyle w:val="style0"/>
        <w:numPr>
          <w:ilvl w:val="0"/>
          <w:numId w:val="50"/>
        </w:numPr>
        <w:ind w:left="714" w:hanging="357"/>
        <w:rPr>
          <w:rFonts w:eastAsia="Arial Unicode MS"/>
          <w:szCs w:val="23"/>
        </w:rPr>
      </w:pPr>
      <w:r>
        <w:rPr>
          <w:rFonts w:eastAsia="Calibri"/>
          <w:szCs w:val="23"/>
        </w:rPr>
        <w:t xml:space="preserve">nombre d’équipements de protection disponible </w:t>
      </w:r>
      <w:r>
        <w:rPr>
          <w:rFonts w:eastAsia="Calibri"/>
          <w:szCs w:val="23"/>
        </w:rPr>
        <w:t>et utilisés par les producteurs ;</w:t>
      </w:r>
    </w:p>
    <w:p>
      <w:pPr>
        <w:pStyle w:val="style0"/>
        <w:numPr>
          <w:ilvl w:val="0"/>
          <w:numId w:val="50"/>
        </w:numPr>
        <w:ind w:left="714" w:hanging="357"/>
        <w:rPr>
          <w:rFonts w:eastAsia="Arial Unicode MS"/>
          <w:szCs w:val="23"/>
        </w:rPr>
      </w:pPr>
      <w:r>
        <w:rPr>
          <w:rFonts w:eastAsia="Calibri"/>
          <w:szCs w:val="23"/>
        </w:rPr>
        <w:t>niveau de connaissance des bonnes pratiques de gestion (pesticides, emballages vides, etc.) ;</w:t>
      </w:r>
    </w:p>
    <w:p>
      <w:pPr>
        <w:pStyle w:val="style0"/>
        <w:numPr>
          <w:ilvl w:val="0"/>
          <w:numId w:val="50"/>
        </w:numPr>
        <w:ind w:left="714" w:hanging="357"/>
        <w:rPr>
          <w:rFonts w:eastAsia="Arial Unicode MS"/>
          <w:szCs w:val="23"/>
        </w:rPr>
      </w:pPr>
      <w:r>
        <w:rPr>
          <w:rFonts w:eastAsia="Calibri"/>
          <w:szCs w:val="23"/>
        </w:rPr>
        <w:t>nombre de maladies liées aux pesticides ;</w:t>
      </w:r>
    </w:p>
    <w:p>
      <w:pPr>
        <w:pStyle w:val="style0"/>
        <w:numPr>
          <w:ilvl w:val="0"/>
          <w:numId w:val="50"/>
        </w:numPr>
        <w:ind w:left="714" w:hanging="357"/>
        <w:rPr>
          <w:rFonts w:eastAsia="Arial Unicode MS"/>
          <w:szCs w:val="23"/>
        </w:rPr>
      </w:pPr>
      <w:r>
        <w:rPr>
          <w:rFonts w:eastAsia="Calibri"/>
          <w:szCs w:val="23"/>
        </w:rPr>
        <w:t>distance entre les champs et les cours d’eau ;</w:t>
      </w:r>
    </w:p>
    <w:p>
      <w:pPr>
        <w:pStyle w:val="style0"/>
        <w:numPr>
          <w:ilvl w:val="0"/>
          <w:numId w:val="50"/>
        </w:numPr>
        <w:ind w:left="714" w:hanging="357"/>
        <w:rPr>
          <w:rFonts w:eastAsia="Arial Unicode MS"/>
          <w:szCs w:val="23"/>
        </w:rPr>
      </w:pPr>
      <w:r>
        <w:rPr>
          <w:rFonts w:eastAsia="Calibri"/>
          <w:szCs w:val="23"/>
        </w:rPr>
        <w:t>niveau de sécurité et santé au travail pour les personnes manipulant et utilisant les produits ;</w:t>
      </w:r>
    </w:p>
    <w:p>
      <w:pPr>
        <w:pStyle w:val="style0"/>
        <w:numPr>
          <w:ilvl w:val="0"/>
          <w:numId w:val="50"/>
        </w:numPr>
        <w:ind w:left="714" w:hanging="357"/>
        <w:rPr>
          <w:rFonts w:eastAsia="Calibri"/>
          <w:szCs w:val="23"/>
        </w:rPr>
      </w:pPr>
      <w:r>
        <w:rPr>
          <w:rFonts w:eastAsia="Calibri"/>
          <w:szCs w:val="23"/>
        </w:rPr>
        <w:t>% du personnel manipulateur ayant fait l’objet de bilan médical ;</w:t>
      </w:r>
    </w:p>
    <w:p>
      <w:pPr>
        <w:pStyle w:val="style0"/>
        <w:numPr>
          <w:ilvl w:val="0"/>
          <w:numId w:val="50"/>
        </w:numPr>
        <w:ind w:left="714" w:hanging="357"/>
        <w:rPr>
          <w:rFonts w:eastAsia="Calibri"/>
          <w:szCs w:val="23"/>
        </w:rPr>
      </w:pPr>
      <w:r>
        <w:rPr>
          <w:rFonts w:eastAsia="Calibri"/>
          <w:szCs w:val="23"/>
        </w:rPr>
        <w:t>niveau de concentration de résidus sur les non cibles ;</w:t>
      </w:r>
    </w:p>
    <w:p>
      <w:pPr>
        <w:pStyle w:val="style0"/>
        <w:numPr>
          <w:ilvl w:val="0"/>
          <w:numId w:val="50"/>
        </w:numPr>
        <w:ind w:left="714" w:hanging="357"/>
        <w:rPr>
          <w:rFonts w:eastAsia="Calibri"/>
          <w:szCs w:val="23"/>
        </w:rPr>
      </w:pPr>
      <w:r>
        <w:rPr>
          <w:rFonts w:eastAsia="Calibri"/>
          <w:szCs w:val="23"/>
        </w:rPr>
        <w:t>niveau de toxicité des substances décomposées ;</w:t>
      </w:r>
    </w:p>
    <w:p>
      <w:pPr>
        <w:pStyle w:val="style0"/>
        <w:numPr>
          <w:ilvl w:val="0"/>
          <w:numId w:val="50"/>
        </w:numPr>
        <w:ind w:left="714" w:hanging="357"/>
        <w:rPr>
          <w:rFonts w:eastAsia="Calibri"/>
          <w:szCs w:val="23"/>
        </w:rPr>
      </w:pPr>
      <w:r>
        <w:rPr>
          <w:rFonts w:eastAsia="Calibri"/>
          <w:szCs w:val="23"/>
        </w:rPr>
        <w:t>niveau de contamination des ressources en eau et des sols.</w:t>
      </w:r>
    </w:p>
    <w:p>
      <w:pPr>
        <w:pStyle w:val="style0"/>
        <w:spacing w:lineRule="auto" w:line="276"/>
        <w:ind w:left="720"/>
        <w:rPr>
          <w:rFonts w:eastAsia="Calibri"/>
          <w:sz w:val="23"/>
          <w:szCs w:val="23"/>
        </w:rPr>
      </w:pPr>
    </w:p>
    <w:bookmarkStart w:id="442" w:name="_Toc284184171"/>
    <w:bookmarkStart w:id="443" w:name="_Toc284397538"/>
    <w:bookmarkStart w:id="444" w:name="_Toc284400716"/>
    <w:p>
      <w:pPr>
        <w:pStyle w:val="style0"/>
        <w:spacing w:lineRule="auto" w:line="276"/>
        <w:rPr>
          <w:rFonts w:eastAsia="Calibri"/>
          <w:b/>
          <w:sz w:val="23"/>
          <w:szCs w:val="23"/>
          <w:u w:val="single"/>
        </w:rPr>
      </w:pPr>
      <w:r>
        <w:rPr>
          <w:rFonts w:eastAsia="Calibri"/>
          <w:b/>
          <w:sz w:val="23"/>
          <w:szCs w:val="23"/>
          <w:u w:val="single"/>
        </w:rPr>
        <w:t>Conditions de stockage / gestion des pesticides et des emballages vides</w:t>
      </w:r>
      <w:bookmarkEnd w:id="442"/>
      <w:bookmarkEnd w:id="443"/>
      <w:bookmarkEnd w:id="444"/>
      <w:r>
        <w:rPr>
          <w:rFonts w:eastAsia="Calibri"/>
          <w:b/>
          <w:sz w:val="23"/>
          <w:szCs w:val="23"/>
          <w:u w:val="single"/>
        </w:rPr>
        <w:t> </w:t>
      </w:r>
    </w:p>
    <w:p>
      <w:pPr>
        <w:pStyle w:val="style0"/>
        <w:numPr>
          <w:ilvl w:val="0"/>
          <w:numId w:val="6"/>
        </w:numPr>
        <w:rPr>
          <w:rFonts w:eastAsia="Calibri"/>
          <w:szCs w:val="23"/>
        </w:rPr>
      </w:pPr>
      <w:r>
        <w:rPr>
          <w:rFonts w:eastAsia="Calibri"/>
          <w:szCs w:val="23"/>
        </w:rPr>
        <w:t>% des installations d’entreposage disponibles et adéquates au niveau des promoteurs ;</w:t>
      </w:r>
    </w:p>
    <w:p>
      <w:pPr>
        <w:pStyle w:val="style0"/>
        <w:numPr>
          <w:ilvl w:val="0"/>
          <w:numId w:val="6"/>
        </w:numPr>
        <w:rPr>
          <w:rFonts w:eastAsia="Calibri"/>
          <w:szCs w:val="23"/>
        </w:rPr>
      </w:pPr>
      <w:r>
        <w:rPr>
          <w:rFonts w:eastAsia="Calibri"/>
          <w:szCs w:val="23"/>
        </w:rPr>
        <w:t>nombre / % de mauvaises pratiques (par exemple mauvais entreposage des pesticides);</w:t>
      </w:r>
    </w:p>
    <w:p>
      <w:pPr>
        <w:pStyle w:val="style0"/>
        <w:numPr>
          <w:ilvl w:val="0"/>
          <w:numId w:val="6"/>
        </w:numPr>
        <w:rPr>
          <w:rFonts w:eastAsia="Calibri"/>
          <w:szCs w:val="23"/>
        </w:rPr>
      </w:pPr>
      <w:r>
        <w:rPr>
          <w:rFonts w:eastAsia="Calibri"/>
          <w:szCs w:val="23"/>
        </w:rPr>
        <w:t>niveau des risques associés au transport et à l’entreposage ;</w:t>
      </w:r>
    </w:p>
    <w:p>
      <w:pPr>
        <w:pStyle w:val="style0"/>
        <w:numPr>
          <w:ilvl w:val="0"/>
          <w:numId w:val="6"/>
        </w:numPr>
        <w:rPr>
          <w:rFonts w:eastAsia="Calibri"/>
          <w:szCs w:val="23"/>
        </w:rPr>
      </w:pPr>
      <w:r>
        <w:rPr>
          <w:rFonts w:eastAsia="Calibri"/>
          <w:szCs w:val="23"/>
        </w:rPr>
        <w:t>étiquetage des emballages de pesticides ;</w:t>
      </w:r>
    </w:p>
    <w:p>
      <w:pPr>
        <w:pStyle w:val="style0"/>
        <w:numPr>
          <w:ilvl w:val="0"/>
          <w:numId w:val="6"/>
        </w:numPr>
        <w:rPr>
          <w:rFonts w:eastAsia="Calibri"/>
          <w:szCs w:val="23"/>
        </w:rPr>
      </w:pPr>
      <w:r>
        <w:rPr>
          <w:rFonts w:eastAsia="Calibri"/>
          <w:szCs w:val="23"/>
        </w:rPr>
        <w:t>gestion des déchets / des produits inutilisés ;</w:t>
      </w:r>
    </w:p>
    <w:p>
      <w:pPr>
        <w:pStyle w:val="style0"/>
        <w:numPr>
          <w:ilvl w:val="0"/>
          <w:numId w:val="6"/>
        </w:numPr>
        <w:rPr>
          <w:rFonts w:eastAsia="Calibri"/>
          <w:szCs w:val="23"/>
        </w:rPr>
      </w:pPr>
      <w:r>
        <w:rPr>
          <w:rFonts w:eastAsia="Calibri"/>
          <w:szCs w:val="23"/>
        </w:rPr>
        <w:t xml:space="preserve">disponibilité des matériels appropriés de pulvérisation et d’imprégnation ; </w:t>
      </w:r>
    </w:p>
    <w:p>
      <w:pPr>
        <w:pStyle w:val="style0"/>
        <w:numPr>
          <w:ilvl w:val="0"/>
          <w:numId w:val="6"/>
        </w:numPr>
        <w:rPr>
          <w:rFonts w:eastAsia="Calibri"/>
          <w:szCs w:val="23"/>
        </w:rPr>
      </w:pPr>
      <w:r>
        <w:rPr>
          <w:rFonts w:eastAsia="Calibri"/>
          <w:szCs w:val="23"/>
        </w:rPr>
        <w:t>niveau de maîtrise des procédés de pulvérisation et d’imprégnation.</w:t>
      </w:r>
    </w:p>
    <w:p>
      <w:pPr>
        <w:pStyle w:val="style0"/>
        <w:ind w:left="720"/>
        <w:rPr>
          <w:rFonts w:eastAsia="Calibri"/>
          <w:sz w:val="23"/>
          <w:szCs w:val="23"/>
        </w:rPr>
      </w:pPr>
    </w:p>
    <w:bookmarkStart w:id="445" w:name="_Toc284184172"/>
    <w:bookmarkStart w:id="446" w:name="_Toc284397539"/>
    <w:bookmarkStart w:id="447" w:name="_Toc284400717"/>
    <w:p>
      <w:pPr>
        <w:pStyle w:val="style0"/>
        <w:spacing w:lineRule="auto" w:line="276"/>
        <w:rPr>
          <w:rFonts w:eastAsia="Calibri"/>
          <w:b/>
          <w:sz w:val="23"/>
          <w:szCs w:val="23"/>
          <w:u w:val="single"/>
        </w:rPr>
      </w:pPr>
      <w:r>
        <w:rPr>
          <w:rFonts w:eastAsia="Calibri"/>
          <w:b/>
          <w:sz w:val="23"/>
          <w:szCs w:val="23"/>
          <w:u w:val="single"/>
        </w:rPr>
        <w:t>Formation du personnel - Information/sensibilisation des populations</w:t>
      </w:r>
      <w:bookmarkEnd w:id="445"/>
      <w:bookmarkEnd w:id="446"/>
      <w:bookmarkEnd w:id="447"/>
    </w:p>
    <w:p>
      <w:pPr>
        <w:pStyle w:val="style0"/>
        <w:numPr>
          <w:ilvl w:val="0"/>
          <w:numId w:val="27"/>
        </w:numPr>
        <w:ind w:left="714" w:hanging="357"/>
        <w:rPr>
          <w:rFonts w:eastAsia="Calibri"/>
          <w:szCs w:val="23"/>
        </w:rPr>
      </w:pPr>
      <w:r>
        <w:rPr>
          <w:rFonts w:eastAsia="Calibri"/>
          <w:szCs w:val="23"/>
        </w:rPr>
        <w:t>nombre de modules et de guides de formation élaborés ;</w:t>
      </w:r>
    </w:p>
    <w:p>
      <w:pPr>
        <w:pStyle w:val="style0"/>
        <w:numPr>
          <w:ilvl w:val="0"/>
          <w:numId w:val="27"/>
        </w:numPr>
        <w:ind w:left="714" w:hanging="357"/>
        <w:rPr>
          <w:rFonts w:eastAsia="Calibri"/>
          <w:szCs w:val="23"/>
        </w:rPr>
      </w:pPr>
      <w:r>
        <w:rPr>
          <w:rFonts w:eastAsia="Calibri"/>
          <w:szCs w:val="23"/>
        </w:rPr>
        <w:t xml:space="preserve">nombre de sessions de formation effectuées ; </w:t>
      </w:r>
    </w:p>
    <w:p>
      <w:pPr>
        <w:pStyle w:val="style0"/>
        <w:numPr>
          <w:ilvl w:val="0"/>
          <w:numId w:val="27"/>
        </w:numPr>
        <w:ind w:left="714" w:hanging="357"/>
        <w:rPr>
          <w:rFonts w:eastAsia="Calibri"/>
          <w:szCs w:val="23"/>
        </w:rPr>
      </w:pPr>
      <w:r>
        <w:rPr>
          <w:rFonts w:eastAsia="Calibri"/>
          <w:szCs w:val="23"/>
        </w:rPr>
        <w:t>nombre d’outils d’IEC élaborés ;</w:t>
      </w:r>
    </w:p>
    <w:p>
      <w:pPr>
        <w:pStyle w:val="style0"/>
        <w:numPr>
          <w:ilvl w:val="0"/>
          <w:numId w:val="27"/>
        </w:numPr>
        <w:ind w:left="714" w:hanging="357"/>
        <w:rPr>
          <w:rFonts w:eastAsia="Calibri"/>
          <w:szCs w:val="23"/>
        </w:rPr>
      </w:pPr>
      <w:r>
        <w:rPr>
          <w:rFonts w:eastAsia="Calibri"/>
          <w:szCs w:val="23"/>
        </w:rPr>
        <w:t xml:space="preserve">nombre d’agents formés par catégorie ; </w:t>
      </w:r>
    </w:p>
    <w:p>
      <w:pPr>
        <w:pStyle w:val="style0"/>
        <w:numPr>
          <w:ilvl w:val="0"/>
          <w:numId w:val="27"/>
        </w:numPr>
        <w:ind w:left="714" w:hanging="357"/>
        <w:rPr>
          <w:rFonts w:eastAsia="Calibri"/>
          <w:szCs w:val="23"/>
        </w:rPr>
      </w:pPr>
      <w:r>
        <w:rPr>
          <w:rFonts w:eastAsia="Calibri"/>
          <w:szCs w:val="23"/>
        </w:rPr>
        <w:t>% de promoteurs et de leurs agents touchés par les campagnes de sensibilisation ;</w:t>
      </w:r>
    </w:p>
    <w:p>
      <w:pPr>
        <w:pStyle w:val="style0"/>
        <w:numPr>
          <w:ilvl w:val="0"/>
          <w:numId w:val="27"/>
        </w:numPr>
        <w:ind w:left="714" w:hanging="357"/>
        <w:rPr>
          <w:rFonts w:eastAsia="Calibri"/>
          <w:szCs w:val="23"/>
        </w:rPr>
      </w:pPr>
      <w:r>
        <w:rPr>
          <w:rFonts w:eastAsia="Calibri"/>
          <w:szCs w:val="23"/>
        </w:rPr>
        <w:t>niveau de connaissance des utilisateurs sur les produits et les risques associés ;</w:t>
      </w:r>
    </w:p>
    <w:p>
      <w:pPr>
        <w:pStyle w:val="style0"/>
        <w:numPr>
          <w:ilvl w:val="0"/>
          <w:numId w:val="27"/>
        </w:numPr>
        <w:ind w:left="714" w:hanging="357"/>
        <w:rPr>
          <w:rFonts w:eastAsia="Calibri"/>
          <w:szCs w:val="23"/>
        </w:rPr>
      </w:pPr>
      <w:r>
        <w:rPr>
          <w:rFonts w:eastAsia="Calibri"/>
          <w:szCs w:val="23"/>
        </w:rPr>
        <w:t xml:space="preserve">niveau de connaissance des commerçants/distributeurs sur les produits vendus. </w:t>
      </w:r>
    </w:p>
    <w:p>
      <w:pPr>
        <w:pStyle w:val="style0"/>
        <w:spacing w:lineRule="auto" w:line="276"/>
        <w:ind w:left="720"/>
        <w:rPr>
          <w:rFonts w:eastAsia="Calibri"/>
          <w:sz w:val="23"/>
          <w:szCs w:val="23"/>
        </w:rPr>
      </w:pPr>
    </w:p>
    <w:bookmarkStart w:id="448" w:name="_Toc284400718"/>
    <w:bookmarkStart w:id="449" w:name="_Toc458331351"/>
    <w:bookmarkStart w:id="450" w:name="_Toc462221594"/>
    <w:bookmarkStart w:id="451" w:name="_Toc514190174"/>
    <w:bookmarkStart w:id="452" w:name="_Toc249972179"/>
    <w:bookmarkStart w:id="453" w:name="_Toc114969130"/>
    <w:bookmarkStart w:id="454" w:name="_Toc129856489"/>
    <w:bookmarkStart w:id="455" w:name="_Toc233465136"/>
    <w:p>
      <w:pPr>
        <w:pStyle w:val="style4"/>
        <w:numPr>
          <w:ilvl w:val="3"/>
          <w:numId w:val="85"/>
        </w:numPr>
        <w:rPr/>
      </w:pPr>
      <w:r>
        <w:t>Suivi « externe », réalisé par les Services Techniques de l’Etat</w:t>
      </w:r>
      <w:bookmarkEnd w:id="448"/>
      <w:bookmarkEnd w:id="449"/>
      <w:bookmarkEnd w:id="450"/>
      <w:bookmarkEnd w:id="451"/>
    </w:p>
    <w:p>
      <w:pPr>
        <w:pStyle w:val="style0"/>
        <w:rPr>
          <w:rFonts w:eastAsia="Calibri"/>
        </w:rPr>
      </w:pPr>
      <w:r>
        <w:rPr>
          <w:rFonts w:eastAsia="Calibri"/>
        </w:rPr>
        <w:t xml:space="preserve">Ce suivi </w:t>
      </w:r>
      <w:r>
        <w:rPr>
          <w:rFonts w:eastAsia="Calibri"/>
        </w:rPr>
        <w:t>sera</w:t>
      </w:r>
      <w:r>
        <w:rPr>
          <w:rFonts w:eastAsia="Calibri"/>
        </w:rPr>
        <w:t xml:space="preserve"> réalisé par les services techniques de l’Etat, au premier rang desquels on note la DPVC avec les DPAAH au niveau décentralisé, mais aussi le BUNEE, la DGPE dans le cadre de leurs missions régaliennes. Ce suivi externe portera sur les mêmes indicateurs que ceux définis ci-dessus. Un expert indépendant se char</w:t>
      </w:r>
      <w:r>
        <w:rPr>
          <w:rFonts w:eastAsia="Calibri"/>
        </w:rPr>
        <w:t>gera à mi-parcours, et en fin du</w:t>
      </w:r>
      <w:r>
        <w:rPr>
          <w:rFonts w:eastAsia="Calibri"/>
        </w:rPr>
        <w:t xml:space="preserve"> pro</w:t>
      </w:r>
      <w:r>
        <w:rPr>
          <w:rFonts w:eastAsia="Calibri"/>
        </w:rPr>
        <w:t>gramme</w:t>
      </w:r>
      <w:r>
        <w:rPr>
          <w:rFonts w:eastAsia="Calibri"/>
        </w:rPr>
        <w:t>, d’un audit afin que des ajustements soi</w:t>
      </w:r>
      <w:r>
        <w:rPr>
          <w:rFonts w:eastAsia="Calibri"/>
        </w:rPr>
        <w:t>en</w:t>
      </w:r>
      <w:r>
        <w:rPr>
          <w:rFonts w:eastAsia="Calibri"/>
        </w:rPr>
        <w:t xml:space="preserve">t </w:t>
      </w:r>
      <w:r>
        <w:rPr>
          <w:rFonts w:eastAsia="Calibri"/>
        </w:rPr>
        <w:t>port</w:t>
      </w:r>
      <w:r>
        <w:rPr>
          <w:rFonts w:eastAsia="Calibri"/>
        </w:rPr>
        <w:t>é</w:t>
      </w:r>
      <w:r>
        <w:rPr>
          <w:rFonts w:eastAsia="Calibri"/>
        </w:rPr>
        <w:t>s</w:t>
      </w:r>
      <w:r>
        <w:rPr>
          <w:rFonts w:eastAsia="Calibri"/>
        </w:rPr>
        <w:t xml:space="preserve"> (si besoin est)</w:t>
      </w:r>
      <w:r>
        <w:rPr>
          <w:rFonts w:eastAsia="Calibri"/>
        </w:rPr>
        <w:t xml:space="preserve"> </w:t>
      </w:r>
      <w:r>
        <w:rPr>
          <w:rFonts w:eastAsia="Calibri"/>
        </w:rPr>
        <w:t>dans</w:t>
      </w:r>
      <w:r>
        <w:rPr>
          <w:rFonts w:eastAsia="Calibri"/>
        </w:rPr>
        <w:t xml:space="preserve"> </w:t>
      </w:r>
      <w:r>
        <w:rPr>
          <w:rFonts w:eastAsia="Calibri"/>
        </w:rPr>
        <w:t>la mise en œuvre du pro</w:t>
      </w:r>
      <w:r>
        <w:rPr>
          <w:rFonts w:eastAsia="Calibri"/>
        </w:rPr>
        <w:t>gramme</w:t>
      </w:r>
      <w:r>
        <w:rPr>
          <w:rFonts w:eastAsia="Calibri"/>
        </w:rPr>
        <w:t xml:space="preserve">.  </w:t>
      </w:r>
      <w:bookmarkEnd w:id="452"/>
      <w:bookmarkEnd w:id="453"/>
      <w:bookmarkEnd w:id="454"/>
      <w:bookmarkEnd w:id="455"/>
    </w:p>
    <w:p>
      <w:pPr>
        <w:pStyle w:val="style0"/>
        <w:spacing w:lineRule="auto" w:line="276"/>
        <w:rPr>
          <w:rFonts w:eastAsia="Calibri"/>
          <w:sz w:val="23"/>
          <w:szCs w:val="23"/>
        </w:rPr>
      </w:pPr>
    </w:p>
    <w:bookmarkStart w:id="456" w:name="_Toc2831229"/>
    <w:p>
      <w:pPr>
        <w:pStyle w:val="style2"/>
        <w:numPr>
          <w:ilvl w:val="1"/>
          <w:numId w:val="85"/>
        </w:numPr>
        <w:rPr/>
      </w:pPr>
      <w:r>
        <w:t>Arrangement</w:t>
      </w:r>
      <w:r>
        <w:t>s</w:t>
      </w:r>
      <w:r>
        <w:t xml:space="preserve"> institutionnels de suivi de la mise en œuvre du MGIP</w:t>
      </w:r>
      <w:bookmarkEnd w:id="456"/>
      <w:r>
        <w:t xml:space="preserve"> </w:t>
      </w:r>
    </w:p>
    <w:p>
      <w:pPr>
        <w:pStyle w:val="style0"/>
        <w:rPr>
          <w:rFonts w:eastAsia="Calibri"/>
        </w:rPr>
      </w:pPr>
      <w:r>
        <w:rPr>
          <w:rFonts w:eastAsia="Calibri"/>
        </w:rPr>
        <w:t xml:space="preserve">La mise en œuvre des mesures d’atténuation des effets pervers de la gestion des pestes et d’utilisation des pesticides est une préoccupation </w:t>
      </w:r>
      <w:r>
        <w:rPr>
          <w:rFonts w:eastAsia="Calibri"/>
        </w:rPr>
        <w:t>pour beaucoup d’intervenant</w:t>
      </w:r>
      <w:r>
        <w:rPr>
          <w:rFonts w:eastAsia="Calibri"/>
        </w:rPr>
        <w:t>s</w:t>
      </w:r>
      <w:r>
        <w:rPr>
          <w:rFonts w:eastAsia="Calibri"/>
        </w:rPr>
        <w:t xml:space="preserve"> et </w:t>
      </w:r>
      <w:r>
        <w:rPr>
          <w:rFonts w:eastAsia="Calibri"/>
        </w:rPr>
        <w:t xml:space="preserve">nécessite la participation d'une large gamme d’acteurs. </w:t>
      </w:r>
      <w:r>
        <w:rPr>
          <w:rFonts w:eastAsia="Calibri"/>
        </w:rPr>
        <w:t xml:space="preserve">Les activités de développement de la production dans le cadre du PDCA, avec le développement de l’irrigation, la construction de routes, peuvent aboutir </w:t>
      </w:r>
      <w:r>
        <w:t>à la création de gîtes (habitats) convenables pour les vecteurs.</w:t>
      </w:r>
      <w:r>
        <w:rPr>
          <w:rFonts w:eastAsia="Calibri"/>
        </w:rPr>
        <w:t xml:space="preserve">  </w:t>
      </w:r>
      <w:r>
        <w:t xml:space="preserve">De plus, pour une </w:t>
      </w:r>
      <w:r>
        <w:t xml:space="preserve">utilisation sans danger et appropriée des </w:t>
      </w:r>
      <w:r>
        <w:t>pesticides</w:t>
      </w:r>
      <w:r>
        <w:t>, y compris le contrôle de qualité et la gestion de la résistance, une collaboration intersectorielle</w:t>
      </w:r>
      <w:r>
        <w:t xml:space="preserve"> est plus que nécessaire</w:t>
      </w:r>
      <w:r>
        <w:t>.</w:t>
      </w:r>
      <w:r>
        <w:rPr>
          <w:rFonts w:eastAsia="Calibri"/>
        </w:rPr>
        <w:t xml:space="preserve"> </w:t>
      </w:r>
    </w:p>
    <w:p>
      <w:pPr>
        <w:pStyle w:val="style0"/>
        <w:rPr>
          <w:rFonts w:eastAsia="Calibri"/>
        </w:rPr>
      </w:pPr>
      <w:r>
        <w:t>Plusieurs acteurs sont impliqués individuellement ou en partenariat dans la mise en œuvre des actions prévues.</w:t>
      </w:r>
      <w:r>
        <w:rPr>
          <w:rFonts w:eastAsia="Calibri"/>
        </w:rPr>
        <w:t xml:space="preserve"> </w:t>
      </w:r>
      <w:r>
        <w:rPr>
          <w:rFonts w:eastAsia="Calibri"/>
        </w:rPr>
        <w:t>Les programmes et projets intervenant dans le domaine</w:t>
      </w:r>
      <w:r>
        <w:rPr>
          <w:rFonts w:eastAsia="Calibri"/>
        </w:rPr>
        <w:t xml:space="preserve">, dont certains avec l’appui de Banque mondiale, </w:t>
      </w:r>
      <w:r>
        <w:rPr>
          <w:rFonts w:eastAsia="Calibri"/>
        </w:rPr>
        <w:t xml:space="preserve">devraient être impliqués pour jouer un rôle important dans la mise en œuvre des activités du programme, avec une mutualisation possible des moyens et une synergie d’action sur le terrain. </w:t>
      </w:r>
    </w:p>
    <w:p>
      <w:pPr>
        <w:pStyle w:val="style0"/>
        <w:rPr>
          <w:rFonts w:eastAsia="Calibri"/>
        </w:rPr>
      </w:pPr>
      <w:r>
        <w:t xml:space="preserve">La gestion des pestes et </w:t>
      </w:r>
      <w:r>
        <w:t xml:space="preserve">l’utilisation des </w:t>
      </w:r>
      <w:r>
        <w:t>pesticides nécessite</w:t>
      </w:r>
      <w:r>
        <w:t>nt</w:t>
      </w:r>
      <w:r>
        <w:t xml:space="preserve"> une collaboration franche et étroite entre les services du </w:t>
      </w:r>
      <w:r>
        <w:t>ministère en charge de l’agriculture, à travers notamment la DPVC. Pour le développement de l’irrigation, la DGHADI serait associé</w:t>
      </w:r>
      <w:r>
        <w:t>e</w:t>
      </w:r>
      <w:r>
        <w:t>. De plus, la CNGP serait associé</w:t>
      </w:r>
      <w:r>
        <w:t>e</w:t>
      </w:r>
      <w:r>
        <w:t xml:space="preserve"> avec l’implication effective des CRTP pour une prise en compte des acteurs au niveau local. Cette gestion impliquerait également le Ministère en charge de la santé (PNLP), celui en charge de l’environnement avec notamment le BUNEE et la DGPE, </w:t>
      </w:r>
      <w:r>
        <w:t xml:space="preserve">mais aussi les centres et les laboratoires de recherche comme </w:t>
      </w:r>
      <w:r>
        <w:t xml:space="preserve">l’INERA, </w:t>
      </w:r>
      <w:r>
        <w:t xml:space="preserve">LNSP, l’IRSS et le </w:t>
      </w:r>
      <w:r>
        <w:t>LAQE. Pour la gestion des emballa</w:t>
      </w:r>
      <w:r>
        <w:t>ge</w:t>
      </w:r>
      <w:r>
        <w:t>s vides de pesticides, la SAPHYTO</w:t>
      </w:r>
      <w:r>
        <w:t xml:space="preserve"> qui</w:t>
      </w:r>
      <w:r>
        <w:t xml:space="preserve"> œuvre à la mise en place d’un </w:t>
      </w:r>
      <w:r>
        <w:t>incinérateur à Bobo Dioulasso, sera associé</w:t>
      </w:r>
      <w:r>
        <w:t>e</w:t>
      </w:r>
      <w:r>
        <w:t xml:space="preserve">. </w:t>
      </w:r>
      <w:r>
        <w:t>Ce</w:t>
      </w:r>
      <w:r>
        <w:rPr>
          <w:rFonts w:eastAsia="Calibri"/>
        </w:rPr>
        <w:t xml:space="preserve"> sont autant d’acteurs importants dans la réalisation des objectifs visés par le PGP. </w:t>
      </w:r>
      <w:r>
        <w:rPr>
          <w:rFonts w:eastAsia="Calibri"/>
        </w:rPr>
        <w:t>Ainsi, l’Unité Nationale de Coordination (UNC) du pr</w:t>
      </w:r>
      <w:r>
        <w:rPr>
          <w:rFonts w:eastAsia="Calibri"/>
        </w:rPr>
        <w:t>ogramme, et les Unités Régionales</w:t>
      </w:r>
      <w:r>
        <w:rPr>
          <w:rFonts w:eastAsia="Calibri"/>
        </w:rPr>
        <w:t xml:space="preserve"> de Coordination (URC), travailleron</w:t>
      </w:r>
      <w:r>
        <w:rPr>
          <w:rFonts w:eastAsia="Calibri"/>
        </w:rPr>
        <w:t>t</w:t>
      </w:r>
      <w:r>
        <w:rPr>
          <w:rFonts w:eastAsia="Calibri"/>
        </w:rPr>
        <w:t xml:space="preserve"> en étroite collaboration avec les acteurs</w:t>
      </w:r>
      <w:r>
        <w:rPr>
          <w:rFonts w:eastAsia="Calibri"/>
        </w:rPr>
        <w:t xml:space="preserve"> de terrain, pour la gestion des pestes et l’utilisation des pesticides. </w:t>
      </w:r>
      <w:r>
        <w:rPr>
          <w:rFonts w:eastAsia="Calibri"/>
        </w:rPr>
        <w:t xml:space="preserve">Le tableau 22 indique le type de contrat de collaboration et le domaine d’activité à établir avec les acteurs identifiés. </w:t>
      </w:r>
    </w:p>
    <w:bookmarkStart w:id="457" w:name="_Toc260229"/>
    <w:p>
      <w:pPr>
        <w:pStyle w:val="style34"/>
        <w:keepNext/>
        <w:rPr>
          <w:sz w:val="20"/>
          <w:szCs w:val="20"/>
        </w:rPr>
      </w:pPr>
    </w:p>
    <w:p>
      <w:pPr>
        <w:pStyle w:val="style34"/>
        <w:keepNext/>
        <w:rPr>
          <w:sz w:val="20"/>
          <w:szCs w:val="20"/>
        </w:rPr>
      </w:pPr>
      <w:r>
        <w:rPr>
          <w:sz w:val="20"/>
          <w:szCs w:val="20"/>
        </w:rPr>
        <w:t xml:space="preserve">Tableau </w:t>
      </w:r>
      <w:r>
        <w:rPr>
          <w:sz w:val="20"/>
          <w:szCs w:val="20"/>
        </w:rPr>
        <w:fldChar w:fldCharType="begin"/>
      </w:r>
      <w:r>
        <w:rPr>
          <w:sz w:val="20"/>
          <w:szCs w:val="20"/>
        </w:rPr>
        <w:instrText xml:space="preserve"> </w:instrText>
      </w:r>
      <w:r>
        <w:rPr>
          <w:sz w:val="20"/>
          <w:szCs w:val="20"/>
        </w:rPr>
        <w:instrText>SEQ</w:instrText>
      </w:r>
      <w:r>
        <w:rPr>
          <w:sz w:val="20"/>
          <w:szCs w:val="20"/>
        </w:rPr>
        <w:instrText xml:space="preserve"> Tableau \* ARABIC </w:instrText>
      </w:r>
      <w:r>
        <w:rPr>
          <w:sz w:val="20"/>
          <w:szCs w:val="20"/>
        </w:rPr>
        <w:fldChar w:fldCharType="separate"/>
      </w:r>
      <w:r>
        <w:rPr>
          <w:noProof/>
          <w:sz w:val="20"/>
          <w:szCs w:val="20"/>
        </w:rPr>
        <w:t>22</w:t>
      </w:r>
      <w:r>
        <w:rPr>
          <w:sz w:val="20"/>
          <w:szCs w:val="20"/>
        </w:rPr>
        <w:fldChar w:fldCharType="end"/>
      </w:r>
      <w:r>
        <w:rPr>
          <w:rFonts w:eastAsia="Calibri"/>
          <w:i/>
          <w:iCs/>
          <w:color w:val="1f497d"/>
          <w:sz w:val="20"/>
          <w:szCs w:val="20"/>
        </w:rPr>
        <w:t> :</w:t>
      </w:r>
      <w:r>
        <w:rPr>
          <w:rFonts w:eastAsia="Calibri"/>
          <w:i/>
          <w:iCs/>
          <w:color w:val="1f497d"/>
          <w:sz w:val="20"/>
          <w:szCs w:val="20"/>
        </w:rPr>
        <w:t>Proposition de collaboration entre le PDCA</w:t>
      </w:r>
      <w:r>
        <w:rPr>
          <w:rFonts w:eastAsia="Calibri"/>
          <w:i/>
          <w:iCs/>
          <w:color w:val="1f497d"/>
          <w:sz w:val="20"/>
          <w:szCs w:val="20"/>
        </w:rPr>
        <w:t xml:space="preserve"> et d’autre partenaires</w:t>
      </w:r>
      <w:bookmarkEnd w:id="457"/>
      <w:r>
        <w:rPr>
          <w:rFonts w:eastAsia="Calibri"/>
          <w:i/>
          <w:iCs/>
          <w:color w:val="1f497d"/>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1674"/>
        <w:gridCol w:w="4280"/>
      </w:tblGrid>
      <w:tr>
        <w:trPr/>
        <w:tc>
          <w:tcPr>
            <w:tcW w:w="0" w:type="auto"/>
            <w:tcBorders/>
            <w:shd w:val="clear" w:color="auto" w:fill="d9d9d9"/>
          </w:tcPr>
          <w:p>
            <w:pPr>
              <w:pStyle w:val="style0"/>
              <w:spacing w:lineRule="auto" w:line="276"/>
              <w:rPr>
                <w:b/>
                <w:sz w:val="23"/>
                <w:szCs w:val="23"/>
              </w:rPr>
            </w:pPr>
            <w:r>
              <w:rPr>
                <w:b/>
                <w:sz w:val="23"/>
                <w:szCs w:val="23"/>
              </w:rPr>
              <w:t xml:space="preserve">Activités </w:t>
            </w:r>
          </w:p>
        </w:tc>
        <w:tc>
          <w:tcPr>
            <w:tcW w:w="0" w:type="auto"/>
            <w:tcBorders/>
            <w:shd w:val="clear" w:color="auto" w:fill="d9d9d9"/>
          </w:tcPr>
          <w:p>
            <w:pPr>
              <w:pStyle w:val="style0"/>
              <w:spacing w:lineRule="auto" w:line="276"/>
              <w:rPr>
                <w:b/>
                <w:sz w:val="23"/>
                <w:szCs w:val="23"/>
              </w:rPr>
            </w:pPr>
            <w:r>
              <w:rPr>
                <w:b/>
                <w:sz w:val="23"/>
                <w:szCs w:val="23"/>
              </w:rPr>
              <w:t>Structures responsables</w:t>
            </w:r>
          </w:p>
        </w:tc>
        <w:tc>
          <w:tcPr>
            <w:tcW w:w="0" w:type="auto"/>
            <w:tcBorders/>
            <w:shd w:val="clear" w:color="auto" w:fill="d9d9d9"/>
          </w:tcPr>
          <w:p>
            <w:pPr>
              <w:pStyle w:val="style0"/>
              <w:spacing w:lineRule="auto" w:line="276"/>
              <w:rPr>
                <w:b/>
                <w:sz w:val="23"/>
                <w:szCs w:val="23"/>
              </w:rPr>
            </w:pPr>
            <w:r>
              <w:rPr>
                <w:b/>
                <w:sz w:val="23"/>
                <w:szCs w:val="23"/>
              </w:rPr>
              <w:t>Modalités collaboration</w:t>
            </w:r>
          </w:p>
        </w:tc>
      </w:tr>
      <w:tr>
        <w:tblPrEx/>
        <w:trPr/>
        <w:tc>
          <w:tcPr>
            <w:tcW w:w="0" w:type="auto"/>
            <w:tcBorders/>
            <w:vAlign w:val="center"/>
          </w:tcPr>
          <w:p>
            <w:pPr>
              <w:pStyle w:val="style0"/>
              <w:autoSpaceDE w:val="false"/>
              <w:autoSpaceDN w:val="false"/>
              <w:adjustRightInd w:val="false"/>
              <w:spacing w:lineRule="auto" w:line="276"/>
              <w:rPr>
                <w:sz w:val="23"/>
                <w:szCs w:val="23"/>
              </w:rPr>
            </w:pPr>
            <w:r>
              <w:rPr>
                <w:bCs/>
                <w:sz w:val="23"/>
                <w:szCs w:val="23"/>
              </w:rPr>
              <w:t>Promotion de l’usage de stratégies alternatives de lutte</w:t>
            </w:r>
          </w:p>
        </w:tc>
        <w:tc>
          <w:tcPr>
            <w:tcW w:w="0" w:type="auto"/>
            <w:tcBorders/>
          </w:tcPr>
          <w:p>
            <w:pPr>
              <w:pStyle w:val="style0"/>
              <w:spacing w:lineRule="auto" w:line="276"/>
              <w:rPr>
                <w:sz w:val="23"/>
                <w:szCs w:val="23"/>
              </w:rPr>
            </w:pPr>
            <w:r>
              <w:rPr>
                <w:sz w:val="23"/>
                <w:szCs w:val="23"/>
              </w:rPr>
              <w:t>DPVC, INERA,</w:t>
            </w:r>
            <w:r>
              <w:rPr>
                <w:sz w:val="23"/>
                <w:szCs w:val="23"/>
              </w:rPr>
              <w:t xml:space="preserve"> CRTP</w:t>
            </w:r>
            <w:r>
              <w:rPr>
                <w:sz w:val="23"/>
                <w:szCs w:val="23"/>
              </w:rPr>
              <w:t xml:space="preserve"> </w:t>
            </w:r>
          </w:p>
        </w:tc>
        <w:tc>
          <w:tcPr>
            <w:tcW w:w="0" w:type="auto"/>
            <w:tcBorders/>
          </w:tcPr>
          <w:p>
            <w:pPr>
              <w:pStyle w:val="style0"/>
              <w:spacing w:lineRule="auto" w:line="276"/>
              <w:rPr>
                <w:sz w:val="23"/>
                <w:szCs w:val="23"/>
              </w:rPr>
            </w:pPr>
            <w:r>
              <w:rPr>
                <w:sz w:val="23"/>
                <w:szCs w:val="23"/>
              </w:rPr>
              <w:t>Contrats de prestation de service à établir avec la coordination du pro</w:t>
            </w:r>
            <w:r>
              <w:rPr>
                <w:sz w:val="23"/>
                <w:szCs w:val="23"/>
              </w:rPr>
              <w:t xml:space="preserve">gramme </w:t>
            </w:r>
          </w:p>
        </w:tc>
      </w:tr>
      <w:tr>
        <w:tblPrEx/>
        <w:trPr/>
        <w:tc>
          <w:tcPr>
            <w:tcW w:w="0" w:type="auto"/>
            <w:tcBorders/>
            <w:vAlign w:val="center"/>
          </w:tcPr>
          <w:p>
            <w:pPr>
              <w:pStyle w:val="style0"/>
              <w:spacing w:lineRule="auto" w:line="276"/>
              <w:rPr>
                <w:sz w:val="23"/>
                <w:szCs w:val="23"/>
              </w:rPr>
            </w:pPr>
            <w:r>
              <w:rPr>
                <w:bCs/>
                <w:iCs/>
                <w:sz w:val="23"/>
                <w:szCs w:val="23"/>
              </w:rPr>
              <w:t>Renforcement des capacités des acteurs intermédiaires (revendeurs, contrôleurs aux postes de douane), des  acteurs d’appui conseil et des producteurs</w:t>
            </w:r>
          </w:p>
        </w:tc>
        <w:tc>
          <w:tcPr>
            <w:tcW w:w="0" w:type="auto"/>
            <w:tcBorders/>
          </w:tcPr>
          <w:p>
            <w:pPr>
              <w:pStyle w:val="style0"/>
              <w:spacing w:lineRule="auto" w:line="276"/>
              <w:rPr>
                <w:sz w:val="23"/>
                <w:szCs w:val="23"/>
              </w:rPr>
            </w:pPr>
            <w:r>
              <w:rPr>
                <w:sz w:val="23"/>
                <w:szCs w:val="23"/>
              </w:rPr>
              <w:t xml:space="preserve"> DPVC, </w:t>
            </w:r>
            <w:r>
              <w:rPr>
                <w:sz w:val="23"/>
                <w:szCs w:val="23"/>
              </w:rPr>
              <w:t xml:space="preserve"> INERA</w:t>
            </w:r>
            <w:r>
              <w:rPr>
                <w:sz w:val="23"/>
                <w:szCs w:val="23"/>
              </w:rPr>
              <w:t>, DGHADI</w:t>
            </w:r>
          </w:p>
        </w:tc>
        <w:tc>
          <w:tcPr>
            <w:tcW w:w="0" w:type="auto"/>
            <w:tcBorders/>
          </w:tcPr>
          <w:p>
            <w:pPr>
              <w:pStyle w:val="style0"/>
              <w:spacing w:lineRule="auto" w:line="276"/>
              <w:rPr>
                <w:sz w:val="23"/>
                <w:szCs w:val="23"/>
              </w:rPr>
            </w:pPr>
            <w:r>
              <w:rPr>
                <w:sz w:val="23"/>
                <w:szCs w:val="23"/>
              </w:rPr>
              <w:t>Protocole de collaboration pour l’encadrement des acteurs en gestion des pesticides, à établir avec la coordination du pro</w:t>
            </w:r>
            <w:r>
              <w:rPr>
                <w:sz w:val="23"/>
                <w:szCs w:val="23"/>
              </w:rPr>
              <w:t xml:space="preserve">gramme </w:t>
            </w:r>
          </w:p>
        </w:tc>
      </w:tr>
      <w:tr>
        <w:tblPrEx/>
        <w:trPr/>
        <w:tc>
          <w:tcPr>
            <w:tcW w:w="0" w:type="auto"/>
            <w:tcBorders/>
            <w:vAlign w:val="center"/>
          </w:tcPr>
          <w:p>
            <w:pPr>
              <w:pStyle w:val="style0"/>
              <w:autoSpaceDE w:val="false"/>
              <w:autoSpaceDN w:val="false"/>
              <w:adjustRightInd w:val="false"/>
              <w:spacing w:lineRule="auto" w:line="276"/>
              <w:rPr>
                <w:bCs/>
                <w:iCs/>
                <w:sz w:val="23"/>
                <w:szCs w:val="23"/>
              </w:rPr>
            </w:pPr>
            <w:r>
              <w:rPr>
                <w:bCs/>
                <w:iCs/>
                <w:sz w:val="23"/>
                <w:szCs w:val="23"/>
              </w:rPr>
              <w:t>Renforcement des capacités des formations sanitaires et du LNSP</w:t>
            </w:r>
          </w:p>
        </w:tc>
        <w:tc>
          <w:tcPr>
            <w:tcW w:w="0" w:type="auto"/>
            <w:tcBorders/>
          </w:tcPr>
          <w:p>
            <w:pPr>
              <w:pStyle w:val="style0"/>
              <w:spacing w:lineRule="auto" w:line="276"/>
              <w:rPr>
                <w:sz w:val="23"/>
                <w:szCs w:val="23"/>
              </w:rPr>
            </w:pPr>
            <w:r>
              <w:rPr>
                <w:sz w:val="23"/>
                <w:szCs w:val="23"/>
              </w:rPr>
              <w:t>Ministère de la santé, P</w:t>
            </w:r>
            <w:r>
              <w:rPr>
                <w:sz w:val="23"/>
                <w:szCs w:val="23"/>
              </w:rPr>
              <w:t>DCA</w:t>
            </w:r>
            <w:r>
              <w:rPr>
                <w:sz w:val="23"/>
                <w:szCs w:val="23"/>
              </w:rPr>
              <w:t>,  IRSS</w:t>
            </w:r>
          </w:p>
        </w:tc>
        <w:tc>
          <w:tcPr>
            <w:tcW w:w="0" w:type="auto"/>
            <w:tcBorders/>
          </w:tcPr>
          <w:p>
            <w:pPr>
              <w:pStyle w:val="style0"/>
              <w:spacing w:lineRule="auto" w:line="276"/>
              <w:rPr>
                <w:sz w:val="23"/>
                <w:szCs w:val="23"/>
              </w:rPr>
            </w:pPr>
            <w:r>
              <w:rPr>
                <w:sz w:val="23"/>
                <w:szCs w:val="23"/>
              </w:rPr>
              <w:t>Le pro</w:t>
            </w:r>
            <w:r>
              <w:rPr>
                <w:sz w:val="23"/>
                <w:szCs w:val="23"/>
              </w:rPr>
              <w:t>gramme facilitera l’organisation de</w:t>
            </w:r>
            <w:r>
              <w:rPr>
                <w:sz w:val="23"/>
                <w:szCs w:val="23"/>
              </w:rPr>
              <w:t xml:space="preserve"> formation des agents et </w:t>
            </w:r>
            <w:r>
              <w:rPr>
                <w:sz w:val="23"/>
                <w:szCs w:val="23"/>
              </w:rPr>
              <w:t xml:space="preserve">fera dont à </w:t>
            </w:r>
            <w:r>
              <w:rPr>
                <w:sz w:val="23"/>
                <w:szCs w:val="23"/>
              </w:rPr>
              <w:t>des formations sanitaires</w:t>
            </w:r>
            <w:r>
              <w:rPr>
                <w:sz w:val="23"/>
                <w:szCs w:val="23"/>
              </w:rPr>
              <w:t xml:space="preserve"> des sites en kit en concertation avec le</w:t>
            </w:r>
            <w:r>
              <w:rPr>
                <w:sz w:val="23"/>
                <w:szCs w:val="23"/>
              </w:rPr>
              <w:t xml:space="preserve"> Ministère de la santé</w:t>
            </w:r>
          </w:p>
          <w:p>
            <w:pPr>
              <w:pStyle w:val="style0"/>
              <w:spacing w:lineRule="auto" w:line="276"/>
              <w:rPr>
                <w:sz w:val="23"/>
                <w:szCs w:val="23"/>
              </w:rPr>
            </w:pPr>
            <w:r>
              <w:rPr>
                <w:sz w:val="23"/>
                <w:szCs w:val="23"/>
              </w:rPr>
              <w:t xml:space="preserve">Partenariat avec le LNSP pour l’analyse périodique de résidus de pesticides dans l’environnement et dans les récoltes. </w:t>
            </w:r>
          </w:p>
        </w:tc>
      </w:tr>
      <w:tr>
        <w:tblPrEx/>
        <w:trPr/>
        <w:tc>
          <w:tcPr>
            <w:tcW w:w="0" w:type="auto"/>
            <w:tcBorders/>
            <w:vAlign w:val="center"/>
          </w:tcPr>
          <w:p>
            <w:pPr>
              <w:pStyle w:val="style0"/>
              <w:spacing w:lineRule="auto" w:line="276"/>
              <w:rPr>
                <w:sz w:val="23"/>
                <w:szCs w:val="23"/>
              </w:rPr>
            </w:pPr>
            <w:r>
              <w:rPr>
                <w:sz w:val="23"/>
                <w:szCs w:val="23"/>
              </w:rPr>
              <w:t>Gestion des contenants vides de pesticides</w:t>
            </w:r>
          </w:p>
        </w:tc>
        <w:tc>
          <w:tcPr>
            <w:tcW w:w="0" w:type="auto"/>
            <w:tcBorders/>
          </w:tcPr>
          <w:p>
            <w:pPr>
              <w:pStyle w:val="style0"/>
              <w:spacing w:lineRule="auto" w:line="276"/>
              <w:rPr>
                <w:sz w:val="23"/>
                <w:szCs w:val="23"/>
              </w:rPr>
            </w:pPr>
            <w:r>
              <w:rPr>
                <w:sz w:val="23"/>
                <w:szCs w:val="23"/>
              </w:rPr>
              <w:t>DPVC, INERA, PDCA, SAPHYTO</w:t>
            </w:r>
          </w:p>
        </w:tc>
        <w:tc>
          <w:tcPr>
            <w:tcW w:w="0" w:type="auto"/>
            <w:tcBorders/>
          </w:tcPr>
          <w:p>
            <w:pPr>
              <w:pStyle w:val="style0"/>
              <w:spacing w:lineRule="auto" w:line="276"/>
              <w:rPr>
                <w:sz w:val="23"/>
                <w:szCs w:val="23"/>
              </w:rPr>
            </w:pPr>
            <w:r>
              <w:rPr>
                <w:sz w:val="23"/>
                <w:szCs w:val="23"/>
              </w:rPr>
              <w:t>Signature d’un protocole de collaboration avec la coordination du projet pour la collecte et l’élimination des contenants vides</w:t>
            </w:r>
          </w:p>
        </w:tc>
      </w:tr>
      <w:tr>
        <w:tblPrEx/>
        <w:trPr/>
        <w:tc>
          <w:tcPr>
            <w:tcW w:w="0" w:type="auto"/>
            <w:tcBorders/>
          </w:tcPr>
          <w:p>
            <w:pPr>
              <w:pStyle w:val="style0"/>
              <w:autoSpaceDE w:val="false"/>
              <w:autoSpaceDN w:val="false"/>
              <w:adjustRightInd w:val="false"/>
              <w:spacing w:lineRule="auto" w:line="276"/>
              <w:rPr>
                <w:bCs/>
                <w:sz w:val="23"/>
                <w:szCs w:val="23"/>
              </w:rPr>
            </w:pPr>
            <w:r>
              <w:rPr>
                <w:bCs/>
                <w:sz w:val="23"/>
                <w:szCs w:val="23"/>
              </w:rPr>
              <w:t xml:space="preserve">Suivi/Surveillance environnementale </w:t>
            </w:r>
          </w:p>
        </w:tc>
        <w:tc>
          <w:tcPr>
            <w:tcW w:w="0" w:type="auto"/>
            <w:tcBorders/>
          </w:tcPr>
          <w:p>
            <w:pPr>
              <w:pStyle w:val="style0"/>
              <w:autoSpaceDE w:val="false"/>
              <w:autoSpaceDN w:val="false"/>
              <w:adjustRightInd w:val="false"/>
              <w:spacing w:lineRule="auto" w:line="276"/>
              <w:rPr>
                <w:sz w:val="23"/>
                <w:szCs w:val="23"/>
              </w:rPr>
            </w:pPr>
            <w:r>
              <w:rPr>
                <w:sz w:val="23"/>
                <w:szCs w:val="23"/>
              </w:rPr>
              <w:t>LAQE, BUNEE</w:t>
            </w:r>
            <w:r>
              <w:rPr>
                <w:sz w:val="23"/>
                <w:szCs w:val="23"/>
              </w:rPr>
              <w:t>, LNSP</w:t>
            </w:r>
          </w:p>
        </w:tc>
        <w:tc>
          <w:tcPr>
            <w:tcW w:w="0" w:type="auto"/>
            <w:tcBorders/>
          </w:tcPr>
          <w:p>
            <w:pPr>
              <w:pStyle w:val="style0"/>
              <w:spacing w:lineRule="auto" w:line="276"/>
              <w:rPr>
                <w:sz w:val="23"/>
                <w:szCs w:val="23"/>
              </w:rPr>
            </w:pPr>
            <w:r>
              <w:rPr>
                <w:sz w:val="23"/>
                <w:szCs w:val="23"/>
              </w:rPr>
              <w:t xml:space="preserve">Ces structures travailleront ensemble, le LNSP et le LAQE travailleront en étroite collaboration avec les structures régionales </w:t>
            </w:r>
            <w:r>
              <w:rPr>
                <w:sz w:val="23"/>
                <w:szCs w:val="23"/>
              </w:rPr>
              <w:t xml:space="preserve">pour </w:t>
            </w:r>
            <w:r>
              <w:rPr>
                <w:sz w:val="23"/>
                <w:szCs w:val="23"/>
              </w:rPr>
              <w:t>la détermination de résidus de pesticides. Un protocole de collaboration sera établi ente projet et LNSP/ LAQE en termes d’équipements et de prestations de services.</w:t>
            </w:r>
          </w:p>
        </w:tc>
      </w:tr>
    </w:tbl>
    <w:p>
      <w:pPr>
        <w:pStyle w:val="style0"/>
        <w:spacing w:lineRule="auto" w:line="276"/>
        <w:rPr>
          <w:sz w:val="23"/>
          <w:szCs w:val="23"/>
        </w:rPr>
      </w:pPr>
    </w:p>
    <w:p>
      <w:pPr>
        <w:pStyle w:val="style0"/>
        <w:rPr/>
      </w:pPr>
      <w:r>
        <w:t>Le programme prévisionnel de mise en œuvre des activités entrant dans le cadre du présent PGP est donné dans le tableau 23.</w:t>
      </w:r>
    </w:p>
    <w:p>
      <w:pPr>
        <w:pStyle w:val="style83"/>
        <w:spacing w:after="0"/>
        <w:ind w:left="0"/>
        <w:rPr>
          <w:sz w:val="23"/>
          <w:szCs w:val="23"/>
        </w:rPr>
      </w:pPr>
    </w:p>
    <w:bookmarkStart w:id="458" w:name="_Toc2831230"/>
    <w:p>
      <w:pPr>
        <w:pStyle w:val="style2"/>
        <w:numPr>
          <w:ilvl w:val="1"/>
          <w:numId w:val="85"/>
        </w:numPr>
        <w:rPr/>
      </w:pPr>
      <w:r>
        <w:t xml:space="preserve">Structure de pilotage et </w:t>
      </w:r>
      <w:r>
        <w:t>de suivi de la mise en œuvre du MGIP</w:t>
      </w:r>
      <w:bookmarkEnd w:id="458"/>
      <w:r>
        <w:t xml:space="preserve"> </w:t>
      </w:r>
    </w:p>
    <w:p>
      <w:pPr>
        <w:pStyle w:val="style0"/>
        <w:rPr/>
      </w:pPr>
      <w:r>
        <w:t xml:space="preserve">Il s’agira à ce niveau, pour l’unité de coordination, et sous la responsabilité du spécialiste en environnement, de s’appuyer sur le système de veille mise en place par le CNGP et mis en œuvre par la DPVC, à travers l’installation de CRTP, avec des représentants au niveau village. </w:t>
      </w:r>
      <w:r>
        <w:t xml:space="preserve"> Ces derniers, à travers leur</w:t>
      </w:r>
      <w:r>
        <w:t>s</w:t>
      </w:r>
      <w:r>
        <w:t xml:space="preserve"> président</w:t>
      </w:r>
      <w:r>
        <w:t>s</w:t>
      </w:r>
      <w:r>
        <w:t xml:space="preserve"> au</w:t>
      </w:r>
      <w:r>
        <w:t>x</w:t>
      </w:r>
      <w:r>
        <w:t xml:space="preserve"> niveau</w:t>
      </w:r>
      <w:r>
        <w:t>x</w:t>
      </w:r>
      <w:r>
        <w:t xml:space="preserve"> régional et provincial, seront en contact permanent avec le</w:t>
      </w:r>
      <w:r>
        <w:t>s URC du programme</w:t>
      </w:r>
      <w:r>
        <w:t xml:space="preserve"> à travers l’expert en environnement. Aussi, l’expert en environnement du PDCA, devrait</w:t>
      </w:r>
      <w:r>
        <w:t>-il</w:t>
      </w:r>
      <w:r>
        <w:t xml:space="preserve"> avoir une solide expérience dans le domaine de la gestion des pestes, avec l’utilisation des pesticides. </w:t>
      </w:r>
    </w:p>
    <w:p>
      <w:pPr>
        <w:pStyle w:val="style0"/>
        <w:rPr/>
        <w:sectPr>
          <w:footerReference w:type="even" r:id="rId36"/>
          <w:footerReference w:type="default" r:id="rId37"/>
          <w:pgSz w:w="11906" w:h="16838" w:orient="portrait"/>
          <w:pgMar w:top="1417" w:right="1417" w:bottom="1417" w:left="1417" w:header="720" w:footer="720" w:gutter="0"/>
          <w:cols w:space="720"/>
          <w:noEndnote/>
          <w:titlePg/>
          <w:docGrid w:linePitch="326"/>
        </w:sectPr>
      </w:pPr>
      <w:r>
        <w:t>C</w:t>
      </w:r>
      <w:r>
        <w:t>haque incident, ou mauvais comportement dans le cadre de la mise en œuvre du programme, sera répertorié au niveau des localités par les représentants des CRTP</w:t>
      </w:r>
      <w:r>
        <w:t xml:space="preserve"> aux URC respectives</w:t>
      </w:r>
      <w:r>
        <w:t xml:space="preserve">. Ces derniers remonteront l’information au niveau communal, de là au niveau provincial </w:t>
      </w:r>
      <w:r>
        <w:t xml:space="preserve">puis au niveau </w:t>
      </w:r>
      <w:r>
        <w:t>régional. L’expert environnement du PDCA, pourrait être à tout moment saisi.</w:t>
      </w:r>
    </w:p>
    <w:bookmarkStart w:id="459" w:name="_Toc260230"/>
    <w:bookmarkStart w:id="460" w:name="_Toc215485216"/>
    <w:p>
      <w:pPr>
        <w:pStyle w:val="style0"/>
        <w:spacing w:lineRule="auto" w:line="276"/>
        <w:rPr>
          <w:b/>
          <w:sz w:val="23"/>
          <w:szCs w:val="23"/>
        </w:rPr>
      </w:pPr>
      <w:r>
        <w:rPr>
          <w:sz w:val="20"/>
          <w:szCs w:val="20"/>
        </w:rPr>
        <w:t xml:space="preserve">Tableau </w:t>
      </w:r>
      <w:r>
        <w:rPr>
          <w:sz w:val="20"/>
          <w:szCs w:val="20"/>
        </w:rPr>
        <w:fldChar w:fldCharType="begin"/>
      </w:r>
      <w:r>
        <w:rPr>
          <w:sz w:val="20"/>
          <w:szCs w:val="20"/>
        </w:rPr>
        <w:instrText xml:space="preserve"> </w:instrText>
      </w:r>
      <w:r>
        <w:rPr>
          <w:sz w:val="20"/>
          <w:szCs w:val="20"/>
        </w:rPr>
        <w:instrText>SEQ</w:instrText>
      </w:r>
      <w:r>
        <w:rPr>
          <w:sz w:val="20"/>
          <w:szCs w:val="20"/>
        </w:rPr>
        <w:instrText xml:space="preserve"> Tableau \* ARABIC </w:instrText>
      </w:r>
      <w:r>
        <w:rPr>
          <w:sz w:val="20"/>
          <w:szCs w:val="20"/>
        </w:rPr>
        <w:fldChar w:fldCharType="separate"/>
      </w:r>
      <w:r>
        <w:rPr>
          <w:noProof/>
          <w:sz w:val="20"/>
          <w:szCs w:val="20"/>
        </w:rPr>
        <w:t>23</w:t>
      </w:r>
      <w:r>
        <w:rPr>
          <w:sz w:val="20"/>
          <w:szCs w:val="20"/>
        </w:rPr>
        <w:fldChar w:fldCharType="end"/>
      </w:r>
      <w:r>
        <w:rPr>
          <w:rFonts w:eastAsia="Calibri"/>
          <w:i/>
          <w:iCs/>
          <w:color w:val="1f497d"/>
          <w:sz w:val="20"/>
          <w:szCs w:val="20"/>
        </w:rPr>
        <w:t> :</w:t>
      </w:r>
      <w:r>
        <w:rPr>
          <w:rFonts w:eastAsia="Calibri"/>
          <w:i/>
          <w:iCs/>
          <w:color w:val="1f497d"/>
          <w:sz w:val="20"/>
          <w:szCs w:val="20"/>
        </w:rPr>
        <w:t>Programme de la mise en œuvre des activités</w:t>
      </w:r>
      <w:bookmarkEnd w:id="459"/>
      <w:r>
        <w:rPr>
          <w:rFonts w:eastAsia="Calibri"/>
          <w:i/>
          <w:iCs/>
          <w:color w:val="1f497d"/>
          <w:sz w:val="20"/>
          <w:szCs w:val="20"/>
        </w:rPr>
        <w:t xml:space="preserve"> </w:t>
      </w:r>
      <w:bookmarkEnd w:id="460"/>
    </w:p>
    <w:tbl>
      <w:tblPr>
        <w:tblW w:w="14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2409"/>
        <w:gridCol w:w="3693"/>
        <w:gridCol w:w="3535"/>
      </w:tblGrid>
      <w:tr>
        <w:trPr/>
        <w:tc>
          <w:tcPr>
            <w:tcW w:w="4503" w:type="dxa"/>
            <w:tcBorders/>
            <w:shd w:val="clear" w:color="auto" w:fill="d9d9d9"/>
          </w:tcPr>
          <w:p>
            <w:pPr>
              <w:pStyle w:val="style0"/>
              <w:autoSpaceDE w:val="false"/>
              <w:autoSpaceDN w:val="false"/>
              <w:adjustRightInd w:val="false"/>
              <w:spacing w:before="0"/>
              <w:jc w:val="left"/>
              <w:rPr>
                <w:b/>
                <w:sz w:val="23"/>
                <w:szCs w:val="23"/>
              </w:rPr>
            </w:pPr>
            <w:r>
              <w:rPr>
                <w:b/>
                <w:sz w:val="23"/>
                <w:szCs w:val="23"/>
              </w:rPr>
              <w:t xml:space="preserve">Activités </w:t>
            </w:r>
          </w:p>
        </w:tc>
        <w:tc>
          <w:tcPr>
            <w:tcW w:w="2409" w:type="dxa"/>
            <w:tcBorders/>
            <w:shd w:val="clear" w:color="auto" w:fill="d9d9d9"/>
            <w:vAlign w:val="center"/>
          </w:tcPr>
          <w:p>
            <w:pPr>
              <w:pStyle w:val="style4128"/>
              <w:spacing w:before="0"/>
              <w:jc w:val="left"/>
              <w:rPr>
                <w:rFonts w:ascii="Times New Roman" w:hAnsi="Times New Roman"/>
                <w:b/>
                <w:bCs/>
                <w:sz w:val="23"/>
                <w:szCs w:val="23"/>
              </w:rPr>
            </w:pPr>
            <w:r>
              <w:rPr>
                <w:rFonts w:ascii="Times New Roman" w:hAnsi="Times New Roman"/>
                <w:b/>
                <w:bCs/>
                <w:sz w:val="23"/>
                <w:szCs w:val="23"/>
              </w:rPr>
              <w:t xml:space="preserve">Responsabilités de suivi </w:t>
            </w:r>
          </w:p>
        </w:tc>
        <w:tc>
          <w:tcPr>
            <w:tcW w:w="3693" w:type="dxa"/>
            <w:tcBorders/>
            <w:shd w:val="clear" w:color="auto" w:fill="d9d9d9"/>
            <w:vAlign w:val="center"/>
          </w:tcPr>
          <w:p>
            <w:pPr>
              <w:pStyle w:val="style4128"/>
              <w:spacing w:before="0"/>
              <w:jc w:val="left"/>
              <w:rPr>
                <w:rFonts w:ascii="Times New Roman" w:hAnsi="Times New Roman"/>
                <w:b/>
                <w:bCs/>
                <w:sz w:val="23"/>
                <w:szCs w:val="23"/>
              </w:rPr>
            </w:pPr>
            <w:r>
              <w:rPr>
                <w:rFonts w:ascii="Times New Roman" w:hAnsi="Times New Roman"/>
                <w:b/>
                <w:bCs/>
                <w:sz w:val="23"/>
                <w:szCs w:val="23"/>
              </w:rPr>
              <w:t>Indicateurs de suivi</w:t>
            </w:r>
          </w:p>
        </w:tc>
        <w:tc>
          <w:tcPr>
            <w:tcW w:w="3535" w:type="dxa"/>
            <w:tcBorders/>
            <w:shd w:val="clear" w:color="auto" w:fill="d9d9d9"/>
            <w:vAlign w:val="center"/>
          </w:tcPr>
          <w:p>
            <w:pPr>
              <w:pStyle w:val="style4128"/>
              <w:spacing w:before="0"/>
              <w:jc w:val="left"/>
              <w:rPr>
                <w:rFonts w:ascii="Times New Roman" w:hAnsi="Times New Roman"/>
                <w:bCs/>
                <w:sz w:val="23"/>
                <w:szCs w:val="23"/>
              </w:rPr>
            </w:pPr>
            <w:r>
              <w:rPr>
                <w:rFonts w:ascii="Times New Roman" w:hAnsi="Times New Roman"/>
                <w:b/>
                <w:bCs/>
                <w:sz w:val="23"/>
                <w:szCs w:val="23"/>
              </w:rPr>
              <w:t xml:space="preserve">Périodes </w:t>
            </w:r>
          </w:p>
        </w:tc>
      </w:tr>
      <w:tr>
        <w:tblPrEx/>
        <w:trPr/>
        <w:tc>
          <w:tcPr>
            <w:tcW w:w="4503" w:type="dxa"/>
            <w:tcBorders/>
          </w:tcPr>
          <w:p>
            <w:pPr>
              <w:pStyle w:val="style0"/>
              <w:autoSpaceDE w:val="false"/>
              <w:autoSpaceDN w:val="false"/>
              <w:adjustRightInd w:val="false"/>
              <w:spacing w:before="0"/>
              <w:rPr>
                <w:sz w:val="23"/>
                <w:szCs w:val="23"/>
              </w:rPr>
            </w:pPr>
            <w:r>
              <w:rPr>
                <w:sz w:val="23"/>
                <w:szCs w:val="23"/>
              </w:rPr>
              <w:t xml:space="preserve">Formation/démonstration sur les </w:t>
            </w:r>
            <w:r>
              <w:rPr>
                <w:bCs/>
                <w:sz w:val="23"/>
                <w:szCs w:val="23"/>
              </w:rPr>
              <w:t xml:space="preserve">stratégies de luttes alternatives </w:t>
            </w:r>
          </w:p>
        </w:tc>
        <w:tc>
          <w:tcPr>
            <w:tcW w:w="2409" w:type="dxa"/>
            <w:tcBorders/>
          </w:tcPr>
          <w:p>
            <w:pPr>
              <w:pStyle w:val="style0"/>
              <w:autoSpaceDE w:val="false"/>
              <w:autoSpaceDN w:val="false"/>
              <w:adjustRightInd w:val="false"/>
              <w:spacing w:before="0"/>
              <w:rPr>
                <w:sz w:val="23"/>
                <w:szCs w:val="23"/>
              </w:rPr>
            </w:pPr>
            <w:r>
              <w:rPr>
                <w:sz w:val="23"/>
                <w:szCs w:val="23"/>
              </w:rPr>
              <w:t>P</w:t>
            </w:r>
            <w:r>
              <w:rPr>
                <w:sz w:val="23"/>
                <w:szCs w:val="23"/>
              </w:rPr>
              <w:t>DCA</w:t>
            </w:r>
            <w:r>
              <w:rPr>
                <w:sz w:val="23"/>
                <w:szCs w:val="23"/>
              </w:rPr>
              <w:t>, INERA, DPVC</w:t>
            </w:r>
          </w:p>
        </w:tc>
        <w:tc>
          <w:tcPr>
            <w:tcW w:w="3693" w:type="dxa"/>
            <w:tcBorders/>
          </w:tcPr>
          <w:p>
            <w:pPr>
              <w:pStyle w:val="style0"/>
              <w:autoSpaceDE w:val="false"/>
              <w:autoSpaceDN w:val="false"/>
              <w:adjustRightInd w:val="false"/>
              <w:spacing w:before="0"/>
              <w:rPr>
                <w:sz w:val="23"/>
                <w:szCs w:val="23"/>
              </w:rPr>
            </w:pPr>
            <w:r>
              <w:rPr>
                <w:sz w:val="23"/>
                <w:szCs w:val="23"/>
              </w:rPr>
              <w:t>Nombre de sessions</w:t>
            </w:r>
          </w:p>
          <w:p>
            <w:pPr>
              <w:pStyle w:val="style0"/>
              <w:autoSpaceDE w:val="false"/>
              <w:autoSpaceDN w:val="false"/>
              <w:adjustRightInd w:val="false"/>
              <w:spacing w:before="0"/>
              <w:rPr>
                <w:sz w:val="23"/>
                <w:szCs w:val="23"/>
              </w:rPr>
            </w:pPr>
            <w:r>
              <w:rPr>
                <w:sz w:val="23"/>
                <w:szCs w:val="23"/>
              </w:rPr>
              <w:t>Nombre d’acteurs formés</w:t>
            </w:r>
          </w:p>
        </w:tc>
        <w:tc>
          <w:tcPr>
            <w:tcW w:w="3535" w:type="dxa"/>
            <w:tcBorders/>
          </w:tcPr>
          <w:p>
            <w:pPr>
              <w:pStyle w:val="style0"/>
              <w:autoSpaceDE w:val="false"/>
              <w:autoSpaceDN w:val="false"/>
              <w:adjustRightInd w:val="false"/>
              <w:spacing w:before="0"/>
              <w:rPr>
                <w:sz w:val="23"/>
                <w:szCs w:val="23"/>
              </w:rPr>
            </w:pPr>
            <w:r>
              <w:rPr>
                <w:sz w:val="23"/>
                <w:szCs w:val="23"/>
              </w:rPr>
              <w:t>1</w:t>
            </w:r>
            <w:r>
              <w:rPr>
                <w:sz w:val="23"/>
                <w:szCs w:val="23"/>
                <w:vertAlign w:val="superscript"/>
              </w:rPr>
              <w:t>er</w:t>
            </w:r>
            <w:r>
              <w:rPr>
                <w:sz w:val="23"/>
                <w:szCs w:val="23"/>
              </w:rPr>
              <w:t xml:space="preserve"> trimestre de la première année du pro</w:t>
            </w:r>
            <w:r>
              <w:rPr>
                <w:sz w:val="23"/>
                <w:szCs w:val="23"/>
              </w:rPr>
              <w:t xml:space="preserve">gramme </w:t>
            </w:r>
            <w:r>
              <w:rPr>
                <w:sz w:val="23"/>
                <w:szCs w:val="23"/>
              </w:rPr>
              <w:t>et chaque deux ans</w:t>
            </w:r>
          </w:p>
        </w:tc>
      </w:tr>
      <w:tr>
        <w:tblPrEx/>
        <w:trPr/>
        <w:tc>
          <w:tcPr>
            <w:tcW w:w="4503" w:type="dxa"/>
            <w:tcBorders/>
          </w:tcPr>
          <w:p>
            <w:pPr>
              <w:pStyle w:val="style0"/>
              <w:autoSpaceDE w:val="false"/>
              <w:autoSpaceDN w:val="false"/>
              <w:adjustRightInd w:val="false"/>
              <w:spacing w:before="0"/>
              <w:rPr>
                <w:sz w:val="23"/>
                <w:szCs w:val="23"/>
              </w:rPr>
            </w:pPr>
            <w:r>
              <w:rPr>
                <w:sz w:val="23"/>
                <w:szCs w:val="23"/>
              </w:rPr>
              <w:t xml:space="preserve">Elaboration de fiches techniques sur les </w:t>
            </w:r>
            <w:r>
              <w:rPr>
                <w:bCs/>
                <w:sz w:val="23"/>
                <w:szCs w:val="23"/>
              </w:rPr>
              <w:t xml:space="preserve">stratégies de luttes alternatives </w:t>
            </w:r>
          </w:p>
        </w:tc>
        <w:tc>
          <w:tcPr>
            <w:tcW w:w="2409" w:type="dxa"/>
            <w:tcBorders/>
          </w:tcPr>
          <w:p>
            <w:pPr>
              <w:pStyle w:val="style0"/>
              <w:autoSpaceDE w:val="false"/>
              <w:autoSpaceDN w:val="false"/>
              <w:adjustRightInd w:val="false"/>
              <w:spacing w:before="0"/>
              <w:rPr>
                <w:sz w:val="23"/>
                <w:szCs w:val="23"/>
              </w:rPr>
            </w:pPr>
            <w:r>
              <w:rPr>
                <w:sz w:val="23"/>
                <w:szCs w:val="23"/>
              </w:rPr>
              <w:t>DPVC, INERA, PDCA, CRTP</w:t>
            </w:r>
          </w:p>
        </w:tc>
        <w:tc>
          <w:tcPr>
            <w:tcW w:w="3693" w:type="dxa"/>
            <w:tcBorders/>
          </w:tcPr>
          <w:p>
            <w:pPr>
              <w:pStyle w:val="style0"/>
              <w:autoSpaceDE w:val="false"/>
              <w:autoSpaceDN w:val="false"/>
              <w:adjustRightInd w:val="false"/>
              <w:spacing w:before="0"/>
              <w:rPr>
                <w:sz w:val="23"/>
                <w:szCs w:val="23"/>
              </w:rPr>
            </w:pPr>
            <w:r>
              <w:rPr>
                <w:sz w:val="23"/>
                <w:szCs w:val="23"/>
              </w:rPr>
              <w:t>Fiches techniques élaborées</w:t>
            </w:r>
          </w:p>
          <w:p>
            <w:pPr>
              <w:pStyle w:val="style0"/>
              <w:autoSpaceDE w:val="false"/>
              <w:autoSpaceDN w:val="false"/>
              <w:adjustRightInd w:val="false"/>
              <w:spacing w:before="0"/>
              <w:rPr>
                <w:sz w:val="23"/>
                <w:szCs w:val="23"/>
              </w:rPr>
            </w:pPr>
          </w:p>
        </w:tc>
        <w:tc>
          <w:tcPr>
            <w:tcW w:w="3535" w:type="dxa"/>
            <w:tcBorders/>
          </w:tcPr>
          <w:p>
            <w:pPr>
              <w:pStyle w:val="style0"/>
              <w:autoSpaceDE w:val="false"/>
              <w:autoSpaceDN w:val="false"/>
              <w:adjustRightInd w:val="false"/>
              <w:spacing w:before="0"/>
              <w:rPr>
                <w:sz w:val="23"/>
                <w:szCs w:val="23"/>
              </w:rPr>
            </w:pPr>
            <w:r>
              <w:rPr>
                <w:sz w:val="23"/>
                <w:szCs w:val="23"/>
              </w:rPr>
              <w:t>1</w:t>
            </w:r>
            <w:r>
              <w:rPr>
                <w:sz w:val="23"/>
                <w:szCs w:val="23"/>
                <w:vertAlign w:val="superscript"/>
              </w:rPr>
              <w:t>er</w:t>
            </w:r>
            <w:r>
              <w:rPr>
                <w:sz w:val="23"/>
                <w:szCs w:val="23"/>
              </w:rPr>
              <w:t xml:space="preserve"> trimestre au démarrage du p</w:t>
            </w:r>
            <w:r>
              <w:rPr>
                <w:sz w:val="23"/>
                <w:szCs w:val="23"/>
              </w:rPr>
              <w:t xml:space="preserve">rogramme </w:t>
            </w:r>
          </w:p>
        </w:tc>
      </w:tr>
      <w:tr>
        <w:tblPrEx/>
        <w:trPr/>
        <w:tc>
          <w:tcPr>
            <w:tcW w:w="4503" w:type="dxa"/>
            <w:tcBorders/>
          </w:tcPr>
          <w:p>
            <w:pPr>
              <w:pStyle w:val="style0"/>
              <w:autoSpaceDE w:val="false"/>
              <w:autoSpaceDN w:val="false"/>
              <w:adjustRightInd w:val="false"/>
              <w:spacing w:before="0"/>
              <w:rPr>
                <w:sz w:val="23"/>
                <w:szCs w:val="23"/>
              </w:rPr>
            </w:pPr>
            <w:r>
              <w:rPr>
                <w:sz w:val="23"/>
                <w:szCs w:val="23"/>
              </w:rPr>
              <w:t>Diffusion fiches techniques</w:t>
            </w:r>
          </w:p>
        </w:tc>
        <w:tc>
          <w:tcPr>
            <w:tcW w:w="2409" w:type="dxa"/>
            <w:tcBorders/>
          </w:tcPr>
          <w:p>
            <w:pPr>
              <w:pStyle w:val="style0"/>
              <w:autoSpaceDE w:val="false"/>
              <w:autoSpaceDN w:val="false"/>
              <w:adjustRightInd w:val="false"/>
              <w:spacing w:before="0"/>
              <w:rPr>
                <w:sz w:val="23"/>
                <w:szCs w:val="23"/>
              </w:rPr>
            </w:pPr>
            <w:r>
              <w:rPr>
                <w:sz w:val="23"/>
                <w:szCs w:val="23"/>
              </w:rPr>
              <w:t>P</w:t>
            </w:r>
            <w:r>
              <w:rPr>
                <w:sz w:val="23"/>
                <w:szCs w:val="23"/>
              </w:rPr>
              <w:t>DCA, CRTP, DPVC</w:t>
            </w:r>
          </w:p>
        </w:tc>
        <w:tc>
          <w:tcPr>
            <w:tcW w:w="3693" w:type="dxa"/>
            <w:tcBorders/>
          </w:tcPr>
          <w:p>
            <w:pPr>
              <w:pStyle w:val="style0"/>
              <w:autoSpaceDE w:val="false"/>
              <w:autoSpaceDN w:val="false"/>
              <w:adjustRightInd w:val="false"/>
              <w:spacing w:before="0"/>
              <w:rPr>
                <w:sz w:val="23"/>
                <w:szCs w:val="23"/>
              </w:rPr>
            </w:pPr>
            <w:r>
              <w:rPr>
                <w:sz w:val="23"/>
                <w:szCs w:val="23"/>
              </w:rPr>
              <w:t>Nombre de Fiches techniques diffusées</w:t>
            </w:r>
          </w:p>
        </w:tc>
        <w:tc>
          <w:tcPr>
            <w:tcW w:w="3535" w:type="dxa"/>
            <w:tcBorders/>
          </w:tcPr>
          <w:p>
            <w:pPr>
              <w:pStyle w:val="style0"/>
              <w:autoSpaceDE w:val="false"/>
              <w:autoSpaceDN w:val="false"/>
              <w:adjustRightInd w:val="false"/>
              <w:spacing w:before="0"/>
              <w:rPr>
                <w:sz w:val="23"/>
                <w:szCs w:val="23"/>
              </w:rPr>
            </w:pPr>
            <w:r>
              <w:rPr>
                <w:sz w:val="23"/>
                <w:szCs w:val="23"/>
              </w:rPr>
              <w:t>A tout moment</w:t>
            </w:r>
          </w:p>
        </w:tc>
      </w:tr>
      <w:tr>
        <w:tblPrEx/>
        <w:trPr/>
        <w:tc>
          <w:tcPr>
            <w:tcW w:w="4503" w:type="dxa"/>
            <w:tcBorders/>
          </w:tcPr>
          <w:p>
            <w:pPr>
              <w:pStyle w:val="style0"/>
              <w:autoSpaceDE w:val="false"/>
              <w:autoSpaceDN w:val="false"/>
              <w:adjustRightInd w:val="false"/>
              <w:spacing w:before="0"/>
              <w:rPr>
                <w:sz w:val="23"/>
                <w:szCs w:val="23"/>
              </w:rPr>
            </w:pPr>
            <w:r>
              <w:rPr>
                <w:sz w:val="23"/>
                <w:szCs w:val="23"/>
              </w:rPr>
              <w:t>Formation</w:t>
            </w:r>
            <w:r>
              <w:rPr>
                <w:sz w:val="23"/>
                <w:szCs w:val="23"/>
              </w:rPr>
              <w:t>/Sensibilisation</w:t>
            </w:r>
            <w:r>
              <w:rPr>
                <w:sz w:val="23"/>
                <w:szCs w:val="23"/>
              </w:rPr>
              <w:t xml:space="preserve"> des revendeurs et des contrôleurs aux postes de Douane</w:t>
            </w:r>
          </w:p>
        </w:tc>
        <w:tc>
          <w:tcPr>
            <w:tcW w:w="2409" w:type="dxa"/>
            <w:tcBorders/>
          </w:tcPr>
          <w:p>
            <w:pPr>
              <w:pStyle w:val="style0"/>
              <w:autoSpaceDE w:val="false"/>
              <w:autoSpaceDN w:val="false"/>
              <w:adjustRightInd w:val="false"/>
              <w:spacing w:before="0"/>
              <w:rPr>
                <w:sz w:val="23"/>
                <w:szCs w:val="23"/>
              </w:rPr>
            </w:pPr>
            <w:r>
              <w:rPr>
                <w:sz w:val="23"/>
                <w:szCs w:val="23"/>
              </w:rPr>
              <w:t>DPVC</w:t>
            </w:r>
            <w:r>
              <w:rPr>
                <w:sz w:val="23"/>
                <w:szCs w:val="23"/>
              </w:rPr>
              <w:t>, PDCA</w:t>
            </w:r>
          </w:p>
        </w:tc>
        <w:tc>
          <w:tcPr>
            <w:tcW w:w="3693" w:type="dxa"/>
            <w:tcBorders/>
          </w:tcPr>
          <w:p>
            <w:pPr>
              <w:pStyle w:val="style0"/>
              <w:autoSpaceDE w:val="false"/>
              <w:autoSpaceDN w:val="false"/>
              <w:adjustRightInd w:val="false"/>
              <w:spacing w:before="0"/>
              <w:rPr>
                <w:sz w:val="23"/>
                <w:szCs w:val="23"/>
              </w:rPr>
            </w:pPr>
            <w:r>
              <w:rPr>
                <w:sz w:val="23"/>
                <w:szCs w:val="23"/>
              </w:rPr>
              <w:t>Nombre de sessions</w:t>
            </w:r>
          </w:p>
          <w:p>
            <w:pPr>
              <w:pStyle w:val="style0"/>
              <w:autoSpaceDE w:val="false"/>
              <w:autoSpaceDN w:val="false"/>
              <w:adjustRightInd w:val="false"/>
              <w:spacing w:before="0"/>
              <w:rPr>
                <w:sz w:val="23"/>
                <w:szCs w:val="23"/>
              </w:rPr>
            </w:pPr>
            <w:r>
              <w:rPr>
                <w:sz w:val="23"/>
                <w:szCs w:val="23"/>
              </w:rPr>
              <w:t>Nombre de personnes formées</w:t>
            </w:r>
          </w:p>
        </w:tc>
        <w:tc>
          <w:tcPr>
            <w:tcW w:w="3535" w:type="dxa"/>
            <w:tcBorders/>
          </w:tcPr>
          <w:p>
            <w:pPr>
              <w:pStyle w:val="style0"/>
              <w:autoSpaceDE w:val="false"/>
              <w:autoSpaceDN w:val="false"/>
              <w:adjustRightInd w:val="false"/>
              <w:spacing w:before="0"/>
              <w:rPr>
                <w:sz w:val="23"/>
                <w:szCs w:val="23"/>
              </w:rPr>
            </w:pPr>
            <w:r>
              <w:rPr>
                <w:sz w:val="23"/>
                <w:szCs w:val="23"/>
              </w:rPr>
              <w:t>Au démarrage et chaque deux ans</w:t>
            </w:r>
          </w:p>
        </w:tc>
      </w:tr>
      <w:tr>
        <w:tblPrEx/>
        <w:trPr/>
        <w:tc>
          <w:tcPr>
            <w:tcW w:w="4503" w:type="dxa"/>
            <w:tcBorders/>
          </w:tcPr>
          <w:p>
            <w:pPr>
              <w:pStyle w:val="style0"/>
              <w:autoSpaceDE w:val="false"/>
              <w:autoSpaceDN w:val="false"/>
              <w:adjustRightInd w:val="false"/>
              <w:spacing w:before="0"/>
              <w:rPr>
                <w:sz w:val="23"/>
                <w:szCs w:val="23"/>
              </w:rPr>
            </w:pPr>
            <w:r>
              <w:rPr>
                <w:sz w:val="23"/>
                <w:szCs w:val="23"/>
              </w:rPr>
              <w:t>Diffusion liste des pesticides homologués et pesticides interdits au Burkina Faso</w:t>
            </w:r>
          </w:p>
        </w:tc>
        <w:tc>
          <w:tcPr>
            <w:tcW w:w="2409" w:type="dxa"/>
            <w:tcBorders/>
          </w:tcPr>
          <w:p>
            <w:pPr>
              <w:pStyle w:val="style0"/>
              <w:autoSpaceDE w:val="false"/>
              <w:autoSpaceDN w:val="false"/>
              <w:adjustRightInd w:val="false"/>
              <w:spacing w:before="0"/>
              <w:rPr>
                <w:sz w:val="23"/>
                <w:szCs w:val="23"/>
              </w:rPr>
            </w:pPr>
            <w:r>
              <w:rPr>
                <w:sz w:val="23"/>
                <w:szCs w:val="23"/>
              </w:rPr>
              <w:t>DPVC</w:t>
            </w:r>
            <w:r>
              <w:rPr>
                <w:sz w:val="23"/>
                <w:szCs w:val="23"/>
              </w:rPr>
              <w:t>, CRTP, DPCA</w:t>
            </w:r>
          </w:p>
        </w:tc>
        <w:tc>
          <w:tcPr>
            <w:tcW w:w="3693" w:type="dxa"/>
            <w:tcBorders/>
          </w:tcPr>
          <w:p>
            <w:pPr>
              <w:pStyle w:val="style0"/>
              <w:autoSpaceDE w:val="false"/>
              <w:autoSpaceDN w:val="false"/>
              <w:adjustRightInd w:val="false"/>
              <w:spacing w:before="0"/>
              <w:rPr>
                <w:sz w:val="23"/>
                <w:szCs w:val="23"/>
              </w:rPr>
            </w:pPr>
            <w:r>
              <w:rPr>
                <w:sz w:val="23"/>
                <w:szCs w:val="23"/>
              </w:rPr>
              <w:t>Nombre d’exemplaires diffusés</w:t>
            </w:r>
          </w:p>
          <w:p>
            <w:pPr>
              <w:pStyle w:val="style0"/>
              <w:autoSpaceDE w:val="false"/>
              <w:autoSpaceDN w:val="false"/>
              <w:adjustRightInd w:val="false"/>
              <w:spacing w:before="0"/>
              <w:rPr>
                <w:sz w:val="23"/>
                <w:szCs w:val="23"/>
              </w:rPr>
            </w:pPr>
            <w:r>
              <w:rPr>
                <w:sz w:val="23"/>
                <w:szCs w:val="23"/>
              </w:rPr>
              <w:t>Nombre d’acteurs touchés</w:t>
            </w:r>
          </w:p>
        </w:tc>
        <w:tc>
          <w:tcPr>
            <w:tcW w:w="3535" w:type="dxa"/>
            <w:tcBorders/>
          </w:tcPr>
          <w:p>
            <w:pPr>
              <w:pStyle w:val="style0"/>
              <w:autoSpaceDE w:val="false"/>
              <w:autoSpaceDN w:val="false"/>
              <w:adjustRightInd w:val="false"/>
              <w:spacing w:before="0"/>
              <w:rPr>
                <w:sz w:val="23"/>
                <w:szCs w:val="23"/>
              </w:rPr>
            </w:pPr>
            <w:r>
              <w:rPr>
                <w:sz w:val="23"/>
                <w:szCs w:val="23"/>
              </w:rPr>
              <w:t>Après chaque session du CSP</w:t>
            </w:r>
          </w:p>
        </w:tc>
      </w:tr>
      <w:tr>
        <w:tblPrEx/>
        <w:trPr/>
        <w:tc>
          <w:tcPr>
            <w:tcW w:w="4503" w:type="dxa"/>
            <w:tcBorders/>
          </w:tcPr>
          <w:p>
            <w:pPr>
              <w:pStyle w:val="style0"/>
              <w:autoSpaceDE w:val="false"/>
              <w:autoSpaceDN w:val="false"/>
              <w:adjustRightInd w:val="false"/>
              <w:spacing w:before="0"/>
              <w:rPr>
                <w:sz w:val="23"/>
                <w:szCs w:val="23"/>
              </w:rPr>
            </w:pPr>
            <w:r>
              <w:rPr>
                <w:sz w:val="23"/>
                <w:szCs w:val="23"/>
              </w:rPr>
              <w:t xml:space="preserve">Elaboration et diffusion </w:t>
            </w:r>
            <w:r>
              <w:rPr>
                <w:sz w:val="23"/>
                <w:szCs w:val="23"/>
              </w:rPr>
              <w:t xml:space="preserve">de </w:t>
            </w:r>
            <w:r>
              <w:rPr>
                <w:sz w:val="23"/>
                <w:szCs w:val="23"/>
              </w:rPr>
              <w:t>kit sur la gestion des emballages</w:t>
            </w:r>
          </w:p>
        </w:tc>
        <w:tc>
          <w:tcPr>
            <w:tcW w:w="2409" w:type="dxa"/>
            <w:tcBorders/>
          </w:tcPr>
          <w:p>
            <w:pPr>
              <w:pStyle w:val="style0"/>
              <w:autoSpaceDE w:val="false"/>
              <w:autoSpaceDN w:val="false"/>
              <w:adjustRightInd w:val="false"/>
              <w:spacing w:before="0"/>
              <w:rPr>
                <w:sz w:val="23"/>
                <w:szCs w:val="23"/>
              </w:rPr>
            </w:pPr>
            <w:r>
              <w:rPr>
                <w:sz w:val="23"/>
                <w:szCs w:val="23"/>
              </w:rPr>
              <w:t>DPVC</w:t>
            </w:r>
            <w:r>
              <w:rPr>
                <w:sz w:val="23"/>
                <w:szCs w:val="23"/>
              </w:rPr>
              <w:t>, PDCA</w:t>
            </w:r>
          </w:p>
        </w:tc>
        <w:tc>
          <w:tcPr>
            <w:tcW w:w="3693" w:type="dxa"/>
            <w:tcBorders/>
          </w:tcPr>
          <w:p>
            <w:pPr>
              <w:pStyle w:val="style0"/>
              <w:autoSpaceDE w:val="false"/>
              <w:autoSpaceDN w:val="false"/>
              <w:adjustRightInd w:val="false"/>
              <w:spacing w:before="0"/>
              <w:rPr>
                <w:sz w:val="23"/>
                <w:szCs w:val="23"/>
              </w:rPr>
            </w:pPr>
            <w:r>
              <w:rPr>
                <w:sz w:val="23"/>
                <w:szCs w:val="23"/>
              </w:rPr>
              <w:t>Kits élaborés</w:t>
            </w:r>
          </w:p>
          <w:p>
            <w:pPr>
              <w:pStyle w:val="style0"/>
              <w:autoSpaceDE w:val="false"/>
              <w:autoSpaceDN w:val="false"/>
              <w:adjustRightInd w:val="false"/>
              <w:spacing w:before="0"/>
              <w:rPr>
                <w:sz w:val="23"/>
                <w:szCs w:val="23"/>
              </w:rPr>
            </w:pPr>
            <w:r>
              <w:rPr>
                <w:sz w:val="23"/>
                <w:szCs w:val="23"/>
              </w:rPr>
              <w:t>Kits mis à la disposition des acteurs</w:t>
            </w:r>
          </w:p>
        </w:tc>
        <w:tc>
          <w:tcPr>
            <w:tcW w:w="3535" w:type="dxa"/>
            <w:tcBorders/>
          </w:tcPr>
          <w:p>
            <w:pPr>
              <w:pStyle w:val="style0"/>
              <w:autoSpaceDE w:val="false"/>
              <w:autoSpaceDN w:val="false"/>
              <w:adjustRightInd w:val="false"/>
              <w:spacing w:before="0"/>
              <w:rPr>
                <w:sz w:val="23"/>
                <w:szCs w:val="23"/>
              </w:rPr>
            </w:pPr>
            <w:r>
              <w:rPr>
                <w:sz w:val="23"/>
                <w:szCs w:val="23"/>
              </w:rPr>
              <w:t>Au démarrage du pro</w:t>
            </w:r>
            <w:r>
              <w:rPr>
                <w:sz w:val="23"/>
                <w:szCs w:val="23"/>
              </w:rPr>
              <w:t xml:space="preserve">gramme </w:t>
            </w:r>
          </w:p>
        </w:tc>
      </w:tr>
      <w:tr>
        <w:tblPrEx/>
        <w:trPr/>
        <w:tc>
          <w:tcPr>
            <w:tcW w:w="4503" w:type="dxa"/>
            <w:tcBorders/>
          </w:tcPr>
          <w:p>
            <w:pPr>
              <w:pStyle w:val="style0"/>
              <w:autoSpaceDE w:val="false"/>
              <w:autoSpaceDN w:val="false"/>
              <w:adjustRightInd w:val="false"/>
              <w:spacing w:before="0"/>
              <w:rPr>
                <w:sz w:val="23"/>
                <w:szCs w:val="23"/>
              </w:rPr>
            </w:pPr>
            <w:r>
              <w:rPr>
                <w:sz w:val="23"/>
                <w:szCs w:val="23"/>
              </w:rPr>
              <w:t>Formation des agents de santé en prise en charge des intoxiqués par les pesticides</w:t>
            </w:r>
          </w:p>
        </w:tc>
        <w:tc>
          <w:tcPr>
            <w:tcW w:w="2409" w:type="dxa"/>
            <w:tcBorders/>
          </w:tcPr>
          <w:p>
            <w:pPr>
              <w:pStyle w:val="style0"/>
              <w:autoSpaceDE w:val="false"/>
              <w:autoSpaceDN w:val="false"/>
              <w:adjustRightInd w:val="false"/>
              <w:spacing w:before="0"/>
              <w:rPr>
                <w:sz w:val="23"/>
                <w:szCs w:val="23"/>
              </w:rPr>
            </w:pPr>
            <w:r>
              <w:rPr>
                <w:sz w:val="23"/>
                <w:szCs w:val="23"/>
              </w:rPr>
              <w:t>Ministère Santé, DPVC, IRSS</w:t>
            </w:r>
          </w:p>
        </w:tc>
        <w:tc>
          <w:tcPr>
            <w:tcW w:w="3693" w:type="dxa"/>
            <w:tcBorders/>
          </w:tcPr>
          <w:p>
            <w:pPr>
              <w:pStyle w:val="style0"/>
              <w:autoSpaceDE w:val="false"/>
              <w:autoSpaceDN w:val="false"/>
              <w:adjustRightInd w:val="false"/>
              <w:spacing w:before="0"/>
              <w:rPr>
                <w:sz w:val="23"/>
                <w:szCs w:val="23"/>
              </w:rPr>
            </w:pPr>
            <w:r>
              <w:rPr>
                <w:sz w:val="23"/>
                <w:szCs w:val="23"/>
              </w:rPr>
              <w:t>Nombre d’agents de santé formés</w:t>
            </w:r>
          </w:p>
        </w:tc>
        <w:tc>
          <w:tcPr>
            <w:tcW w:w="3535" w:type="dxa"/>
            <w:tcBorders/>
          </w:tcPr>
          <w:p>
            <w:pPr>
              <w:pStyle w:val="style0"/>
              <w:autoSpaceDE w:val="false"/>
              <w:autoSpaceDN w:val="false"/>
              <w:adjustRightInd w:val="false"/>
              <w:spacing w:before="0"/>
              <w:rPr>
                <w:sz w:val="23"/>
                <w:szCs w:val="23"/>
              </w:rPr>
            </w:pPr>
            <w:r>
              <w:rPr>
                <w:sz w:val="23"/>
                <w:szCs w:val="23"/>
              </w:rPr>
              <w:t xml:space="preserve">Au </w:t>
            </w:r>
            <w:r>
              <w:rPr>
                <w:sz w:val="23"/>
                <w:szCs w:val="23"/>
              </w:rPr>
              <w:t>démarrage et ch</w:t>
            </w:r>
            <w:r>
              <w:rPr>
                <w:sz w:val="23"/>
                <w:szCs w:val="23"/>
              </w:rPr>
              <w:t>aque deux ans</w:t>
            </w:r>
          </w:p>
        </w:tc>
      </w:tr>
      <w:tr>
        <w:tblPrEx/>
        <w:trPr/>
        <w:tc>
          <w:tcPr>
            <w:tcW w:w="4503" w:type="dxa"/>
            <w:tcBorders/>
          </w:tcPr>
          <w:p>
            <w:pPr>
              <w:pStyle w:val="style0"/>
              <w:autoSpaceDE w:val="false"/>
              <w:autoSpaceDN w:val="false"/>
              <w:adjustRightInd w:val="false"/>
              <w:spacing w:before="0"/>
              <w:rPr>
                <w:bCs/>
                <w:iCs/>
                <w:sz w:val="23"/>
                <w:szCs w:val="23"/>
              </w:rPr>
            </w:pPr>
            <w:r>
              <w:rPr>
                <w:bCs/>
                <w:iCs/>
                <w:sz w:val="23"/>
                <w:szCs w:val="23"/>
              </w:rPr>
              <w:t>Formation des producteurs</w:t>
            </w:r>
          </w:p>
        </w:tc>
        <w:tc>
          <w:tcPr>
            <w:tcW w:w="2409" w:type="dxa"/>
            <w:tcBorders/>
          </w:tcPr>
          <w:p>
            <w:pPr>
              <w:pStyle w:val="style0"/>
              <w:autoSpaceDE w:val="false"/>
              <w:autoSpaceDN w:val="false"/>
              <w:adjustRightInd w:val="false"/>
              <w:spacing w:before="0"/>
              <w:rPr>
                <w:sz w:val="23"/>
                <w:szCs w:val="23"/>
              </w:rPr>
            </w:pPr>
            <w:r>
              <w:rPr>
                <w:sz w:val="23"/>
                <w:szCs w:val="23"/>
              </w:rPr>
              <w:t>DPVC, INERA</w:t>
            </w:r>
            <w:r>
              <w:rPr>
                <w:sz w:val="23"/>
                <w:szCs w:val="23"/>
              </w:rPr>
              <w:t>, PDCA</w:t>
            </w:r>
          </w:p>
        </w:tc>
        <w:tc>
          <w:tcPr>
            <w:tcW w:w="3693" w:type="dxa"/>
            <w:tcBorders/>
          </w:tcPr>
          <w:p>
            <w:pPr>
              <w:pStyle w:val="style0"/>
              <w:autoSpaceDE w:val="false"/>
              <w:autoSpaceDN w:val="false"/>
              <w:adjustRightInd w:val="false"/>
              <w:spacing w:before="0"/>
              <w:rPr>
                <w:sz w:val="23"/>
                <w:szCs w:val="23"/>
              </w:rPr>
            </w:pPr>
            <w:r>
              <w:rPr>
                <w:sz w:val="23"/>
                <w:szCs w:val="23"/>
              </w:rPr>
              <w:t>Nombre de sessions</w:t>
            </w:r>
          </w:p>
          <w:p>
            <w:pPr>
              <w:pStyle w:val="style0"/>
              <w:autoSpaceDE w:val="false"/>
              <w:autoSpaceDN w:val="false"/>
              <w:adjustRightInd w:val="false"/>
              <w:spacing w:before="0"/>
              <w:rPr>
                <w:sz w:val="23"/>
                <w:szCs w:val="23"/>
              </w:rPr>
            </w:pPr>
            <w:r>
              <w:rPr>
                <w:sz w:val="23"/>
                <w:szCs w:val="23"/>
              </w:rPr>
              <w:t>Nombre de producteurs formés</w:t>
            </w:r>
          </w:p>
        </w:tc>
        <w:tc>
          <w:tcPr>
            <w:tcW w:w="3535" w:type="dxa"/>
            <w:tcBorders/>
          </w:tcPr>
          <w:p>
            <w:pPr>
              <w:pStyle w:val="style0"/>
              <w:autoSpaceDE w:val="false"/>
              <w:autoSpaceDN w:val="false"/>
              <w:adjustRightInd w:val="false"/>
              <w:spacing w:before="0"/>
              <w:rPr>
                <w:sz w:val="23"/>
                <w:szCs w:val="23"/>
              </w:rPr>
            </w:pPr>
            <w:r>
              <w:rPr>
                <w:sz w:val="23"/>
                <w:szCs w:val="23"/>
              </w:rPr>
              <w:t>Chaque année</w:t>
            </w:r>
          </w:p>
        </w:tc>
      </w:tr>
      <w:tr>
        <w:tblPrEx/>
        <w:trPr/>
        <w:tc>
          <w:tcPr>
            <w:tcW w:w="4503" w:type="dxa"/>
            <w:tcBorders/>
          </w:tcPr>
          <w:p>
            <w:pPr>
              <w:pStyle w:val="style0"/>
              <w:autoSpaceDE w:val="false"/>
              <w:autoSpaceDN w:val="false"/>
              <w:adjustRightInd w:val="false"/>
              <w:spacing w:before="0"/>
              <w:rPr>
                <w:sz w:val="23"/>
                <w:szCs w:val="23"/>
              </w:rPr>
            </w:pPr>
            <w:r>
              <w:rPr>
                <w:bCs/>
                <w:iCs/>
                <w:sz w:val="23"/>
                <w:szCs w:val="23"/>
              </w:rPr>
              <w:t>Sensibilisation/vulgarisation des bonnes pratiques d’utilisation des pesticides</w:t>
            </w:r>
          </w:p>
        </w:tc>
        <w:tc>
          <w:tcPr>
            <w:tcW w:w="2409" w:type="dxa"/>
            <w:tcBorders/>
          </w:tcPr>
          <w:p>
            <w:pPr>
              <w:pStyle w:val="style0"/>
              <w:autoSpaceDE w:val="false"/>
              <w:autoSpaceDN w:val="false"/>
              <w:adjustRightInd w:val="false"/>
              <w:spacing w:before="0"/>
              <w:rPr>
                <w:sz w:val="23"/>
                <w:szCs w:val="23"/>
              </w:rPr>
            </w:pPr>
            <w:r>
              <w:rPr>
                <w:sz w:val="23"/>
                <w:szCs w:val="23"/>
              </w:rPr>
              <w:t>DPVC, INERA</w:t>
            </w:r>
          </w:p>
        </w:tc>
        <w:tc>
          <w:tcPr>
            <w:tcW w:w="3693" w:type="dxa"/>
            <w:tcBorders/>
          </w:tcPr>
          <w:p>
            <w:pPr>
              <w:pStyle w:val="style0"/>
              <w:autoSpaceDE w:val="false"/>
              <w:autoSpaceDN w:val="false"/>
              <w:adjustRightInd w:val="false"/>
              <w:spacing w:before="0"/>
              <w:rPr>
                <w:bCs/>
                <w:iCs/>
                <w:sz w:val="23"/>
                <w:szCs w:val="23"/>
              </w:rPr>
            </w:pPr>
            <w:r>
              <w:rPr>
                <w:sz w:val="23"/>
                <w:szCs w:val="23"/>
              </w:rPr>
              <w:t xml:space="preserve">Nombre de séances de </w:t>
            </w:r>
            <w:r>
              <w:rPr>
                <w:bCs/>
                <w:iCs/>
                <w:sz w:val="23"/>
                <w:szCs w:val="23"/>
              </w:rPr>
              <w:t xml:space="preserve">Sensibilisation /vulgarisation </w:t>
            </w:r>
          </w:p>
          <w:p>
            <w:pPr>
              <w:pStyle w:val="style0"/>
              <w:autoSpaceDE w:val="false"/>
              <w:autoSpaceDN w:val="false"/>
              <w:adjustRightInd w:val="false"/>
              <w:spacing w:before="0"/>
              <w:rPr>
                <w:sz w:val="23"/>
                <w:szCs w:val="23"/>
              </w:rPr>
            </w:pPr>
            <w:r>
              <w:rPr>
                <w:bCs/>
                <w:iCs/>
                <w:sz w:val="23"/>
                <w:szCs w:val="23"/>
              </w:rPr>
              <w:t>Nombre de producteurs touchés</w:t>
            </w:r>
          </w:p>
        </w:tc>
        <w:tc>
          <w:tcPr>
            <w:tcW w:w="3535" w:type="dxa"/>
            <w:tcBorders/>
          </w:tcPr>
          <w:p>
            <w:pPr>
              <w:pStyle w:val="style0"/>
              <w:autoSpaceDE w:val="false"/>
              <w:autoSpaceDN w:val="false"/>
              <w:adjustRightInd w:val="false"/>
              <w:spacing w:before="0"/>
              <w:rPr>
                <w:sz w:val="23"/>
                <w:szCs w:val="23"/>
              </w:rPr>
            </w:pPr>
            <w:r>
              <w:rPr>
                <w:sz w:val="23"/>
                <w:szCs w:val="23"/>
              </w:rPr>
              <w:t>Chaque année</w:t>
            </w:r>
          </w:p>
        </w:tc>
      </w:tr>
      <w:tr>
        <w:tblPrEx/>
        <w:trPr/>
        <w:tc>
          <w:tcPr>
            <w:tcW w:w="4503" w:type="dxa"/>
            <w:tcBorders/>
          </w:tcPr>
          <w:p>
            <w:pPr>
              <w:pStyle w:val="style0"/>
              <w:autoSpaceDE w:val="false"/>
              <w:autoSpaceDN w:val="false"/>
              <w:adjustRightInd w:val="false"/>
              <w:spacing w:before="0"/>
              <w:rPr>
                <w:sz w:val="23"/>
                <w:szCs w:val="23"/>
              </w:rPr>
            </w:pPr>
            <w:r>
              <w:rPr>
                <w:bCs/>
                <w:iCs/>
                <w:sz w:val="23"/>
                <w:szCs w:val="23"/>
              </w:rPr>
              <w:t>Diffusion d’émissions d’éducation environnementale</w:t>
            </w:r>
          </w:p>
        </w:tc>
        <w:tc>
          <w:tcPr>
            <w:tcW w:w="2409" w:type="dxa"/>
            <w:tcBorders/>
          </w:tcPr>
          <w:p>
            <w:pPr>
              <w:pStyle w:val="style0"/>
              <w:autoSpaceDE w:val="false"/>
              <w:autoSpaceDN w:val="false"/>
              <w:adjustRightInd w:val="false"/>
              <w:spacing w:before="0"/>
              <w:rPr>
                <w:sz w:val="23"/>
                <w:szCs w:val="23"/>
              </w:rPr>
            </w:pPr>
            <w:r>
              <w:rPr>
                <w:sz w:val="23"/>
                <w:szCs w:val="23"/>
              </w:rPr>
              <w:t>DGPE, P</w:t>
            </w:r>
            <w:r>
              <w:rPr>
                <w:sz w:val="23"/>
                <w:szCs w:val="23"/>
              </w:rPr>
              <w:t>DCA</w:t>
            </w:r>
          </w:p>
        </w:tc>
        <w:tc>
          <w:tcPr>
            <w:tcW w:w="3693" w:type="dxa"/>
            <w:tcBorders/>
          </w:tcPr>
          <w:p>
            <w:pPr>
              <w:pStyle w:val="style0"/>
              <w:autoSpaceDE w:val="false"/>
              <w:autoSpaceDN w:val="false"/>
              <w:adjustRightInd w:val="false"/>
              <w:spacing w:before="0"/>
              <w:rPr>
                <w:sz w:val="23"/>
                <w:szCs w:val="23"/>
              </w:rPr>
            </w:pPr>
            <w:r>
              <w:rPr>
                <w:sz w:val="23"/>
                <w:szCs w:val="23"/>
              </w:rPr>
              <w:t>Nombre d’émissions thématiques réalisées</w:t>
            </w:r>
          </w:p>
          <w:p>
            <w:pPr>
              <w:pStyle w:val="style0"/>
              <w:autoSpaceDE w:val="false"/>
              <w:autoSpaceDN w:val="false"/>
              <w:adjustRightInd w:val="false"/>
              <w:spacing w:before="0"/>
              <w:rPr>
                <w:sz w:val="23"/>
                <w:szCs w:val="23"/>
              </w:rPr>
            </w:pPr>
            <w:r>
              <w:rPr>
                <w:sz w:val="23"/>
                <w:szCs w:val="23"/>
              </w:rPr>
              <w:t>Nombre de diffusions</w:t>
            </w:r>
          </w:p>
        </w:tc>
        <w:tc>
          <w:tcPr>
            <w:tcW w:w="3535" w:type="dxa"/>
            <w:tcBorders/>
          </w:tcPr>
          <w:p>
            <w:pPr>
              <w:pStyle w:val="style0"/>
              <w:autoSpaceDE w:val="false"/>
              <w:autoSpaceDN w:val="false"/>
              <w:adjustRightInd w:val="false"/>
              <w:spacing w:before="0"/>
              <w:rPr>
                <w:sz w:val="23"/>
                <w:szCs w:val="23"/>
              </w:rPr>
            </w:pPr>
            <w:r>
              <w:rPr>
                <w:sz w:val="23"/>
                <w:szCs w:val="23"/>
              </w:rPr>
              <w:t>Durant tout le projet et chaque 1</w:t>
            </w:r>
            <w:r>
              <w:rPr>
                <w:sz w:val="23"/>
                <w:szCs w:val="23"/>
                <w:vertAlign w:val="superscript"/>
              </w:rPr>
              <w:t>er</w:t>
            </w:r>
            <w:r>
              <w:rPr>
                <w:sz w:val="23"/>
                <w:szCs w:val="23"/>
              </w:rPr>
              <w:t xml:space="preserve"> trimestre de l’année</w:t>
            </w:r>
          </w:p>
        </w:tc>
      </w:tr>
      <w:tr>
        <w:tblPrEx/>
        <w:trPr/>
        <w:tc>
          <w:tcPr>
            <w:tcW w:w="4503" w:type="dxa"/>
            <w:tcBorders/>
          </w:tcPr>
          <w:p>
            <w:pPr>
              <w:pStyle w:val="style0"/>
              <w:autoSpaceDE w:val="false"/>
              <w:autoSpaceDN w:val="false"/>
              <w:adjustRightInd w:val="false"/>
              <w:spacing w:before="0"/>
              <w:rPr>
                <w:bCs/>
                <w:iCs/>
                <w:sz w:val="23"/>
                <w:szCs w:val="23"/>
              </w:rPr>
            </w:pPr>
            <w:r>
              <w:rPr>
                <w:bCs/>
                <w:iCs/>
                <w:sz w:val="23"/>
                <w:szCs w:val="23"/>
              </w:rPr>
              <w:t>Acquisition de matériels de traitement pour les cliniques de plantes</w:t>
            </w:r>
          </w:p>
        </w:tc>
        <w:tc>
          <w:tcPr>
            <w:tcW w:w="2409" w:type="dxa"/>
            <w:tcBorders/>
          </w:tcPr>
          <w:p>
            <w:pPr>
              <w:pStyle w:val="style0"/>
              <w:autoSpaceDE w:val="false"/>
              <w:autoSpaceDN w:val="false"/>
              <w:adjustRightInd w:val="false"/>
              <w:spacing w:before="0"/>
              <w:rPr>
                <w:sz w:val="23"/>
                <w:szCs w:val="23"/>
              </w:rPr>
            </w:pPr>
            <w:r>
              <w:rPr>
                <w:sz w:val="23"/>
                <w:szCs w:val="23"/>
              </w:rPr>
              <w:t>DPVC</w:t>
            </w:r>
            <w:r>
              <w:rPr>
                <w:sz w:val="23"/>
                <w:szCs w:val="23"/>
              </w:rPr>
              <w:t>, PDCA</w:t>
            </w:r>
          </w:p>
        </w:tc>
        <w:tc>
          <w:tcPr>
            <w:tcW w:w="3693" w:type="dxa"/>
            <w:tcBorders/>
          </w:tcPr>
          <w:p>
            <w:pPr>
              <w:pStyle w:val="style0"/>
              <w:autoSpaceDE w:val="false"/>
              <w:autoSpaceDN w:val="false"/>
              <w:adjustRightInd w:val="false"/>
              <w:spacing w:before="0"/>
              <w:rPr>
                <w:sz w:val="23"/>
                <w:szCs w:val="23"/>
              </w:rPr>
            </w:pPr>
            <w:r>
              <w:rPr>
                <w:sz w:val="23"/>
                <w:szCs w:val="23"/>
              </w:rPr>
              <w:t xml:space="preserve">Nombre d’équipements de protection  acquis </w:t>
            </w:r>
          </w:p>
        </w:tc>
        <w:tc>
          <w:tcPr>
            <w:tcW w:w="3535" w:type="dxa"/>
            <w:tcBorders/>
          </w:tcPr>
          <w:p>
            <w:pPr>
              <w:pStyle w:val="style0"/>
              <w:autoSpaceDE w:val="false"/>
              <w:autoSpaceDN w:val="false"/>
              <w:adjustRightInd w:val="false"/>
              <w:spacing w:before="0"/>
              <w:rPr>
                <w:sz w:val="23"/>
                <w:szCs w:val="23"/>
              </w:rPr>
            </w:pPr>
            <w:r>
              <w:rPr>
                <w:sz w:val="23"/>
                <w:szCs w:val="23"/>
              </w:rPr>
              <w:t xml:space="preserve">Début de campagne et chaque année, avec une prévision de 30 par an </w:t>
            </w:r>
          </w:p>
        </w:tc>
      </w:tr>
      <w:tr>
        <w:tblPrEx/>
        <w:trPr/>
        <w:tc>
          <w:tcPr>
            <w:tcW w:w="4503" w:type="dxa"/>
            <w:tcBorders/>
          </w:tcPr>
          <w:p>
            <w:pPr>
              <w:pStyle w:val="style0"/>
              <w:autoSpaceDE w:val="false"/>
              <w:autoSpaceDN w:val="false"/>
              <w:adjustRightInd w:val="false"/>
              <w:spacing w:before="0"/>
              <w:rPr>
                <w:sz w:val="23"/>
                <w:szCs w:val="23"/>
              </w:rPr>
            </w:pPr>
            <w:r>
              <w:rPr>
                <w:sz w:val="23"/>
                <w:szCs w:val="23"/>
              </w:rPr>
              <w:t>Suivi de la mise en œuvre des mesures d’atténuation</w:t>
            </w:r>
          </w:p>
        </w:tc>
        <w:tc>
          <w:tcPr>
            <w:tcW w:w="2409" w:type="dxa"/>
            <w:tcBorders/>
          </w:tcPr>
          <w:p>
            <w:pPr>
              <w:pStyle w:val="style0"/>
              <w:autoSpaceDE w:val="false"/>
              <w:autoSpaceDN w:val="false"/>
              <w:adjustRightInd w:val="false"/>
              <w:spacing w:before="0"/>
              <w:rPr>
                <w:sz w:val="23"/>
                <w:szCs w:val="23"/>
              </w:rPr>
            </w:pPr>
            <w:r>
              <w:rPr>
                <w:sz w:val="23"/>
                <w:szCs w:val="23"/>
              </w:rPr>
              <w:t xml:space="preserve">BUNEE, Expert </w:t>
            </w:r>
            <w:r>
              <w:rPr>
                <w:sz w:val="23"/>
                <w:szCs w:val="23"/>
              </w:rPr>
              <w:t xml:space="preserve">Environnement PDCA </w:t>
            </w:r>
          </w:p>
        </w:tc>
        <w:tc>
          <w:tcPr>
            <w:tcW w:w="3693" w:type="dxa"/>
            <w:tcBorders/>
          </w:tcPr>
          <w:p>
            <w:pPr>
              <w:pStyle w:val="style0"/>
              <w:autoSpaceDE w:val="false"/>
              <w:autoSpaceDN w:val="false"/>
              <w:adjustRightInd w:val="false"/>
              <w:spacing w:before="0"/>
              <w:rPr>
                <w:sz w:val="23"/>
                <w:szCs w:val="23"/>
              </w:rPr>
            </w:pPr>
            <w:r>
              <w:rPr>
                <w:sz w:val="23"/>
                <w:szCs w:val="23"/>
              </w:rPr>
              <w:t xml:space="preserve">Rapport de mission </w:t>
            </w:r>
          </w:p>
        </w:tc>
        <w:tc>
          <w:tcPr>
            <w:tcW w:w="3535" w:type="dxa"/>
            <w:tcBorders/>
          </w:tcPr>
          <w:p>
            <w:pPr>
              <w:pStyle w:val="style0"/>
              <w:autoSpaceDE w:val="false"/>
              <w:autoSpaceDN w:val="false"/>
              <w:adjustRightInd w:val="false"/>
              <w:spacing w:before="0"/>
              <w:rPr>
                <w:sz w:val="23"/>
                <w:szCs w:val="23"/>
              </w:rPr>
            </w:pPr>
            <w:r>
              <w:rPr>
                <w:sz w:val="23"/>
                <w:szCs w:val="23"/>
              </w:rPr>
              <w:t>Chaque semestres</w:t>
            </w:r>
          </w:p>
        </w:tc>
      </w:tr>
      <w:tr>
        <w:tblPrEx/>
        <w:trPr/>
        <w:tc>
          <w:tcPr>
            <w:tcW w:w="4503" w:type="dxa"/>
            <w:tcBorders/>
          </w:tcPr>
          <w:p>
            <w:pPr>
              <w:pStyle w:val="style0"/>
              <w:autoSpaceDE w:val="false"/>
              <w:autoSpaceDN w:val="false"/>
              <w:adjustRightInd w:val="false"/>
              <w:spacing w:before="0"/>
              <w:rPr>
                <w:sz w:val="23"/>
                <w:szCs w:val="23"/>
              </w:rPr>
            </w:pPr>
            <w:r>
              <w:rPr>
                <w:sz w:val="23"/>
                <w:szCs w:val="23"/>
              </w:rPr>
              <w:t>Analyse de résidus dans l’environnement</w:t>
            </w:r>
          </w:p>
        </w:tc>
        <w:tc>
          <w:tcPr>
            <w:tcW w:w="2409" w:type="dxa"/>
            <w:tcBorders/>
          </w:tcPr>
          <w:p>
            <w:pPr>
              <w:pStyle w:val="style0"/>
              <w:autoSpaceDE w:val="false"/>
              <w:autoSpaceDN w:val="false"/>
              <w:adjustRightInd w:val="false"/>
              <w:spacing w:before="0"/>
              <w:rPr>
                <w:sz w:val="23"/>
                <w:szCs w:val="23"/>
              </w:rPr>
            </w:pPr>
            <w:r>
              <w:rPr>
                <w:sz w:val="23"/>
                <w:szCs w:val="23"/>
              </w:rPr>
              <w:t>LNSP, LQEA</w:t>
            </w:r>
            <w:r>
              <w:rPr>
                <w:sz w:val="23"/>
                <w:szCs w:val="23"/>
              </w:rPr>
              <w:t>, PDCA</w:t>
            </w:r>
          </w:p>
        </w:tc>
        <w:tc>
          <w:tcPr>
            <w:tcW w:w="3693" w:type="dxa"/>
            <w:tcBorders/>
          </w:tcPr>
          <w:p>
            <w:pPr>
              <w:pStyle w:val="style0"/>
              <w:autoSpaceDE w:val="false"/>
              <w:autoSpaceDN w:val="false"/>
              <w:adjustRightInd w:val="false"/>
              <w:spacing w:before="0"/>
              <w:rPr>
                <w:sz w:val="23"/>
                <w:szCs w:val="23"/>
              </w:rPr>
            </w:pPr>
            <w:r>
              <w:rPr>
                <w:sz w:val="23"/>
                <w:szCs w:val="23"/>
              </w:rPr>
              <w:t>Nombre d’analyse effectué, nombre de campagne d’échantillonnage</w:t>
            </w:r>
          </w:p>
        </w:tc>
        <w:tc>
          <w:tcPr>
            <w:tcW w:w="3535" w:type="dxa"/>
            <w:tcBorders/>
          </w:tcPr>
          <w:p>
            <w:pPr>
              <w:pStyle w:val="style0"/>
              <w:autoSpaceDE w:val="false"/>
              <w:autoSpaceDN w:val="false"/>
              <w:adjustRightInd w:val="false"/>
              <w:spacing w:before="0"/>
              <w:rPr>
                <w:sz w:val="23"/>
                <w:szCs w:val="23"/>
              </w:rPr>
            </w:pPr>
            <w:r>
              <w:rPr>
                <w:sz w:val="23"/>
                <w:szCs w:val="23"/>
              </w:rPr>
              <w:t>Au démarrage du pro</w:t>
            </w:r>
            <w:r>
              <w:rPr>
                <w:sz w:val="23"/>
                <w:szCs w:val="23"/>
              </w:rPr>
              <w:t xml:space="preserve">gramme, </w:t>
            </w:r>
            <w:r>
              <w:rPr>
                <w:sz w:val="23"/>
                <w:szCs w:val="23"/>
              </w:rPr>
              <w:t>et chaque deux ans</w:t>
            </w:r>
          </w:p>
        </w:tc>
      </w:tr>
      <w:tr>
        <w:tblPrEx/>
        <w:trPr/>
        <w:tc>
          <w:tcPr>
            <w:tcW w:w="4503" w:type="dxa"/>
            <w:tcBorders/>
          </w:tcPr>
          <w:p>
            <w:pPr>
              <w:pStyle w:val="style0"/>
              <w:autoSpaceDE w:val="false"/>
              <w:autoSpaceDN w:val="false"/>
              <w:adjustRightInd w:val="false"/>
              <w:spacing w:before="0"/>
              <w:rPr>
                <w:sz w:val="23"/>
                <w:szCs w:val="23"/>
              </w:rPr>
            </w:pPr>
            <w:r>
              <w:rPr>
                <w:sz w:val="23"/>
                <w:szCs w:val="23"/>
              </w:rPr>
              <w:t>Analyse des résidus dans les produits d’exportation</w:t>
            </w:r>
          </w:p>
        </w:tc>
        <w:tc>
          <w:tcPr>
            <w:tcW w:w="2409" w:type="dxa"/>
            <w:tcBorders/>
          </w:tcPr>
          <w:p>
            <w:pPr>
              <w:pStyle w:val="style0"/>
              <w:autoSpaceDE w:val="false"/>
              <w:autoSpaceDN w:val="false"/>
              <w:adjustRightInd w:val="false"/>
              <w:spacing w:before="0"/>
              <w:rPr>
                <w:sz w:val="23"/>
                <w:szCs w:val="23"/>
              </w:rPr>
            </w:pPr>
            <w:r>
              <w:rPr>
                <w:bCs/>
                <w:sz w:val="23"/>
                <w:szCs w:val="23"/>
              </w:rPr>
              <w:t>LNSP</w:t>
            </w:r>
            <w:r>
              <w:rPr>
                <w:bCs/>
                <w:sz w:val="23"/>
                <w:szCs w:val="23"/>
              </w:rPr>
              <w:t>, LQEA, PDCA</w:t>
            </w:r>
          </w:p>
        </w:tc>
        <w:tc>
          <w:tcPr>
            <w:tcW w:w="3693" w:type="dxa"/>
            <w:tcBorders/>
          </w:tcPr>
          <w:p>
            <w:pPr>
              <w:pStyle w:val="style0"/>
              <w:autoSpaceDE w:val="false"/>
              <w:autoSpaceDN w:val="false"/>
              <w:adjustRightInd w:val="false"/>
              <w:spacing w:before="0"/>
              <w:rPr>
                <w:sz w:val="23"/>
                <w:szCs w:val="23"/>
              </w:rPr>
            </w:pPr>
            <w:r>
              <w:rPr>
                <w:sz w:val="23"/>
                <w:szCs w:val="23"/>
              </w:rPr>
              <w:t xml:space="preserve">Nombre d’analyse effectuée </w:t>
            </w:r>
          </w:p>
          <w:p>
            <w:pPr>
              <w:pStyle w:val="style0"/>
              <w:autoSpaceDE w:val="false"/>
              <w:autoSpaceDN w:val="false"/>
              <w:adjustRightInd w:val="false"/>
              <w:spacing w:before="0"/>
              <w:rPr>
                <w:sz w:val="23"/>
                <w:szCs w:val="23"/>
              </w:rPr>
            </w:pPr>
            <w:r>
              <w:rPr>
                <w:sz w:val="23"/>
                <w:szCs w:val="23"/>
              </w:rPr>
              <w:t xml:space="preserve">Résultats d’analyse </w:t>
            </w:r>
          </w:p>
        </w:tc>
        <w:tc>
          <w:tcPr>
            <w:tcW w:w="3535" w:type="dxa"/>
            <w:tcBorders/>
          </w:tcPr>
          <w:p>
            <w:pPr>
              <w:pStyle w:val="style0"/>
              <w:autoSpaceDE w:val="false"/>
              <w:autoSpaceDN w:val="false"/>
              <w:adjustRightInd w:val="false"/>
              <w:spacing w:before="0"/>
              <w:rPr>
                <w:sz w:val="23"/>
                <w:szCs w:val="23"/>
              </w:rPr>
            </w:pPr>
            <w:r>
              <w:rPr>
                <w:sz w:val="23"/>
                <w:szCs w:val="23"/>
              </w:rPr>
              <w:t>A chaque campagne de production</w:t>
            </w:r>
          </w:p>
        </w:tc>
      </w:tr>
      <w:tr>
        <w:tblPrEx/>
        <w:trPr/>
        <w:tc>
          <w:tcPr>
            <w:tcW w:w="4503" w:type="dxa"/>
            <w:tcBorders/>
          </w:tcPr>
          <w:p>
            <w:pPr>
              <w:pStyle w:val="style0"/>
              <w:autoSpaceDE w:val="false"/>
              <w:autoSpaceDN w:val="false"/>
              <w:adjustRightInd w:val="false"/>
              <w:spacing w:before="0"/>
              <w:rPr>
                <w:sz w:val="23"/>
                <w:szCs w:val="23"/>
              </w:rPr>
            </w:pPr>
            <w:r>
              <w:rPr>
                <w:sz w:val="23"/>
                <w:szCs w:val="23"/>
              </w:rPr>
              <w:t>Collecte et décontamination des emballages vides</w:t>
            </w:r>
          </w:p>
        </w:tc>
        <w:tc>
          <w:tcPr>
            <w:tcW w:w="2409" w:type="dxa"/>
            <w:tcBorders/>
          </w:tcPr>
          <w:p>
            <w:pPr>
              <w:pStyle w:val="style0"/>
              <w:autoSpaceDE w:val="false"/>
              <w:autoSpaceDN w:val="false"/>
              <w:adjustRightInd w:val="false"/>
              <w:spacing w:before="0"/>
              <w:rPr>
                <w:sz w:val="23"/>
                <w:szCs w:val="23"/>
              </w:rPr>
            </w:pPr>
            <w:r>
              <w:rPr>
                <w:sz w:val="23"/>
                <w:szCs w:val="23"/>
              </w:rPr>
              <w:t>DPVC, CRTP</w:t>
            </w:r>
            <w:r>
              <w:rPr>
                <w:sz w:val="23"/>
                <w:szCs w:val="23"/>
              </w:rPr>
              <w:t>, PDCA, SAPHYTO</w:t>
            </w:r>
          </w:p>
        </w:tc>
        <w:tc>
          <w:tcPr>
            <w:tcW w:w="3693" w:type="dxa"/>
            <w:tcBorders/>
          </w:tcPr>
          <w:p>
            <w:pPr>
              <w:pStyle w:val="style0"/>
              <w:autoSpaceDE w:val="false"/>
              <w:autoSpaceDN w:val="false"/>
              <w:adjustRightInd w:val="false"/>
              <w:spacing w:before="0"/>
              <w:rPr>
                <w:sz w:val="23"/>
                <w:szCs w:val="23"/>
              </w:rPr>
            </w:pPr>
            <w:r>
              <w:rPr>
                <w:sz w:val="23"/>
                <w:szCs w:val="23"/>
              </w:rPr>
              <w:t>Nombre de collecteurs formés</w:t>
            </w:r>
          </w:p>
          <w:p>
            <w:pPr>
              <w:pStyle w:val="style0"/>
              <w:autoSpaceDE w:val="false"/>
              <w:autoSpaceDN w:val="false"/>
              <w:adjustRightInd w:val="false"/>
              <w:spacing w:before="0"/>
              <w:rPr>
                <w:sz w:val="23"/>
                <w:szCs w:val="23"/>
              </w:rPr>
            </w:pPr>
            <w:r>
              <w:rPr>
                <w:sz w:val="23"/>
                <w:szCs w:val="23"/>
              </w:rPr>
              <w:t xml:space="preserve">Nombre de contenants collectés et décontaminés </w:t>
            </w:r>
          </w:p>
        </w:tc>
        <w:tc>
          <w:tcPr>
            <w:tcW w:w="3535" w:type="dxa"/>
            <w:tcBorders/>
          </w:tcPr>
          <w:p>
            <w:pPr>
              <w:pStyle w:val="style0"/>
              <w:autoSpaceDE w:val="false"/>
              <w:autoSpaceDN w:val="false"/>
              <w:adjustRightInd w:val="false"/>
              <w:spacing w:before="0"/>
              <w:rPr>
                <w:sz w:val="23"/>
                <w:szCs w:val="23"/>
              </w:rPr>
            </w:pPr>
            <w:r>
              <w:rPr>
                <w:sz w:val="23"/>
                <w:szCs w:val="23"/>
              </w:rPr>
              <w:t xml:space="preserve">Fin de campagne </w:t>
            </w:r>
            <w:r>
              <w:rPr>
                <w:sz w:val="23"/>
                <w:szCs w:val="23"/>
              </w:rPr>
              <w:t xml:space="preserve">et par an </w:t>
            </w:r>
          </w:p>
        </w:tc>
      </w:tr>
      <w:tr>
        <w:tblPrEx/>
        <w:trPr/>
        <w:tc>
          <w:tcPr>
            <w:tcW w:w="4503" w:type="dxa"/>
            <w:tcBorders/>
          </w:tcPr>
          <w:p>
            <w:pPr>
              <w:pStyle w:val="style0"/>
              <w:autoSpaceDE w:val="false"/>
              <w:autoSpaceDN w:val="false"/>
              <w:adjustRightInd w:val="false"/>
              <w:spacing w:before="0"/>
              <w:rPr>
                <w:sz w:val="23"/>
                <w:szCs w:val="23"/>
              </w:rPr>
            </w:pPr>
            <w:r>
              <w:rPr>
                <w:sz w:val="23"/>
                <w:szCs w:val="23"/>
              </w:rPr>
              <w:t>Equipements des formations sanitaires en kits de santé</w:t>
            </w:r>
          </w:p>
        </w:tc>
        <w:tc>
          <w:tcPr>
            <w:tcW w:w="2409" w:type="dxa"/>
            <w:tcBorders/>
          </w:tcPr>
          <w:p>
            <w:pPr>
              <w:pStyle w:val="style0"/>
              <w:autoSpaceDE w:val="false"/>
              <w:autoSpaceDN w:val="false"/>
              <w:adjustRightInd w:val="false"/>
              <w:spacing w:before="0"/>
              <w:rPr>
                <w:sz w:val="23"/>
                <w:szCs w:val="23"/>
              </w:rPr>
            </w:pPr>
            <w:r>
              <w:rPr>
                <w:sz w:val="23"/>
                <w:szCs w:val="23"/>
              </w:rPr>
              <w:t>PTAAO et Ministère Santé</w:t>
            </w:r>
          </w:p>
        </w:tc>
        <w:tc>
          <w:tcPr>
            <w:tcW w:w="3693" w:type="dxa"/>
            <w:tcBorders/>
          </w:tcPr>
          <w:p>
            <w:pPr>
              <w:pStyle w:val="style0"/>
              <w:autoSpaceDE w:val="false"/>
              <w:autoSpaceDN w:val="false"/>
              <w:adjustRightInd w:val="false"/>
              <w:spacing w:before="0"/>
              <w:rPr>
                <w:sz w:val="23"/>
                <w:szCs w:val="23"/>
              </w:rPr>
            </w:pPr>
            <w:r>
              <w:rPr>
                <w:sz w:val="23"/>
                <w:szCs w:val="23"/>
              </w:rPr>
              <w:t>Nombre et type de kits réceptionnés</w:t>
            </w:r>
          </w:p>
        </w:tc>
        <w:tc>
          <w:tcPr>
            <w:tcW w:w="3535" w:type="dxa"/>
            <w:tcBorders/>
          </w:tcPr>
          <w:p>
            <w:pPr>
              <w:pStyle w:val="style0"/>
              <w:autoSpaceDE w:val="false"/>
              <w:autoSpaceDN w:val="false"/>
              <w:adjustRightInd w:val="false"/>
              <w:spacing w:before="0"/>
              <w:rPr>
                <w:sz w:val="23"/>
                <w:szCs w:val="23"/>
              </w:rPr>
            </w:pPr>
            <w:r>
              <w:rPr>
                <w:sz w:val="23"/>
                <w:szCs w:val="23"/>
              </w:rPr>
              <w:t>Au démarrage du projet</w:t>
            </w:r>
          </w:p>
        </w:tc>
      </w:tr>
      <w:tr>
        <w:tblPrEx/>
        <w:trPr/>
        <w:tc>
          <w:tcPr>
            <w:tcW w:w="4503" w:type="dxa"/>
            <w:tcBorders/>
          </w:tcPr>
          <w:p>
            <w:pPr>
              <w:pStyle w:val="style0"/>
              <w:autoSpaceDE w:val="false"/>
              <w:autoSpaceDN w:val="false"/>
              <w:adjustRightInd w:val="false"/>
              <w:spacing w:before="0"/>
              <w:rPr>
                <w:sz w:val="23"/>
                <w:szCs w:val="23"/>
              </w:rPr>
            </w:pPr>
            <w:r>
              <w:rPr>
                <w:sz w:val="23"/>
                <w:szCs w:val="23"/>
              </w:rPr>
              <w:t>Prise en charge des intoxiqués par les pesticides</w:t>
            </w:r>
          </w:p>
        </w:tc>
        <w:tc>
          <w:tcPr>
            <w:tcW w:w="2409" w:type="dxa"/>
            <w:tcBorders/>
          </w:tcPr>
          <w:p>
            <w:pPr>
              <w:pStyle w:val="style0"/>
              <w:autoSpaceDE w:val="false"/>
              <w:autoSpaceDN w:val="false"/>
              <w:adjustRightInd w:val="false"/>
              <w:spacing w:before="0"/>
              <w:rPr>
                <w:sz w:val="23"/>
                <w:szCs w:val="23"/>
              </w:rPr>
            </w:pPr>
            <w:r>
              <w:rPr>
                <w:sz w:val="23"/>
                <w:szCs w:val="23"/>
              </w:rPr>
              <w:t>Ministère Santé</w:t>
            </w:r>
          </w:p>
        </w:tc>
        <w:tc>
          <w:tcPr>
            <w:tcW w:w="3693" w:type="dxa"/>
            <w:tcBorders/>
          </w:tcPr>
          <w:p>
            <w:pPr>
              <w:pStyle w:val="style0"/>
              <w:autoSpaceDE w:val="false"/>
              <w:autoSpaceDN w:val="false"/>
              <w:adjustRightInd w:val="false"/>
              <w:spacing w:before="0"/>
              <w:rPr>
                <w:sz w:val="23"/>
                <w:szCs w:val="23"/>
              </w:rPr>
            </w:pPr>
            <w:r>
              <w:rPr>
                <w:sz w:val="23"/>
                <w:szCs w:val="23"/>
              </w:rPr>
              <w:t>Nombre de personnes prises en charge</w:t>
            </w:r>
          </w:p>
        </w:tc>
        <w:tc>
          <w:tcPr>
            <w:tcW w:w="3535" w:type="dxa"/>
            <w:tcBorders/>
          </w:tcPr>
          <w:p>
            <w:pPr>
              <w:pStyle w:val="style0"/>
              <w:autoSpaceDE w:val="false"/>
              <w:autoSpaceDN w:val="false"/>
              <w:adjustRightInd w:val="false"/>
              <w:spacing w:before="0"/>
              <w:rPr>
                <w:sz w:val="23"/>
                <w:szCs w:val="23"/>
              </w:rPr>
            </w:pPr>
            <w:r>
              <w:rPr>
                <w:sz w:val="23"/>
                <w:szCs w:val="23"/>
              </w:rPr>
              <w:t>Début de la campagne de production</w:t>
            </w:r>
          </w:p>
        </w:tc>
      </w:tr>
      <w:tr>
        <w:tblPrEx/>
        <w:trPr/>
        <w:tc>
          <w:tcPr>
            <w:tcW w:w="4503" w:type="dxa"/>
            <w:tcBorders/>
          </w:tcPr>
          <w:p>
            <w:pPr>
              <w:pStyle w:val="style0"/>
              <w:autoSpaceDE w:val="false"/>
              <w:autoSpaceDN w:val="false"/>
              <w:adjustRightInd w:val="false"/>
              <w:spacing w:before="0"/>
              <w:rPr>
                <w:sz w:val="23"/>
                <w:szCs w:val="23"/>
              </w:rPr>
            </w:pPr>
            <w:r>
              <w:rPr>
                <w:sz w:val="23"/>
                <w:szCs w:val="23"/>
              </w:rPr>
              <w:t>Fonctionnement de la coordination du projet</w:t>
            </w:r>
          </w:p>
        </w:tc>
        <w:tc>
          <w:tcPr>
            <w:tcW w:w="2409" w:type="dxa"/>
            <w:tcBorders/>
          </w:tcPr>
          <w:p>
            <w:pPr>
              <w:pStyle w:val="style0"/>
              <w:autoSpaceDE w:val="false"/>
              <w:autoSpaceDN w:val="false"/>
              <w:adjustRightInd w:val="false"/>
              <w:spacing w:before="0"/>
              <w:rPr>
                <w:sz w:val="23"/>
                <w:szCs w:val="23"/>
              </w:rPr>
            </w:pPr>
            <w:r>
              <w:rPr>
                <w:sz w:val="23"/>
                <w:szCs w:val="23"/>
              </w:rPr>
              <w:t>P</w:t>
            </w:r>
            <w:r>
              <w:rPr>
                <w:sz w:val="23"/>
                <w:szCs w:val="23"/>
              </w:rPr>
              <w:t>DCA</w:t>
            </w:r>
          </w:p>
        </w:tc>
        <w:tc>
          <w:tcPr>
            <w:tcW w:w="3693" w:type="dxa"/>
            <w:tcBorders/>
          </w:tcPr>
          <w:p>
            <w:pPr>
              <w:pStyle w:val="style0"/>
              <w:autoSpaceDE w:val="false"/>
              <w:autoSpaceDN w:val="false"/>
              <w:adjustRightInd w:val="false"/>
              <w:spacing w:before="0"/>
              <w:rPr>
                <w:sz w:val="23"/>
                <w:szCs w:val="23"/>
              </w:rPr>
            </w:pPr>
            <w:r>
              <w:rPr>
                <w:sz w:val="23"/>
                <w:szCs w:val="23"/>
              </w:rPr>
              <w:t>Nombre de sessions tenues</w:t>
            </w:r>
          </w:p>
        </w:tc>
        <w:tc>
          <w:tcPr>
            <w:tcW w:w="3535" w:type="dxa"/>
            <w:tcBorders/>
          </w:tcPr>
          <w:p>
            <w:pPr>
              <w:pStyle w:val="style0"/>
              <w:autoSpaceDE w:val="false"/>
              <w:autoSpaceDN w:val="false"/>
              <w:adjustRightInd w:val="false"/>
              <w:spacing w:before="0"/>
              <w:rPr>
                <w:sz w:val="23"/>
                <w:szCs w:val="23"/>
              </w:rPr>
            </w:pPr>
            <w:r>
              <w:rPr>
                <w:sz w:val="23"/>
                <w:szCs w:val="23"/>
              </w:rPr>
              <w:t xml:space="preserve">Semestriellement </w:t>
            </w:r>
          </w:p>
        </w:tc>
      </w:tr>
    </w:tbl>
    <w:p>
      <w:pPr>
        <w:pStyle w:val="style0"/>
        <w:spacing w:before="0"/>
        <w:rPr>
          <w:sz w:val="23"/>
          <w:szCs w:val="23"/>
        </w:rPr>
      </w:pPr>
    </w:p>
    <w:p>
      <w:pPr>
        <w:pStyle w:val="style0"/>
        <w:spacing w:before="0"/>
        <w:rPr>
          <w:sz w:val="23"/>
          <w:szCs w:val="23"/>
        </w:rPr>
        <w:sectPr>
          <w:pgSz w:w="16840" w:h="11900" w:orient="landscape"/>
          <w:pgMar w:top="1417" w:right="1417" w:bottom="1417" w:left="1417" w:header="708" w:footer="708" w:gutter="0"/>
          <w:cols w:space="708"/>
          <w:docGrid w:linePitch="360"/>
        </w:sectPr>
      </w:pPr>
    </w:p>
    <w:p>
      <w:pPr>
        <w:pStyle w:val="style0"/>
        <w:spacing w:lineRule="auto" w:line="276"/>
        <w:rPr>
          <w:rFonts w:eastAsia="Calibri"/>
          <w:sz w:val="23"/>
          <w:szCs w:val="23"/>
        </w:rPr>
      </w:pPr>
    </w:p>
    <w:bookmarkStart w:id="461" w:name="_Toc514190180"/>
    <w:bookmarkStart w:id="462" w:name="_Toc2831231"/>
    <w:p>
      <w:pPr>
        <w:pStyle w:val="style2"/>
        <w:numPr>
          <w:ilvl w:val="1"/>
          <w:numId w:val="85"/>
        </w:numPr>
        <w:rPr/>
      </w:pPr>
      <w:r>
        <w:t xml:space="preserve">Budget prévisionnel de mise en œuvre du </w:t>
      </w:r>
      <w:bookmarkEnd w:id="461"/>
      <w:r>
        <w:t>MGIP</w:t>
      </w:r>
      <w:bookmarkEnd w:id="462"/>
    </w:p>
    <w:p>
      <w:pPr>
        <w:pStyle w:val="style0"/>
        <w:rPr/>
      </w:pPr>
      <w:r>
        <w:t>Le budget prévisionnel des activités à mettre e</w:t>
      </w:r>
      <w:r>
        <w:t>n œuvre dans le cadre de ce PGP</w:t>
      </w:r>
      <w:r>
        <w:t xml:space="preserve"> et </w:t>
      </w:r>
      <w:r>
        <w:t>donné dans le tableau 24</w:t>
      </w:r>
      <w:r>
        <w:t>,</w:t>
      </w:r>
      <w:r>
        <w:t xml:space="preserve"> vise à atténuer les contraintes et risques identifiés. Il découle du programme de mise en œuvre du</w:t>
      </w:r>
      <w:r>
        <w:t xml:space="preserve"> MGIP </w:t>
      </w:r>
      <w:r>
        <w:t xml:space="preserve">et </w:t>
      </w:r>
      <w:r>
        <w:t>des activités identifiées dans le tableau 23 ci-dessus</w:t>
      </w:r>
      <w:r>
        <w:t>.</w:t>
      </w:r>
      <w:r>
        <w:t xml:space="preserve"> Ainsi, le budget est donné en fonction du besoin de financement des différentes activités identifiées dans le plan. Il est décliné en termes de lignes budgétaires, y compris la formation, l’acquisition de matériel et d’équipements, le fonctionnement et le suivi. </w:t>
      </w:r>
    </w:p>
    <w:p>
      <w:pPr>
        <w:pStyle w:val="style0"/>
        <w:spacing w:lineRule="auto" w:line="276"/>
        <w:rPr>
          <w:sz w:val="23"/>
          <w:szCs w:val="23"/>
        </w:rPr>
        <w:sectPr>
          <w:pgSz w:w="11906" w:h="16838" w:orient="portrait"/>
          <w:pgMar w:top="1417" w:right="1417" w:bottom="1417" w:left="1417" w:header="708" w:footer="708" w:gutter="0"/>
          <w:pgBorders w:zOrder="front" w:display="allPages" w:offsetFrom="page">
            <w:top w:val="single" w:sz="4" w:space="24" w:color="ffffff"/>
          </w:pgBorders>
          <w:cols w:space="708"/>
          <w:docGrid w:linePitch="360"/>
        </w:sectPr>
      </w:pPr>
    </w:p>
    <w:bookmarkStart w:id="463" w:name="_Toc260231"/>
    <w:p>
      <w:pPr>
        <w:pStyle w:val="style0"/>
        <w:spacing w:lineRule="auto" w:line="276"/>
        <w:rPr>
          <w:rFonts w:eastAsia="Calibri"/>
          <w:i/>
          <w:iCs/>
          <w:color w:val="1f497d"/>
          <w:sz w:val="20"/>
          <w:szCs w:val="20"/>
        </w:rPr>
      </w:pPr>
      <w:r>
        <w:rPr>
          <w:sz w:val="20"/>
          <w:szCs w:val="20"/>
        </w:rPr>
        <w:t xml:space="preserve">Tableau </w:t>
      </w:r>
      <w:r>
        <w:rPr>
          <w:sz w:val="20"/>
          <w:szCs w:val="20"/>
        </w:rPr>
        <w:fldChar w:fldCharType="begin"/>
      </w:r>
      <w:r>
        <w:rPr>
          <w:sz w:val="20"/>
          <w:szCs w:val="20"/>
        </w:rPr>
        <w:instrText xml:space="preserve"> </w:instrText>
      </w:r>
      <w:r>
        <w:rPr>
          <w:sz w:val="20"/>
          <w:szCs w:val="20"/>
        </w:rPr>
        <w:instrText>SEQ</w:instrText>
      </w:r>
      <w:r>
        <w:rPr>
          <w:sz w:val="20"/>
          <w:szCs w:val="20"/>
        </w:rPr>
        <w:instrText xml:space="preserve"> Tableau \* ARABIC </w:instrText>
      </w:r>
      <w:r>
        <w:rPr>
          <w:sz w:val="20"/>
          <w:szCs w:val="20"/>
        </w:rPr>
        <w:fldChar w:fldCharType="separate"/>
      </w:r>
      <w:r>
        <w:rPr>
          <w:noProof/>
          <w:sz w:val="20"/>
          <w:szCs w:val="20"/>
        </w:rPr>
        <w:t>24</w:t>
      </w:r>
      <w:r>
        <w:rPr>
          <w:sz w:val="20"/>
          <w:szCs w:val="20"/>
        </w:rPr>
        <w:fldChar w:fldCharType="end"/>
      </w:r>
      <w:r>
        <w:rPr>
          <w:rFonts w:eastAsia="Calibri"/>
          <w:i/>
          <w:iCs/>
          <w:color w:val="1f497d"/>
          <w:sz w:val="20"/>
          <w:szCs w:val="20"/>
        </w:rPr>
        <w:t> :</w:t>
      </w:r>
      <w:r>
        <w:rPr>
          <w:rFonts w:eastAsia="Calibri"/>
          <w:i/>
          <w:iCs/>
          <w:color w:val="1f497d"/>
          <w:sz w:val="20"/>
          <w:szCs w:val="20"/>
        </w:rPr>
        <w:t>Budget prévisionnel du coût estimatif de mise en œuvre du MGIP</w:t>
      </w:r>
      <w:bookmarkEnd w:id="463"/>
      <w:r>
        <w:rPr>
          <w:rFonts w:eastAsia="Calibri"/>
          <w:i/>
          <w:iCs/>
          <w:color w:val="1f497d"/>
          <w:sz w:val="20"/>
          <w:szCs w:val="20"/>
        </w:rPr>
        <w:t xml:space="preserve"> </w:t>
      </w:r>
    </w:p>
    <w:tbl>
      <w:tblPr>
        <w:tblW w:w="13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2"/>
        <w:gridCol w:w="1701"/>
        <w:gridCol w:w="2234"/>
        <w:gridCol w:w="2586"/>
        <w:gridCol w:w="2343"/>
      </w:tblGrid>
      <w:tr>
        <w:trPr>
          <w:trHeight w:val="557" w:hRule="atLeast"/>
          <w:jc w:val="center"/>
        </w:trPr>
        <w:tc>
          <w:tcPr>
            <w:tcW w:w="5132" w:type="dxa"/>
            <w:tcBorders/>
            <w:shd w:val="clear" w:color="auto" w:fill="d9d9d9"/>
          </w:tcPr>
          <w:p>
            <w:pPr>
              <w:pStyle w:val="style0"/>
              <w:autoSpaceDE w:val="false"/>
              <w:autoSpaceDN w:val="false"/>
              <w:adjustRightInd w:val="false"/>
              <w:spacing w:before="0"/>
              <w:jc w:val="center"/>
              <w:rPr>
                <w:b/>
                <w:sz w:val="23"/>
                <w:szCs w:val="23"/>
              </w:rPr>
            </w:pPr>
            <w:r>
              <w:rPr>
                <w:b/>
                <w:sz w:val="23"/>
                <w:szCs w:val="23"/>
              </w:rPr>
              <w:t>Activités</w:t>
            </w:r>
          </w:p>
        </w:tc>
        <w:tc>
          <w:tcPr>
            <w:tcW w:w="1701" w:type="dxa"/>
            <w:tcBorders/>
            <w:shd w:val="clear" w:color="auto" w:fill="d9d9d9"/>
          </w:tcPr>
          <w:p>
            <w:pPr>
              <w:pStyle w:val="style4128"/>
              <w:spacing w:before="0"/>
              <w:jc w:val="center"/>
              <w:rPr>
                <w:rFonts w:ascii="Times New Roman" w:hAnsi="Times New Roman"/>
                <w:b/>
                <w:bCs/>
                <w:sz w:val="23"/>
                <w:szCs w:val="23"/>
              </w:rPr>
            </w:pPr>
            <w:r>
              <w:rPr>
                <w:rFonts w:ascii="Times New Roman" w:hAnsi="Times New Roman"/>
                <w:b/>
                <w:bCs/>
                <w:sz w:val="23"/>
                <w:szCs w:val="23"/>
              </w:rPr>
              <w:t>Unité</w:t>
            </w:r>
          </w:p>
        </w:tc>
        <w:tc>
          <w:tcPr>
            <w:tcW w:w="2234" w:type="dxa"/>
            <w:tcBorders/>
            <w:shd w:val="clear" w:color="auto" w:fill="d9d9d9"/>
          </w:tcPr>
          <w:p>
            <w:pPr>
              <w:pStyle w:val="style4128"/>
              <w:spacing w:before="0"/>
              <w:jc w:val="center"/>
              <w:rPr>
                <w:rFonts w:ascii="Times New Roman" w:hAnsi="Times New Roman"/>
                <w:b/>
                <w:bCs/>
                <w:sz w:val="23"/>
                <w:szCs w:val="23"/>
              </w:rPr>
            </w:pPr>
            <w:r>
              <w:rPr>
                <w:rFonts w:ascii="Times New Roman" w:hAnsi="Times New Roman"/>
                <w:b/>
                <w:bCs/>
                <w:sz w:val="23"/>
                <w:szCs w:val="23"/>
              </w:rPr>
              <w:t>Quantités (sessions)</w:t>
            </w:r>
          </w:p>
        </w:tc>
        <w:tc>
          <w:tcPr>
            <w:tcW w:w="2586" w:type="dxa"/>
            <w:tcBorders/>
            <w:shd w:val="clear" w:color="auto" w:fill="d9d9d9"/>
          </w:tcPr>
          <w:p>
            <w:pPr>
              <w:pStyle w:val="style4128"/>
              <w:spacing w:before="0"/>
              <w:jc w:val="center"/>
              <w:rPr>
                <w:rFonts w:ascii="Times New Roman" w:hAnsi="Times New Roman"/>
                <w:bCs/>
                <w:sz w:val="23"/>
                <w:szCs w:val="23"/>
              </w:rPr>
            </w:pPr>
            <w:r>
              <w:rPr>
                <w:rFonts w:ascii="Times New Roman" w:hAnsi="Times New Roman"/>
                <w:b/>
                <w:bCs/>
                <w:sz w:val="23"/>
                <w:szCs w:val="23"/>
              </w:rPr>
              <w:t>Prix unitaires (XOF)</w:t>
            </w:r>
          </w:p>
        </w:tc>
        <w:tc>
          <w:tcPr>
            <w:tcW w:w="2343" w:type="dxa"/>
            <w:tcBorders/>
            <w:shd w:val="clear" w:color="auto" w:fill="d9d9d9"/>
          </w:tcPr>
          <w:p>
            <w:pPr>
              <w:pStyle w:val="style4128"/>
              <w:spacing w:before="0"/>
              <w:jc w:val="center"/>
              <w:rPr>
                <w:rFonts w:ascii="Times New Roman" w:hAnsi="Times New Roman"/>
                <w:b/>
                <w:bCs/>
                <w:sz w:val="23"/>
                <w:szCs w:val="23"/>
              </w:rPr>
            </w:pPr>
            <w:r>
              <w:rPr>
                <w:rFonts w:ascii="Times New Roman" w:hAnsi="Times New Roman"/>
                <w:b/>
                <w:bCs/>
                <w:sz w:val="23"/>
                <w:szCs w:val="23"/>
              </w:rPr>
              <w:t>Total (XOF)</w:t>
            </w:r>
          </w:p>
        </w:tc>
      </w:tr>
      <w:tr>
        <w:tblPrEx/>
        <w:trPr>
          <w:jc w:val="center"/>
        </w:trPr>
        <w:tc>
          <w:tcPr>
            <w:tcW w:w="13996" w:type="dxa"/>
            <w:gridSpan w:val="5"/>
            <w:tcBorders/>
          </w:tcPr>
          <w:p>
            <w:pPr>
              <w:pStyle w:val="style0"/>
              <w:autoSpaceDE w:val="false"/>
              <w:autoSpaceDN w:val="false"/>
              <w:adjustRightInd w:val="false"/>
              <w:spacing w:before="0"/>
              <w:jc w:val="center"/>
              <w:rPr>
                <w:sz w:val="23"/>
                <w:szCs w:val="23"/>
              </w:rPr>
            </w:pPr>
            <w:r>
              <w:rPr>
                <w:b/>
                <w:sz w:val="23"/>
                <w:szCs w:val="23"/>
              </w:rPr>
              <w:t>Mise en œuvre le PGPP avec un suivi évaluation de sa mise en œuvre</w:t>
            </w:r>
          </w:p>
        </w:tc>
      </w:tr>
      <w:tr>
        <w:tblPrEx/>
        <w:trPr>
          <w:jc w:val="center"/>
        </w:trPr>
        <w:tc>
          <w:tcPr>
            <w:tcW w:w="5132" w:type="dxa"/>
            <w:tcBorders/>
            <w:vAlign w:val="center"/>
          </w:tcPr>
          <w:p>
            <w:pPr>
              <w:pStyle w:val="style0"/>
              <w:autoSpaceDE w:val="false"/>
              <w:autoSpaceDN w:val="false"/>
              <w:adjustRightInd w:val="false"/>
              <w:spacing w:before="0"/>
              <w:rPr>
                <w:sz w:val="23"/>
                <w:szCs w:val="23"/>
              </w:rPr>
            </w:pPr>
            <w:r>
              <w:rPr>
                <w:sz w:val="23"/>
                <w:szCs w:val="23"/>
              </w:rPr>
              <w:t xml:space="preserve">Organisation d’ateliers de démarrage et de partage des résultats </w:t>
            </w:r>
            <w:r>
              <w:rPr>
                <w:sz w:val="23"/>
                <w:szCs w:val="23"/>
              </w:rPr>
              <w:t>chaque deux ans</w:t>
            </w:r>
            <w:r>
              <w:rPr>
                <w:sz w:val="23"/>
                <w:szCs w:val="23"/>
              </w:rPr>
              <w:t xml:space="preserve"> </w:t>
            </w:r>
          </w:p>
        </w:tc>
        <w:tc>
          <w:tcPr>
            <w:tcW w:w="1701" w:type="dxa"/>
            <w:tcBorders/>
            <w:vAlign w:val="center"/>
          </w:tcPr>
          <w:p>
            <w:pPr>
              <w:pStyle w:val="style0"/>
              <w:autoSpaceDE w:val="false"/>
              <w:autoSpaceDN w:val="false"/>
              <w:adjustRightInd w:val="false"/>
              <w:spacing w:before="0"/>
              <w:rPr>
                <w:sz w:val="23"/>
                <w:szCs w:val="23"/>
              </w:rPr>
            </w:pPr>
            <w:r>
              <w:rPr>
                <w:sz w:val="23"/>
                <w:szCs w:val="23"/>
              </w:rPr>
              <w:t>Atelier</w:t>
            </w:r>
          </w:p>
        </w:tc>
        <w:tc>
          <w:tcPr>
            <w:tcW w:w="2234" w:type="dxa"/>
            <w:tcBorders/>
            <w:vAlign w:val="center"/>
          </w:tcPr>
          <w:p>
            <w:pPr>
              <w:pStyle w:val="style0"/>
              <w:autoSpaceDE w:val="false"/>
              <w:autoSpaceDN w:val="false"/>
              <w:adjustRightInd w:val="false"/>
              <w:spacing w:before="0"/>
              <w:rPr>
                <w:sz w:val="23"/>
                <w:szCs w:val="23"/>
              </w:rPr>
            </w:pPr>
            <w:r>
              <w:rPr>
                <w:sz w:val="23"/>
                <w:szCs w:val="23"/>
              </w:rPr>
              <w:t xml:space="preserve">3 </w:t>
            </w:r>
          </w:p>
        </w:tc>
        <w:tc>
          <w:tcPr>
            <w:tcW w:w="2586" w:type="dxa"/>
            <w:tcBorders/>
            <w:vAlign w:val="center"/>
          </w:tcPr>
          <w:p>
            <w:pPr>
              <w:pStyle w:val="style0"/>
              <w:spacing w:before="0"/>
              <w:jc w:val="left"/>
              <w:rPr>
                <w:sz w:val="23"/>
                <w:szCs w:val="23"/>
              </w:rPr>
            </w:pPr>
            <w:r>
              <w:rPr>
                <w:sz w:val="23"/>
                <w:szCs w:val="23"/>
              </w:rPr>
              <w:t>15</w:t>
            </w:r>
            <w:r>
              <w:rPr>
                <w:sz w:val="23"/>
                <w:szCs w:val="23"/>
              </w:rPr>
              <w:t> 000 000</w:t>
            </w:r>
          </w:p>
        </w:tc>
        <w:tc>
          <w:tcPr>
            <w:tcW w:w="2343" w:type="dxa"/>
            <w:tcBorders/>
            <w:vAlign w:val="center"/>
          </w:tcPr>
          <w:p>
            <w:pPr>
              <w:pStyle w:val="style0"/>
              <w:autoSpaceDE w:val="false"/>
              <w:autoSpaceDN w:val="false"/>
              <w:adjustRightInd w:val="false"/>
              <w:spacing w:before="0"/>
              <w:rPr>
                <w:sz w:val="23"/>
                <w:szCs w:val="23"/>
              </w:rPr>
            </w:pPr>
            <w:r>
              <w:rPr>
                <w:sz w:val="23"/>
                <w:szCs w:val="23"/>
              </w:rPr>
              <w:t>45</w:t>
            </w:r>
            <w:r>
              <w:rPr>
                <w:sz w:val="23"/>
                <w:szCs w:val="23"/>
              </w:rPr>
              <w:t> 000 000</w:t>
            </w:r>
          </w:p>
        </w:tc>
      </w:tr>
      <w:tr>
        <w:tblPrEx/>
        <w:trPr>
          <w:jc w:val="center"/>
        </w:trPr>
        <w:tc>
          <w:tcPr>
            <w:tcW w:w="5132" w:type="dxa"/>
            <w:tcBorders/>
            <w:vAlign w:val="center"/>
          </w:tcPr>
          <w:p>
            <w:pPr>
              <w:pStyle w:val="style0"/>
              <w:autoSpaceDE w:val="false"/>
              <w:autoSpaceDN w:val="false"/>
              <w:adjustRightInd w:val="false"/>
              <w:spacing w:before="0"/>
              <w:rPr>
                <w:sz w:val="23"/>
                <w:szCs w:val="23"/>
              </w:rPr>
            </w:pPr>
            <w:r>
              <w:rPr>
                <w:sz w:val="23"/>
                <w:szCs w:val="23"/>
              </w:rPr>
              <w:t xml:space="preserve">Etablissement d’accords avec les structures étatiques (DPVC, BUNEE, </w:t>
            </w:r>
            <w:r>
              <w:rPr>
                <w:sz w:val="23"/>
                <w:szCs w:val="23"/>
              </w:rPr>
              <w:t>LNSP, CRTP</w:t>
            </w:r>
            <w:r>
              <w:rPr>
                <w:sz w:val="23"/>
                <w:szCs w:val="23"/>
              </w:rPr>
              <w:t xml:space="preserve">…) au niveau décentralisé </w:t>
            </w:r>
          </w:p>
        </w:tc>
        <w:tc>
          <w:tcPr>
            <w:tcW w:w="1701" w:type="dxa"/>
            <w:tcBorders/>
            <w:vAlign w:val="center"/>
          </w:tcPr>
          <w:p>
            <w:pPr>
              <w:pStyle w:val="style0"/>
              <w:autoSpaceDE w:val="false"/>
              <w:autoSpaceDN w:val="false"/>
              <w:adjustRightInd w:val="false"/>
              <w:spacing w:before="0"/>
              <w:rPr>
                <w:sz w:val="23"/>
                <w:szCs w:val="23"/>
              </w:rPr>
            </w:pPr>
            <w:r>
              <w:rPr>
                <w:sz w:val="23"/>
                <w:szCs w:val="23"/>
              </w:rPr>
              <w:t>U</w:t>
            </w:r>
          </w:p>
        </w:tc>
        <w:tc>
          <w:tcPr>
            <w:tcW w:w="2234" w:type="dxa"/>
            <w:tcBorders/>
            <w:vAlign w:val="center"/>
          </w:tcPr>
          <w:p>
            <w:pPr>
              <w:pStyle w:val="style0"/>
              <w:autoSpaceDE w:val="false"/>
              <w:autoSpaceDN w:val="false"/>
              <w:adjustRightInd w:val="false"/>
              <w:spacing w:before="0"/>
              <w:rPr>
                <w:sz w:val="23"/>
                <w:szCs w:val="23"/>
              </w:rPr>
            </w:pPr>
            <w:r>
              <w:rPr>
                <w:sz w:val="23"/>
                <w:szCs w:val="23"/>
              </w:rPr>
              <w:t>U</w:t>
            </w:r>
          </w:p>
        </w:tc>
        <w:tc>
          <w:tcPr>
            <w:tcW w:w="2586" w:type="dxa"/>
            <w:tcBorders/>
            <w:vAlign w:val="center"/>
          </w:tcPr>
          <w:p>
            <w:pPr>
              <w:pStyle w:val="style0"/>
              <w:autoSpaceDE w:val="false"/>
              <w:autoSpaceDN w:val="false"/>
              <w:adjustRightInd w:val="false"/>
              <w:spacing w:before="0"/>
              <w:rPr>
                <w:sz w:val="23"/>
                <w:szCs w:val="23"/>
              </w:rPr>
            </w:pPr>
            <w:r>
              <w:rPr>
                <w:sz w:val="23"/>
                <w:szCs w:val="23"/>
              </w:rPr>
              <w:t>PM</w:t>
            </w:r>
          </w:p>
        </w:tc>
        <w:tc>
          <w:tcPr>
            <w:tcW w:w="2343" w:type="dxa"/>
            <w:tcBorders/>
            <w:vAlign w:val="center"/>
          </w:tcPr>
          <w:p>
            <w:pPr>
              <w:pStyle w:val="style0"/>
              <w:autoSpaceDE w:val="false"/>
              <w:autoSpaceDN w:val="false"/>
              <w:adjustRightInd w:val="false"/>
              <w:spacing w:before="0"/>
              <w:rPr>
                <w:sz w:val="23"/>
                <w:szCs w:val="23"/>
              </w:rPr>
            </w:pPr>
            <w:r>
              <w:rPr>
                <w:sz w:val="23"/>
                <w:szCs w:val="23"/>
              </w:rPr>
              <w:t>Frais pris en compte dans le fonctionnement du Projet</w:t>
            </w:r>
          </w:p>
        </w:tc>
      </w:tr>
      <w:tr>
        <w:tblPrEx/>
        <w:trPr>
          <w:jc w:val="center"/>
        </w:trPr>
        <w:tc>
          <w:tcPr>
            <w:tcW w:w="5132" w:type="dxa"/>
            <w:tcBorders/>
            <w:vAlign w:val="center"/>
          </w:tcPr>
          <w:p>
            <w:pPr>
              <w:pStyle w:val="style0"/>
              <w:autoSpaceDE w:val="false"/>
              <w:autoSpaceDN w:val="false"/>
              <w:adjustRightInd w:val="false"/>
              <w:spacing w:before="0"/>
              <w:rPr>
                <w:sz w:val="23"/>
                <w:szCs w:val="23"/>
              </w:rPr>
            </w:pPr>
            <w:r>
              <w:rPr>
                <w:sz w:val="23"/>
                <w:szCs w:val="23"/>
              </w:rPr>
              <w:t xml:space="preserve">Facilitation de la participation des </w:t>
            </w:r>
            <w:r>
              <w:rPr>
                <w:sz w:val="23"/>
                <w:szCs w:val="23"/>
              </w:rPr>
              <w:t>producteurs</w:t>
            </w:r>
            <w:r>
              <w:rPr>
                <w:sz w:val="23"/>
                <w:szCs w:val="23"/>
              </w:rPr>
              <w:t xml:space="preserve"> à des séances de formation et de sensibilisation</w:t>
            </w:r>
          </w:p>
        </w:tc>
        <w:tc>
          <w:tcPr>
            <w:tcW w:w="1701" w:type="dxa"/>
            <w:tcBorders/>
            <w:vAlign w:val="center"/>
          </w:tcPr>
          <w:p>
            <w:pPr>
              <w:pStyle w:val="style0"/>
              <w:autoSpaceDE w:val="false"/>
              <w:autoSpaceDN w:val="false"/>
              <w:adjustRightInd w:val="false"/>
              <w:spacing w:before="0"/>
              <w:rPr>
                <w:sz w:val="23"/>
                <w:szCs w:val="23"/>
              </w:rPr>
            </w:pPr>
            <w:r>
              <w:rPr>
                <w:sz w:val="23"/>
                <w:szCs w:val="23"/>
              </w:rPr>
              <w:t>Rencontre / atelier</w:t>
            </w:r>
          </w:p>
        </w:tc>
        <w:tc>
          <w:tcPr>
            <w:tcW w:w="2234" w:type="dxa"/>
            <w:tcBorders/>
            <w:vAlign w:val="center"/>
          </w:tcPr>
          <w:p>
            <w:pPr>
              <w:pStyle w:val="style0"/>
              <w:autoSpaceDE w:val="false"/>
              <w:autoSpaceDN w:val="false"/>
              <w:adjustRightInd w:val="false"/>
              <w:spacing w:before="0"/>
              <w:rPr>
                <w:sz w:val="23"/>
                <w:szCs w:val="23"/>
              </w:rPr>
            </w:pPr>
            <w:r>
              <w:rPr>
                <w:sz w:val="23"/>
                <w:szCs w:val="23"/>
              </w:rPr>
              <w:t xml:space="preserve">3 x </w:t>
            </w:r>
            <w:r>
              <w:rPr>
                <w:sz w:val="23"/>
                <w:szCs w:val="23"/>
              </w:rPr>
              <w:t>6</w:t>
            </w:r>
            <w:r>
              <w:rPr>
                <w:sz w:val="23"/>
                <w:szCs w:val="23"/>
              </w:rPr>
              <w:t xml:space="preserve">0 (Soit </w:t>
            </w:r>
            <w:r>
              <w:rPr>
                <w:sz w:val="23"/>
                <w:szCs w:val="23"/>
              </w:rPr>
              <w:t>6</w:t>
            </w:r>
            <w:r>
              <w:rPr>
                <w:sz w:val="23"/>
                <w:szCs w:val="23"/>
              </w:rPr>
              <w:t xml:space="preserve">0 </w:t>
            </w:r>
            <w:r>
              <w:rPr>
                <w:sz w:val="23"/>
                <w:szCs w:val="23"/>
              </w:rPr>
              <w:t>producteurs</w:t>
            </w:r>
            <w:r>
              <w:rPr>
                <w:sz w:val="23"/>
                <w:szCs w:val="23"/>
              </w:rPr>
              <w:t xml:space="preserve"> à chaque rencontre)</w:t>
            </w:r>
          </w:p>
        </w:tc>
        <w:tc>
          <w:tcPr>
            <w:tcW w:w="2586" w:type="dxa"/>
            <w:tcBorders/>
            <w:vAlign w:val="center"/>
          </w:tcPr>
          <w:p>
            <w:pPr>
              <w:pStyle w:val="style0"/>
              <w:autoSpaceDE w:val="false"/>
              <w:autoSpaceDN w:val="false"/>
              <w:adjustRightInd w:val="false"/>
              <w:spacing w:before="0"/>
              <w:rPr>
                <w:sz w:val="23"/>
                <w:szCs w:val="23"/>
              </w:rPr>
            </w:pPr>
            <w:r>
              <w:rPr>
                <w:sz w:val="23"/>
                <w:szCs w:val="23"/>
              </w:rPr>
              <w:t>25 000 (Déplacement et perdiem)</w:t>
            </w:r>
          </w:p>
        </w:tc>
        <w:tc>
          <w:tcPr>
            <w:tcW w:w="2343" w:type="dxa"/>
            <w:tcBorders/>
            <w:vAlign w:val="center"/>
          </w:tcPr>
          <w:p>
            <w:pPr>
              <w:pStyle w:val="style0"/>
              <w:autoSpaceDE w:val="false"/>
              <w:autoSpaceDN w:val="false"/>
              <w:adjustRightInd w:val="false"/>
              <w:spacing w:before="0"/>
              <w:rPr>
                <w:sz w:val="23"/>
                <w:szCs w:val="23"/>
              </w:rPr>
            </w:pPr>
            <w:r>
              <w:rPr>
                <w:sz w:val="23"/>
                <w:szCs w:val="23"/>
              </w:rPr>
              <w:t>4</w:t>
            </w:r>
            <w:r>
              <w:rPr>
                <w:sz w:val="23"/>
                <w:szCs w:val="23"/>
              </w:rPr>
              <w:t> </w:t>
            </w:r>
            <w:r>
              <w:rPr>
                <w:sz w:val="23"/>
                <w:szCs w:val="23"/>
              </w:rPr>
              <w:t>5</w:t>
            </w:r>
            <w:r>
              <w:rPr>
                <w:sz w:val="23"/>
                <w:szCs w:val="23"/>
              </w:rPr>
              <w:t>00 000</w:t>
            </w:r>
          </w:p>
        </w:tc>
      </w:tr>
      <w:tr>
        <w:tblPrEx/>
        <w:trPr>
          <w:jc w:val="center"/>
        </w:trPr>
        <w:tc>
          <w:tcPr>
            <w:tcW w:w="5132" w:type="dxa"/>
            <w:tcBorders/>
            <w:vAlign w:val="center"/>
          </w:tcPr>
          <w:p>
            <w:pPr>
              <w:pStyle w:val="style0"/>
              <w:autoSpaceDE w:val="false"/>
              <w:autoSpaceDN w:val="false"/>
              <w:adjustRightInd w:val="false"/>
              <w:spacing w:before="0"/>
              <w:rPr>
                <w:sz w:val="23"/>
                <w:szCs w:val="23"/>
              </w:rPr>
            </w:pPr>
            <w:r>
              <w:rPr>
                <w:sz w:val="23"/>
                <w:szCs w:val="23"/>
              </w:rPr>
              <w:t>Contrat de suivi externe avec le BUNEE</w:t>
            </w:r>
          </w:p>
        </w:tc>
        <w:tc>
          <w:tcPr>
            <w:tcW w:w="1701" w:type="dxa"/>
            <w:tcBorders/>
            <w:vAlign w:val="center"/>
          </w:tcPr>
          <w:p>
            <w:pPr>
              <w:pStyle w:val="style0"/>
              <w:autoSpaceDE w:val="false"/>
              <w:autoSpaceDN w:val="false"/>
              <w:adjustRightInd w:val="false"/>
              <w:spacing w:before="0"/>
              <w:rPr>
                <w:sz w:val="23"/>
                <w:szCs w:val="23"/>
              </w:rPr>
            </w:pPr>
            <w:r>
              <w:rPr>
                <w:sz w:val="23"/>
                <w:szCs w:val="23"/>
              </w:rPr>
              <w:t>U</w:t>
            </w:r>
          </w:p>
        </w:tc>
        <w:tc>
          <w:tcPr>
            <w:tcW w:w="2234" w:type="dxa"/>
            <w:tcBorders/>
            <w:vAlign w:val="center"/>
          </w:tcPr>
          <w:p>
            <w:pPr>
              <w:pStyle w:val="style0"/>
              <w:autoSpaceDE w:val="false"/>
              <w:autoSpaceDN w:val="false"/>
              <w:adjustRightInd w:val="false"/>
              <w:spacing w:before="0"/>
              <w:rPr>
                <w:sz w:val="23"/>
                <w:szCs w:val="23"/>
              </w:rPr>
            </w:pPr>
            <w:r>
              <w:rPr>
                <w:sz w:val="23"/>
                <w:szCs w:val="23"/>
              </w:rPr>
              <w:t xml:space="preserve">U </w:t>
            </w:r>
          </w:p>
        </w:tc>
        <w:tc>
          <w:tcPr>
            <w:tcW w:w="2586" w:type="dxa"/>
            <w:tcBorders/>
            <w:vAlign w:val="center"/>
          </w:tcPr>
          <w:p>
            <w:pPr>
              <w:pStyle w:val="style0"/>
              <w:autoSpaceDE w:val="false"/>
              <w:autoSpaceDN w:val="false"/>
              <w:adjustRightInd w:val="false"/>
              <w:spacing w:before="0"/>
              <w:rPr>
                <w:sz w:val="23"/>
                <w:szCs w:val="23"/>
              </w:rPr>
            </w:pPr>
            <w:r>
              <w:rPr>
                <w:sz w:val="23"/>
                <w:szCs w:val="23"/>
              </w:rPr>
              <w:t>Pour Mémoire</w:t>
            </w:r>
          </w:p>
        </w:tc>
        <w:tc>
          <w:tcPr>
            <w:tcW w:w="2343" w:type="dxa"/>
            <w:tcBorders/>
            <w:vAlign w:val="center"/>
          </w:tcPr>
          <w:p>
            <w:pPr>
              <w:pStyle w:val="style0"/>
              <w:autoSpaceDE w:val="false"/>
              <w:autoSpaceDN w:val="false"/>
              <w:adjustRightInd w:val="false"/>
              <w:spacing w:before="0"/>
              <w:rPr>
                <w:sz w:val="23"/>
                <w:szCs w:val="23"/>
              </w:rPr>
            </w:pPr>
            <w:r>
              <w:rPr>
                <w:sz w:val="23"/>
                <w:szCs w:val="23"/>
              </w:rPr>
              <w:t xml:space="preserve">Contrat </w:t>
            </w:r>
          </w:p>
        </w:tc>
      </w:tr>
      <w:tr>
        <w:tblPrEx/>
        <w:trPr>
          <w:jc w:val="center"/>
        </w:trPr>
        <w:tc>
          <w:tcPr>
            <w:tcW w:w="13996" w:type="dxa"/>
            <w:gridSpan w:val="5"/>
            <w:tcBorders/>
          </w:tcPr>
          <w:p>
            <w:pPr>
              <w:pStyle w:val="style0"/>
              <w:autoSpaceDE w:val="false"/>
              <w:autoSpaceDN w:val="false"/>
              <w:adjustRightInd w:val="false"/>
              <w:spacing w:before="0"/>
              <w:jc w:val="center"/>
              <w:rPr>
                <w:sz w:val="23"/>
                <w:szCs w:val="23"/>
              </w:rPr>
            </w:pPr>
            <w:r>
              <w:rPr>
                <w:b/>
                <w:sz w:val="23"/>
                <w:szCs w:val="23"/>
              </w:rPr>
              <w:t>Information / sensibilisation, renforcement des capacités des acteurs</w:t>
            </w:r>
          </w:p>
        </w:tc>
      </w:tr>
      <w:tr>
        <w:tblPrEx/>
        <w:trPr>
          <w:jc w:val="center"/>
        </w:trPr>
        <w:tc>
          <w:tcPr>
            <w:tcW w:w="5132" w:type="dxa"/>
            <w:tcBorders/>
          </w:tcPr>
          <w:p>
            <w:pPr>
              <w:pStyle w:val="style0"/>
              <w:autoSpaceDE w:val="false"/>
              <w:autoSpaceDN w:val="false"/>
              <w:adjustRightInd w:val="false"/>
              <w:spacing w:before="0"/>
              <w:rPr>
                <w:sz w:val="23"/>
                <w:szCs w:val="23"/>
              </w:rPr>
            </w:pPr>
            <w:r>
              <w:rPr>
                <w:sz w:val="23"/>
                <w:szCs w:val="23"/>
              </w:rPr>
              <w:t xml:space="preserve">Elaboration de fiches techniques sur les </w:t>
            </w:r>
            <w:r>
              <w:rPr>
                <w:bCs/>
                <w:sz w:val="23"/>
                <w:szCs w:val="23"/>
              </w:rPr>
              <w:t xml:space="preserve">stratégies de luttes alternatives </w:t>
            </w:r>
          </w:p>
        </w:tc>
        <w:tc>
          <w:tcPr>
            <w:tcW w:w="1701" w:type="dxa"/>
            <w:tcBorders/>
          </w:tcPr>
          <w:p>
            <w:pPr>
              <w:pStyle w:val="style0"/>
              <w:autoSpaceDE w:val="false"/>
              <w:autoSpaceDN w:val="false"/>
              <w:adjustRightInd w:val="false"/>
              <w:spacing w:before="0"/>
              <w:rPr>
                <w:sz w:val="23"/>
                <w:szCs w:val="23"/>
              </w:rPr>
            </w:pPr>
            <w:r>
              <w:rPr>
                <w:sz w:val="23"/>
                <w:szCs w:val="23"/>
              </w:rPr>
              <w:t>Forfait</w:t>
            </w:r>
          </w:p>
        </w:tc>
        <w:tc>
          <w:tcPr>
            <w:tcW w:w="2234" w:type="dxa"/>
            <w:tcBorders/>
          </w:tcPr>
          <w:p>
            <w:pPr>
              <w:pStyle w:val="style0"/>
              <w:autoSpaceDE w:val="false"/>
              <w:autoSpaceDN w:val="false"/>
              <w:adjustRightInd w:val="false"/>
              <w:spacing w:before="0"/>
              <w:rPr>
                <w:sz w:val="23"/>
                <w:szCs w:val="23"/>
              </w:rPr>
            </w:pPr>
            <w:r>
              <w:rPr>
                <w:sz w:val="23"/>
                <w:szCs w:val="23"/>
              </w:rPr>
              <w:t>Forfait</w:t>
            </w:r>
          </w:p>
          <w:p>
            <w:pPr>
              <w:pStyle w:val="style0"/>
              <w:autoSpaceDE w:val="false"/>
              <w:autoSpaceDN w:val="false"/>
              <w:adjustRightInd w:val="false"/>
              <w:spacing w:before="0"/>
              <w:rPr>
                <w:sz w:val="23"/>
                <w:szCs w:val="23"/>
              </w:rPr>
            </w:pPr>
          </w:p>
        </w:tc>
        <w:tc>
          <w:tcPr>
            <w:tcW w:w="2586" w:type="dxa"/>
            <w:tcBorders/>
          </w:tcPr>
          <w:p>
            <w:pPr>
              <w:pStyle w:val="style0"/>
              <w:autoSpaceDE w:val="false"/>
              <w:autoSpaceDN w:val="false"/>
              <w:adjustRightInd w:val="false"/>
              <w:spacing w:before="0"/>
              <w:rPr>
                <w:sz w:val="23"/>
                <w:szCs w:val="23"/>
              </w:rPr>
            </w:pPr>
            <w:r>
              <w:rPr>
                <w:sz w:val="23"/>
                <w:szCs w:val="23"/>
              </w:rPr>
              <w:t xml:space="preserve">Forfait </w:t>
            </w:r>
          </w:p>
        </w:tc>
        <w:tc>
          <w:tcPr>
            <w:tcW w:w="2343" w:type="dxa"/>
            <w:tcBorders/>
          </w:tcPr>
          <w:p>
            <w:pPr>
              <w:pStyle w:val="style0"/>
              <w:autoSpaceDE w:val="false"/>
              <w:autoSpaceDN w:val="false"/>
              <w:adjustRightInd w:val="false"/>
              <w:spacing w:before="0"/>
              <w:rPr>
                <w:sz w:val="23"/>
                <w:szCs w:val="23"/>
              </w:rPr>
            </w:pPr>
            <w:r>
              <w:rPr>
                <w:sz w:val="23"/>
                <w:szCs w:val="23"/>
              </w:rPr>
              <w:t>10 000 000</w:t>
            </w:r>
          </w:p>
        </w:tc>
      </w:tr>
      <w:tr>
        <w:tblPrEx/>
        <w:trPr>
          <w:jc w:val="center"/>
        </w:trPr>
        <w:tc>
          <w:tcPr>
            <w:tcW w:w="5132" w:type="dxa"/>
            <w:tcBorders/>
          </w:tcPr>
          <w:p>
            <w:pPr>
              <w:pStyle w:val="style0"/>
              <w:autoSpaceDE w:val="false"/>
              <w:autoSpaceDN w:val="false"/>
              <w:adjustRightInd w:val="false"/>
              <w:spacing w:before="0"/>
              <w:rPr>
                <w:sz w:val="23"/>
                <w:szCs w:val="23"/>
              </w:rPr>
            </w:pPr>
            <w:r>
              <w:rPr>
                <w:sz w:val="23"/>
                <w:szCs w:val="23"/>
              </w:rPr>
              <w:t>Diffusion fiches techniques</w:t>
            </w:r>
          </w:p>
        </w:tc>
        <w:tc>
          <w:tcPr>
            <w:tcW w:w="1701" w:type="dxa"/>
            <w:tcBorders/>
          </w:tcPr>
          <w:p>
            <w:pPr>
              <w:pStyle w:val="style0"/>
              <w:autoSpaceDE w:val="false"/>
              <w:autoSpaceDN w:val="false"/>
              <w:adjustRightInd w:val="false"/>
              <w:spacing w:before="0"/>
              <w:rPr>
                <w:sz w:val="23"/>
                <w:szCs w:val="23"/>
              </w:rPr>
            </w:pPr>
            <w:r>
              <w:rPr>
                <w:sz w:val="23"/>
                <w:szCs w:val="23"/>
              </w:rPr>
              <w:t>Forfait</w:t>
            </w:r>
          </w:p>
        </w:tc>
        <w:tc>
          <w:tcPr>
            <w:tcW w:w="2234" w:type="dxa"/>
            <w:tcBorders/>
          </w:tcPr>
          <w:p>
            <w:pPr>
              <w:pStyle w:val="style0"/>
              <w:autoSpaceDE w:val="false"/>
              <w:autoSpaceDN w:val="false"/>
              <w:adjustRightInd w:val="false"/>
              <w:spacing w:before="0"/>
              <w:rPr>
                <w:sz w:val="23"/>
                <w:szCs w:val="23"/>
              </w:rPr>
            </w:pPr>
            <w:r>
              <w:rPr>
                <w:sz w:val="23"/>
                <w:szCs w:val="23"/>
              </w:rPr>
              <w:t>Forfait</w:t>
            </w:r>
          </w:p>
        </w:tc>
        <w:tc>
          <w:tcPr>
            <w:tcW w:w="2586" w:type="dxa"/>
            <w:tcBorders/>
          </w:tcPr>
          <w:p>
            <w:pPr>
              <w:pStyle w:val="style0"/>
              <w:autoSpaceDE w:val="false"/>
              <w:autoSpaceDN w:val="false"/>
              <w:adjustRightInd w:val="false"/>
              <w:spacing w:before="0"/>
              <w:rPr>
                <w:sz w:val="23"/>
                <w:szCs w:val="23"/>
              </w:rPr>
            </w:pPr>
            <w:r>
              <w:rPr>
                <w:sz w:val="23"/>
                <w:szCs w:val="23"/>
              </w:rPr>
              <w:t xml:space="preserve">Forfait </w:t>
            </w:r>
          </w:p>
        </w:tc>
        <w:tc>
          <w:tcPr>
            <w:tcW w:w="2343" w:type="dxa"/>
            <w:tcBorders/>
          </w:tcPr>
          <w:p>
            <w:pPr>
              <w:pStyle w:val="style0"/>
              <w:autoSpaceDE w:val="false"/>
              <w:autoSpaceDN w:val="false"/>
              <w:adjustRightInd w:val="false"/>
              <w:spacing w:before="0"/>
              <w:rPr>
                <w:sz w:val="23"/>
                <w:szCs w:val="23"/>
              </w:rPr>
            </w:pPr>
            <w:r>
              <w:rPr>
                <w:sz w:val="23"/>
                <w:szCs w:val="23"/>
              </w:rPr>
              <w:t>10 000 000</w:t>
            </w:r>
          </w:p>
        </w:tc>
      </w:tr>
      <w:tr>
        <w:tblPrEx/>
        <w:trPr>
          <w:jc w:val="center"/>
        </w:trPr>
        <w:tc>
          <w:tcPr>
            <w:tcW w:w="5132" w:type="dxa"/>
            <w:tcBorders/>
          </w:tcPr>
          <w:p>
            <w:pPr>
              <w:pStyle w:val="style0"/>
              <w:autoSpaceDE w:val="false"/>
              <w:autoSpaceDN w:val="false"/>
              <w:adjustRightInd w:val="false"/>
              <w:spacing w:before="0"/>
              <w:rPr>
                <w:sz w:val="23"/>
                <w:szCs w:val="23"/>
              </w:rPr>
            </w:pPr>
            <w:r>
              <w:rPr>
                <w:sz w:val="23"/>
                <w:szCs w:val="23"/>
              </w:rPr>
              <w:t xml:space="preserve">Formation/démonstration sur les </w:t>
            </w:r>
            <w:r>
              <w:rPr>
                <w:bCs/>
                <w:sz w:val="23"/>
                <w:szCs w:val="23"/>
              </w:rPr>
              <w:t xml:space="preserve">stratégies de luttes alternatives </w:t>
            </w:r>
          </w:p>
        </w:tc>
        <w:tc>
          <w:tcPr>
            <w:tcW w:w="1701" w:type="dxa"/>
            <w:tcBorders/>
          </w:tcPr>
          <w:p>
            <w:pPr>
              <w:pStyle w:val="style0"/>
              <w:autoSpaceDE w:val="false"/>
              <w:autoSpaceDN w:val="false"/>
              <w:adjustRightInd w:val="false"/>
              <w:spacing w:before="0"/>
              <w:rPr>
                <w:sz w:val="23"/>
                <w:szCs w:val="23"/>
              </w:rPr>
            </w:pPr>
            <w:r>
              <w:rPr>
                <w:sz w:val="23"/>
                <w:szCs w:val="23"/>
              </w:rPr>
              <w:t>Sessions</w:t>
            </w:r>
          </w:p>
        </w:tc>
        <w:tc>
          <w:tcPr>
            <w:tcW w:w="2234" w:type="dxa"/>
            <w:tcBorders/>
          </w:tcPr>
          <w:p>
            <w:pPr>
              <w:pStyle w:val="style0"/>
              <w:autoSpaceDE w:val="false"/>
              <w:autoSpaceDN w:val="false"/>
              <w:adjustRightInd w:val="false"/>
              <w:spacing w:before="0"/>
              <w:rPr>
                <w:sz w:val="23"/>
                <w:szCs w:val="23"/>
              </w:rPr>
            </w:pPr>
            <w:r>
              <w:rPr>
                <w:sz w:val="23"/>
                <w:szCs w:val="23"/>
              </w:rPr>
              <w:t>3</w:t>
            </w:r>
          </w:p>
        </w:tc>
        <w:tc>
          <w:tcPr>
            <w:tcW w:w="2586" w:type="dxa"/>
            <w:tcBorders/>
          </w:tcPr>
          <w:p>
            <w:pPr>
              <w:pStyle w:val="style0"/>
              <w:autoSpaceDE w:val="false"/>
              <w:autoSpaceDN w:val="false"/>
              <w:adjustRightInd w:val="false"/>
              <w:spacing w:before="0"/>
              <w:rPr>
                <w:sz w:val="23"/>
                <w:szCs w:val="23"/>
              </w:rPr>
            </w:pPr>
            <w:r>
              <w:rPr>
                <w:sz w:val="23"/>
                <w:szCs w:val="23"/>
              </w:rPr>
              <w:t>7 000 000</w:t>
            </w:r>
          </w:p>
        </w:tc>
        <w:tc>
          <w:tcPr>
            <w:tcW w:w="2343" w:type="dxa"/>
            <w:tcBorders/>
          </w:tcPr>
          <w:p>
            <w:pPr>
              <w:pStyle w:val="style0"/>
              <w:autoSpaceDE w:val="false"/>
              <w:autoSpaceDN w:val="false"/>
              <w:adjustRightInd w:val="false"/>
              <w:spacing w:before="0"/>
              <w:rPr>
                <w:sz w:val="23"/>
                <w:szCs w:val="23"/>
              </w:rPr>
            </w:pPr>
            <w:r>
              <w:rPr>
                <w:sz w:val="23"/>
                <w:szCs w:val="23"/>
              </w:rPr>
              <w:t>21 000 000</w:t>
            </w:r>
          </w:p>
        </w:tc>
      </w:tr>
      <w:tr>
        <w:tblPrEx/>
        <w:trPr>
          <w:jc w:val="center"/>
        </w:trPr>
        <w:tc>
          <w:tcPr>
            <w:tcW w:w="5132" w:type="dxa"/>
            <w:tcBorders/>
          </w:tcPr>
          <w:p>
            <w:pPr>
              <w:pStyle w:val="style0"/>
              <w:autoSpaceDE w:val="false"/>
              <w:autoSpaceDN w:val="false"/>
              <w:adjustRightInd w:val="false"/>
              <w:spacing w:before="0"/>
              <w:rPr>
                <w:sz w:val="23"/>
                <w:szCs w:val="23"/>
              </w:rPr>
            </w:pPr>
            <w:r>
              <w:rPr>
                <w:sz w:val="23"/>
                <w:szCs w:val="23"/>
              </w:rPr>
              <w:t>Formation</w:t>
            </w:r>
            <w:r>
              <w:rPr>
                <w:sz w:val="23"/>
                <w:szCs w:val="23"/>
              </w:rPr>
              <w:t>/Sensibilisation</w:t>
            </w:r>
            <w:r>
              <w:rPr>
                <w:sz w:val="23"/>
                <w:szCs w:val="23"/>
              </w:rPr>
              <w:t xml:space="preserve"> des revendeurs et des contrôleurs aux postes de Douane</w:t>
            </w:r>
          </w:p>
        </w:tc>
        <w:tc>
          <w:tcPr>
            <w:tcW w:w="1701" w:type="dxa"/>
            <w:tcBorders/>
          </w:tcPr>
          <w:p>
            <w:pPr>
              <w:pStyle w:val="style0"/>
              <w:autoSpaceDE w:val="false"/>
              <w:autoSpaceDN w:val="false"/>
              <w:adjustRightInd w:val="false"/>
              <w:spacing w:before="0"/>
              <w:rPr>
                <w:sz w:val="23"/>
                <w:szCs w:val="23"/>
              </w:rPr>
            </w:pPr>
            <w:r>
              <w:rPr>
                <w:sz w:val="23"/>
                <w:szCs w:val="23"/>
              </w:rPr>
              <w:t>Sessions</w:t>
            </w:r>
          </w:p>
        </w:tc>
        <w:tc>
          <w:tcPr>
            <w:tcW w:w="2234" w:type="dxa"/>
            <w:tcBorders/>
          </w:tcPr>
          <w:p>
            <w:pPr>
              <w:pStyle w:val="style0"/>
              <w:autoSpaceDE w:val="false"/>
              <w:autoSpaceDN w:val="false"/>
              <w:adjustRightInd w:val="false"/>
              <w:spacing w:before="0"/>
              <w:rPr>
                <w:sz w:val="23"/>
                <w:szCs w:val="23"/>
              </w:rPr>
            </w:pPr>
            <w:r>
              <w:rPr>
                <w:sz w:val="23"/>
                <w:szCs w:val="23"/>
              </w:rPr>
              <w:t>3</w:t>
            </w:r>
          </w:p>
        </w:tc>
        <w:tc>
          <w:tcPr>
            <w:tcW w:w="2586" w:type="dxa"/>
            <w:tcBorders/>
          </w:tcPr>
          <w:p>
            <w:pPr>
              <w:pStyle w:val="style0"/>
              <w:autoSpaceDE w:val="false"/>
              <w:autoSpaceDN w:val="false"/>
              <w:adjustRightInd w:val="false"/>
              <w:spacing w:before="0"/>
              <w:rPr>
                <w:sz w:val="23"/>
                <w:szCs w:val="23"/>
              </w:rPr>
            </w:pPr>
            <w:r>
              <w:rPr>
                <w:sz w:val="23"/>
                <w:szCs w:val="23"/>
              </w:rPr>
              <w:t>7 000 000</w:t>
            </w:r>
          </w:p>
        </w:tc>
        <w:tc>
          <w:tcPr>
            <w:tcW w:w="2343" w:type="dxa"/>
            <w:tcBorders/>
          </w:tcPr>
          <w:p>
            <w:pPr>
              <w:pStyle w:val="style0"/>
              <w:autoSpaceDE w:val="false"/>
              <w:autoSpaceDN w:val="false"/>
              <w:adjustRightInd w:val="false"/>
              <w:spacing w:before="0"/>
              <w:rPr>
                <w:sz w:val="23"/>
                <w:szCs w:val="23"/>
              </w:rPr>
            </w:pPr>
            <w:r>
              <w:rPr>
                <w:sz w:val="23"/>
                <w:szCs w:val="23"/>
              </w:rPr>
              <w:t>21 000 000</w:t>
            </w:r>
          </w:p>
        </w:tc>
      </w:tr>
      <w:tr>
        <w:tblPrEx/>
        <w:trPr>
          <w:jc w:val="center"/>
        </w:trPr>
        <w:tc>
          <w:tcPr>
            <w:tcW w:w="5132" w:type="dxa"/>
            <w:tcBorders/>
          </w:tcPr>
          <w:p>
            <w:pPr>
              <w:pStyle w:val="style0"/>
              <w:autoSpaceDE w:val="false"/>
              <w:autoSpaceDN w:val="false"/>
              <w:adjustRightInd w:val="false"/>
              <w:spacing w:before="0"/>
              <w:rPr>
                <w:sz w:val="23"/>
                <w:szCs w:val="23"/>
              </w:rPr>
            </w:pPr>
            <w:r>
              <w:rPr>
                <w:sz w:val="23"/>
                <w:szCs w:val="23"/>
              </w:rPr>
              <w:t>Diffusion</w:t>
            </w:r>
            <w:r>
              <w:rPr>
                <w:sz w:val="23"/>
                <w:szCs w:val="23"/>
              </w:rPr>
              <w:t xml:space="preserve"> de</w:t>
            </w:r>
            <w:r>
              <w:rPr>
                <w:sz w:val="23"/>
                <w:szCs w:val="23"/>
              </w:rPr>
              <w:t xml:space="preserve"> liste des pesticides homologués et pesticides interdits au Burkina Faso</w:t>
            </w:r>
          </w:p>
        </w:tc>
        <w:tc>
          <w:tcPr>
            <w:tcW w:w="1701" w:type="dxa"/>
            <w:tcBorders/>
          </w:tcPr>
          <w:p>
            <w:pPr>
              <w:pStyle w:val="style0"/>
              <w:autoSpaceDE w:val="false"/>
              <w:autoSpaceDN w:val="false"/>
              <w:adjustRightInd w:val="false"/>
              <w:spacing w:before="0"/>
              <w:rPr>
                <w:sz w:val="23"/>
                <w:szCs w:val="23"/>
              </w:rPr>
            </w:pPr>
            <w:r>
              <w:rPr>
                <w:sz w:val="23"/>
                <w:szCs w:val="23"/>
              </w:rPr>
              <w:t>Forfait</w:t>
            </w:r>
          </w:p>
        </w:tc>
        <w:tc>
          <w:tcPr>
            <w:tcW w:w="2234" w:type="dxa"/>
            <w:tcBorders/>
          </w:tcPr>
          <w:p>
            <w:pPr>
              <w:pStyle w:val="style0"/>
              <w:autoSpaceDE w:val="false"/>
              <w:autoSpaceDN w:val="false"/>
              <w:adjustRightInd w:val="false"/>
              <w:spacing w:before="0"/>
              <w:rPr>
                <w:sz w:val="23"/>
                <w:szCs w:val="23"/>
              </w:rPr>
            </w:pPr>
            <w:r>
              <w:rPr>
                <w:sz w:val="23"/>
                <w:szCs w:val="23"/>
              </w:rPr>
              <w:t>Forfait</w:t>
            </w:r>
          </w:p>
        </w:tc>
        <w:tc>
          <w:tcPr>
            <w:tcW w:w="2586" w:type="dxa"/>
            <w:tcBorders/>
          </w:tcPr>
          <w:p>
            <w:pPr>
              <w:pStyle w:val="style0"/>
              <w:autoSpaceDE w:val="false"/>
              <w:autoSpaceDN w:val="false"/>
              <w:adjustRightInd w:val="false"/>
              <w:spacing w:before="0"/>
              <w:rPr>
                <w:sz w:val="23"/>
                <w:szCs w:val="23"/>
              </w:rPr>
            </w:pPr>
            <w:r>
              <w:rPr>
                <w:sz w:val="23"/>
                <w:szCs w:val="23"/>
              </w:rPr>
              <w:t xml:space="preserve">Forfait </w:t>
            </w:r>
          </w:p>
        </w:tc>
        <w:tc>
          <w:tcPr>
            <w:tcW w:w="2343" w:type="dxa"/>
            <w:tcBorders/>
          </w:tcPr>
          <w:p>
            <w:pPr>
              <w:pStyle w:val="style0"/>
              <w:autoSpaceDE w:val="false"/>
              <w:autoSpaceDN w:val="false"/>
              <w:adjustRightInd w:val="false"/>
              <w:spacing w:before="0"/>
              <w:rPr>
                <w:sz w:val="23"/>
                <w:szCs w:val="23"/>
              </w:rPr>
            </w:pPr>
            <w:r>
              <w:rPr>
                <w:sz w:val="23"/>
                <w:szCs w:val="23"/>
              </w:rPr>
              <w:t>3 000 000</w:t>
            </w:r>
          </w:p>
        </w:tc>
      </w:tr>
      <w:tr>
        <w:tblPrEx/>
        <w:trPr>
          <w:jc w:val="center"/>
        </w:trPr>
        <w:tc>
          <w:tcPr>
            <w:tcW w:w="5132" w:type="dxa"/>
            <w:tcBorders/>
          </w:tcPr>
          <w:p>
            <w:pPr>
              <w:pStyle w:val="style0"/>
              <w:autoSpaceDE w:val="false"/>
              <w:autoSpaceDN w:val="false"/>
              <w:adjustRightInd w:val="false"/>
              <w:spacing w:before="0"/>
              <w:rPr>
                <w:sz w:val="23"/>
                <w:szCs w:val="23"/>
              </w:rPr>
            </w:pPr>
            <w:r>
              <w:rPr>
                <w:sz w:val="23"/>
                <w:szCs w:val="23"/>
              </w:rPr>
              <w:t xml:space="preserve">Elaboration et diffusion </w:t>
            </w:r>
            <w:r>
              <w:rPr>
                <w:sz w:val="23"/>
                <w:szCs w:val="23"/>
              </w:rPr>
              <w:t xml:space="preserve">de </w:t>
            </w:r>
            <w:r>
              <w:rPr>
                <w:sz w:val="23"/>
                <w:szCs w:val="23"/>
              </w:rPr>
              <w:t>kit sur la gestion des emballages</w:t>
            </w:r>
          </w:p>
        </w:tc>
        <w:tc>
          <w:tcPr>
            <w:tcW w:w="1701" w:type="dxa"/>
            <w:tcBorders/>
          </w:tcPr>
          <w:p>
            <w:pPr>
              <w:pStyle w:val="style0"/>
              <w:autoSpaceDE w:val="false"/>
              <w:autoSpaceDN w:val="false"/>
              <w:adjustRightInd w:val="false"/>
              <w:spacing w:before="0"/>
              <w:rPr>
                <w:sz w:val="23"/>
                <w:szCs w:val="23"/>
              </w:rPr>
            </w:pPr>
            <w:r>
              <w:rPr>
                <w:sz w:val="23"/>
                <w:szCs w:val="23"/>
              </w:rPr>
              <w:t>U</w:t>
            </w:r>
          </w:p>
        </w:tc>
        <w:tc>
          <w:tcPr>
            <w:tcW w:w="2234" w:type="dxa"/>
            <w:tcBorders/>
          </w:tcPr>
          <w:p>
            <w:pPr>
              <w:pStyle w:val="style0"/>
              <w:autoSpaceDE w:val="false"/>
              <w:autoSpaceDN w:val="false"/>
              <w:adjustRightInd w:val="false"/>
              <w:spacing w:before="0"/>
              <w:rPr>
                <w:sz w:val="23"/>
                <w:szCs w:val="23"/>
              </w:rPr>
            </w:pPr>
            <w:r>
              <w:rPr>
                <w:sz w:val="23"/>
                <w:szCs w:val="23"/>
              </w:rPr>
              <w:t>1</w:t>
            </w:r>
          </w:p>
        </w:tc>
        <w:tc>
          <w:tcPr>
            <w:tcW w:w="2586" w:type="dxa"/>
            <w:tcBorders/>
          </w:tcPr>
          <w:p>
            <w:pPr>
              <w:pStyle w:val="style0"/>
              <w:autoSpaceDE w:val="false"/>
              <w:autoSpaceDN w:val="false"/>
              <w:adjustRightInd w:val="false"/>
              <w:spacing w:before="0"/>
              <w:rPr>
                <w:sz w:val="23"/>
                <w:szCs w:val="23"/>
              </w:rPr>
            </w:pPr>
            <w:r>
              <w:rPr>
                <w:sz w:val="23"/>
                <w:szCs w:val="23"/>
              </w:rPr>
              <w:t>5 000 000</w:t>
            </w:r>
          </w:p>
        </w:tc>
        <w:tc>
          <w:tcPr>
            <w:tcW w:w="2343" w:type="dxa"/>
            <w:tcBorders/>
          </w:tcPr>
          <w:p>
            <w:pPr>
              <w:pStyle w:val="style0"/>
              <w:autoSpaceDE w:val="false"/>
              <w:autoSpaceDN w:val="false"/>
              <w:adjustRightInd w:val="false"/>
              <w:spacing w:before="0"/>
              <w:rPr>
                <w:sz w:val="23"/>
                <w:szCs w:val="23"/>
              </w:rPr>
            </w:pPr>
            <w:r>
              <w:rPr>
                <w:sz w:val="23"/>
                <w:szCs w:val="23"/>
              </w:rPr>
              <w:t>5 000 000</w:t>
            </w:r>
          </w:p>
        </w:tc>
      </w:tr>
      <w:tr>
        <w:tblPrEx/>
        <w:trPr>
          <w:jc w:val="center"/>
        </w:trPr>
        <w:tc>
          <w:tcPr>
            <w:tcW w:w="5132" w:type="dxa"/>
            <w:tcBorders/>
          </w:tcPr>
          <w:p>
            <w:pPr>
              <w:pStyle w:val="style0"/>
              <w:autoSpaceDE w:val="false"/>
              <w:autoSpaceDN w:val="false"/>
              <w:adjustRightInd w:val="false"/>
              <w:spacing w:before="0"/>
              <w:rPr>
                <w:sz w:val="23"/>
                <w:szCs w:val="23"/>
              </w:rPr>
            </w:pPr>
            <w:r>
              <w:rPr>
                <w:sz w:val="23"/>
                <w:szCs w:val="23"/>
              </w:rPr>
              <w:t>Formation des agents de santé en prise en charge des intoxiqués par les pesticides</w:t>
            </w:r>
          </w:p>
        </w:tc>
        <w:tc>
          <w:tcPr>
            <w:tcW w:w="1701" w:type="dxa"/>
            <w:tcBorders/>
          </w:tcPr>
          <w:p>
            <w:pPr>
              <w:pStyle w:val="style0"/>
              <w:autoSpaceDE w:val="false"/>
              <w:autoSpaceDN w:val="false"/>
              <w:adjustRightInd w:val="false"/>
              <w:spacing w:before="0"/>
              <w:rPr>
                <w:sz w:val="23"/>
                <w:szCs w:val="23"/>
              </w:rPr>
            </w:pPr>
            <w:r>
              <w:rPr>
                <w:sz w:val="23"/>
                <w:szCs w:val="23"/>
              </w:rPr>
              <w:t>Session</w:t>
            </w:r>
          </w:p>
        </w:tc>
        <w:tc>
          <w:tcPr>
            <w:tcW w:w="2234" w:type="dxa"/>
            <w:tcBorders/>
          </w:tcPr>
          <w:p>
            <w:pPr>
              <w:pStyle w:val="style0"/>
              <w:autoSpaceDE w:val="false"/>
              <w:autoSpaceDN w:val="false"/>
              <w:adjustRightInd w:val="false"/>
              <w:spacing w:before="0"/>
              <w:rPr>
                <w:sz w:val="23"/>
                <w:szCs w:val="23"/>
              </w:rPr>
            </w:pPr>
            <w:r>
              <w:rPr>
                <w:sz w:val="23"/>
                <w:szCs w:val="23"/>
              </w:rPr>
              <w:t>3</w:t>
            </w:r>
          </w:p>
        </w:tc>
        <w:tc>
          <w:tcPr>
            <w:tcW w:w="2586" w:type="dxa"/>
            <w:tcBorders/>
          </w:tcPr>
          <w:p>
            <w:pPr>
              <w:pStyle w:val="style0"/>
              <w:autoSpaceDE w:val="false"/>
              <w:autoSpaceDN w:val="false"/>
              <w:adjustRightInd w:val="false"/>
              <w:spacing w:before="0"/>
              <w:rPr>
                <w:sz w:val="23"/>
                <w:szCs w:val="23"/>
              </w:rPr>
            </w:pPr>
            <w:r>
              <w:rPr>
                <w:sz w:val="23"/>
                <w:szCs w:val="23"/>
              </w:rPr>
              <w:t>5 000 000</w:t>
            </w:r>
          </w:p>
        </w:tc>
        <w:tc>
          <w:tcPr>
            <w:tcW w:w="2343" w:type="dxa"/>
            <w:tcBorders/>
          </w:tcPr>
          <w:p>
            <w:pPr>
              <w:pStyle w:val="style0"/>
              <w:autoSpaceDE w:val="false"/>
              <w:autoSpaceDN w:val="false"/>
              <w:adjustRightInd w:val="false"/>
              <w:spacing w:before="0"/>
              <w:rPr>
                <w:sz w:val="23"/>
                <w:szCs w:val="23"/>
              </w:rPr>
            </w:pPr>
            <w:r>
              <w:rPr>
                <w:sz w:val="23"/>
                <w:szCs w:val="23"/>
              </w:rPr>
              <w:t>15 000 000</w:t>
            </w:r>
          </w:p>
        </w:tc>
      </w:tr>
      <w:tr>
        <w:tblPrEx/>
        <w:trPr>
          <w:jc w:val="center"/>
        </w:trPr>
        <w:tc>
          <w:tcPr>
            <w:tcW w:w="5132" w:type="dxa"/>
            <w:tcBorders/>
          </w:tcPr>
          <w:p>
            <w:pPr>
              <w:pStyle w:val="style0"/>
              <w:autoSpaceDE w:val="false"/>
              <w:autoSpaceDN w:val="false"/>
              <w:adjustRightInd w:val="false"/>
              <w:spacing w:before="0"/>
              <w:rPr>
                <w:bCs/>
                <w:iCs/>
                <w:sz w:val="23"/>
                <w:szCs w:val="23"/>
              </w:rPr>
            </w:pPr>
            <w:r>
              <w:rPr>
                <w:bCs/>
                <w:iCs/>
                <w:sz w:val="23"/>
                <w:szCs w:val="23"/>
              </w:rPr>
              <w:t>Formation des producteurs</w:t>
            </w:r>
          </w:p>
        </w:tc>
        <w:tc>
          <w:tcPr>
            <w:tcW w:w="1701" w:type="dxa"/>
            <w:tcBorders/>
          </w:tcPr>
          <w:p>
            <w:pPr>
              <w:pStyle w:val="style0"/>
              <w:autoSpaceDE w:val="false"/>
              <w:autoSpaceDN w:val="false"/>
              <w:adjustRightInd w:val="false"/>
              <w:spacing w:before="0"/>
              <w:rPr>
                <w:sz w:val="23"/>
                <w:szCs w:val="23"/>
              </w:rPr>
            </w:pPr>
            <w:r>
              <w:rPr>
                <w:sz w:val="23"/>
                <w:szCs w:val="23"/>
              </w:rPr>
              <w:t>Session</w:t>
            </w:r>
          </w:p>
        </w:tc>
        <w:tc>
          <w:tcPr>
            <w:tcW w:w="2234" w:type="dxa"/>
            <w:tcBorders/>
          </w:tcPr>
          <w:p>
            <w:pPr>
              <w:pStyle w:val="style0"/>
              <w:autoSpaceDE w:val="false"/>
              <w:autoSpaceDN w:val="false"/>
              <w:adjustRightInd w:val="false"/>
              <w:spacing w:before="0"/>
              <w:rPr>
                <w:sz w:val="23"/>
                <w:szCs w:val="23"/>
              </w:rPr>
            </w:pPr>
            <w:r>
              <w:rPr>
                <w:sz w:val="23"/>
                <w:szCs w:val="23"/>
              </w:rPr>
              <w:t>3</w:t>
            </w:r>
          </w:p>
        </w:tc>
        <w:tc>
          <w:tcPr>
            <w:tcW w:w="2586" w:type="dxa"/>
            <w:tcBorders/>
          </w:tcPr>
          <w:p>
            <w:pPr>
              <w:pStyle w:val="style0"/>
              <w:autoSpaceDE w:val="false"/>
              <w:autoSpaceDN w:val="false"/>
              <w:adjustRightInd w:val="false"/>
              <w:spacing w:before="0"/>
              <w:rPr>
                <w:sz w:val="23"/>
                <w:szCs w:val="23"/>
              </w:rPr>
            </w:pPr>
            <w:r>
              <w:rPr>
                <w:sz w:val="23"/>
                <w:szCs w:val="23"/>
              </w:rPr>
              <w:t>4 000 000</w:t>
            </w:r>
          </w:p>
        </w:tc>
        <w:tc>
          <w:tcPr>
            <w:tcW w:w="2343" w:type="dxa"/>
            <w:tcBorders/>
          </w:tcPr>
          <w:p>
            <w:pPr>
              <w:pStyle w:val="style0"/>
              <w:autoSpaceDE w:val="false"/>
              <w:autoSpaceDN w:val="false"/>
              <w:adjustRightInd w:val="false"/>
              <w:spacing w:before="0"/>
              <w:rPr>
                <w:sz w:val="23"/>
                <w:szCs w:val="23"/>
              </w:rPr>
            </w:pPr>
            <w:r>
              <w:rPr>
                <w:sz w:val="23"/>
                <w:szCs w:val="23"/>
              </w:rPr>
              <w:t>12 000 000</w:t>
            </w:r>
          </w:p>
        </w:tc>
      </w:tr>
      <w:tr>
        <w:tblPrEx/>
        <w:trPr>
          <w:jc w:val="center"/>
        </w:trPr>
        <w:tc>
          <w:tcPr>
            <w:tcW w:w="5132" w:type="dxa"/>
            <w:tcBorders/>
          </w:tcPr>
          <w:p>
            <w:pPr>
              <w:pStyle w:val="style0"/>
              <w:autoSpaceDE w:val="false"/>
              <w:autoSpaceDN w:val="false"/>
              <w:adjustRightInd w:val="false"/>
              <w:spacing w:before="0"/>
              <w:rPr>
                <w:sz w:val="23"/>
                <w:szCs w:val="23"/>
              </w:rPr>
            </w:pPr>
            <w:r>
              <w:rPr>
                <w:bCs/>
                <w:iCs/>
                <w:sz w:val="23"/>
                <w:szCs w:val="23"/>
              </w:rPr>
              <w:t>Sensibilisation/vulgarisation des bonnes pratiques d’utilisation des pesticides</w:t>
            </w:r>
          </w:p>
        </w:tc>
        <w:tc>
          <w:tcPr>
            <w:tcW w:w="1701" w:type="dxa"/>
            <w:tcBorders/>
          </w:tcPr>
          <w:p>
            <w:pPr>
              <w:pStyle w:val="style0"/>
              <w:autoSpaceDE w:val="false"/>
              <w:autoSpaceDN w:val="false"/>
              <w:adjustRightInd w:val="false"/>
              <w:spacing w:before="0"/>
              <w:rPr>
                <w:sz w:val="23"/>
                <w:szCs w:val="23"/>
              </w:rPr>
            </w:pPr>
            <w:r>
              <w:rPr>
                <w:sz w:val="23"/>
                <w:szCs w:val="23"/>
              </w:rPr>
              <w:t>Forfait</w:t>
            </w:r>
          </w:p>
        </w:tc>
        <w:tc>
          <w:tcPr>
            <w:tcW w:w="2234" w:type="dxa"/>
            <w:tcBorders/>
          </w:tcPr>
          <w:p>
            <w:pPr>
              <w:pStyle w:val="style0"/>
              <w:autoSpaceDE w:val="false"/>
              <w:autoSpaceDN w:val="false"/>
              <w:adjustRightInd w:val="false"/>
              <w:spacing w:before="0"/>
              <w:rPr>
                <w:sz w:val="23"/>
                <w:szCs w:val="23"/>
              </w:rPr>
            </w:pPr>
            <w:r>
              <w:rPr>
                <w:sz w:val="23"/>
                <w:szCs w:val="23"/>
              </w:rPr>
              <w:t>Forfait</w:t>
            </w:r>
          </w:p>
        </w:tc>
        <w:tc>
          <w:tcPr>
            <w:tcW w:w="2586" w:type="dxa"/>
            <w:tcBorders/>
          </w:tcPr>
          <w:p>
            <w:pPr>
              <w:pStyle w:val="style0"/>
              <w:autoSpaceDE w:val="false"/>
              <w:autoSpaceDN w:val="false"/>
              <w:adjustRightInd w:val="false"/>
              <w:spacing w:before="0"/>
              <w:rPr>
                <w:sz w:val="23"/>
                <w:szCs w:val="23"/>
              </w:rPr>
            </w:pPr>
            <w:r>
              <w:rPr>
                <w:sz w:val="23"/>
                <w:szCs w:val="23"/>
              </w:rPr>
              <w:t xml:space="preserve">Forfait </w:t>
            </w:r>
          </w:p>
        </w:tc>
        <w:tc>
          <w:tcPr>
            <w:tcW w:w="2343" w:type="dxa"/>
            <w:tcBorders/>
          </w:tcPr>
          <w:p>
            <w:pPr>
              <w:pStyle w:val="style0"/>
              <w:autoSpaceDE w:val="false"/>
              <w:autoSpaceDN w:val="false"/>
              <w:adjustRightInd w:val="false"/>
              <w:spacing w:before="0"/>
              <w:rPr>
                <w:sz w:val="23"/>
                <w:szCs w:val="23"/>
              </w:rPr>
            </w:pPr>
            <w:r>
              <w:rPr>
                <w:sz w:val="23"/>
                <w:szCs w:val="23"/>
              </w:rPr>
              <w:t>5 000 000</w:t>
            </w:r>
          </w:p>
        </w:tc>
      </w:tr>
      <w:tr>
        <w:tblPrEx/>
        <w:trPr>
          <w:jc w:val="center"/>
        </w:trPr>
        <w:tc>
          <w:tcPr>
            <w:tcW w:w="5132" w:type="dxa"/>
            <w:tcBorders/>
          </w:tcPr>
          <w:p>
            <w:pPr>
              <w:pStyle w:val="style0"/>
              <w:autoSpaceDE w:val="false"/>
              <w:autoSpaceDN w:val="false"/>
              <w:adjustRightInd w:val="false"/>
              <w:spacing w:before="0"/>
              <w:rPr>
                <w:sz w:val="23"/>
                <w:szCs w:val="23"/>
              </w:rPr>
            </w:pPr>
            <w:r>
              <w:rPr>
                <w:bCs/>
                <w:iCs/>
                <w:sz w:val="23"/>
                <w:szCs w:val="23"/>
              </w:rPr>
              <w:t>Diffusion d’émissions d’éducation environnementale</w:t>
            </w:r>
          </w:p>
        </w:tc>
        <w:tc>
          <w:tcPr>
            <w:tcW w:w="1701" w:type="dxa"/>
            <w:tcBorders/>
          </w:tcPr>
          <w:p>
            <w:pPr>
              <w:pStyle w:val="style0"/>
              <w:autoSpaceDE w:val="false"/>
              <w:autoSpaceDN w:val="false"/>
              <w:adjustRightInd w:val="false"/>
              <w:spacing w:before="0"/>
              <w:rPr>
                <w:sz w:val="23"/>
                <w:szCs w:val="23"/>
              </w:rPr>
            </w:pPr>
            <w:r>
              <w:rPr>
                <w:sz w:val="23"/>
                <w:szCs w:val="23"/>
              </w:rPr>
              <w:t>Session</w:t>
            </w:r>
          </w:p>
        </w:tc>
        <w:tc>
          <w:tcPr>
            <w:tcW w:w="2234" w:type="dxa"/>
            <w:tcBorders/>
          </w:tcPr>
          <w:p>
            <w:pPr>
              <w:pStyle w:val="style0"/>
              <w:autoSpaceDE w:val="false"/>
              <w:autoSpaceDN w:val="false"/>
              <w:adjustRightInd w:val="false"/>
              <w:spacing w:before="0"/>
              <w:rPr>
                <w:sz w:val="23"/>
                <w:szCs w:val="23"/>
              </w:rPr>
            </w:pPr>
            <w:r>
              <w:rPr>
                <w:sz w:val="23"/>
                <w:szCs w:val="23"/>
              </w:rPr>
              <w:t>5</w:t>
            </w:r>
          </w:p>
        </w:tc>
        <w:tc>
          <w:tcPr>
            <w:tcW w:w="2586" w:type="dxa"/>
            <w:tcBorders/>
          </w:tcPr>
          <w:p>
            <w:pPr>
              <w:pStyle w:val="style0"/>
              <w:autoSpaceDE w:val="false"/>
              <w:autoSpaceDN w:val="false"/>
              <w:adjustRightInd w:val="false"/>
              <w:spacing w:before="0"/>
              <w:rPr>
                <w:sz w:val="23"/>
                <w:szCs w:val="23"/>
              </w:rPr>
            </w:pPr>
            <w:r>
              <w:rPr>
                <w:sz w:val="23"/>
                <w:szCs w:val="23"/>
              </w:rPr>
              <w:t>2 000 000</w:t>
            </w:r>
          </w:p>
        </w:tc>
        <w:tc>
          <w:tcPr>
            <w:tcW w:w="2343" w:type="dxa"/>
            <w:tcBorders/>
          </w:tcPr>
          <w:p>
            <w:pPr>
              <w:pStyle w:val="style0"/>
              <w:autoSpaceDE w:val="false"/>
              <w:autoSpaceDN w:val="false"/>
              <w:adjustRightInd w:val="false"/>
              <w:spacing w:before="0"/>
              <w:rPr>
                <w:sz w:val="23"/>
                <w:szCs w:val="23"/>
              </w:rPr>
            </w:pPr>
            <w:r>
              <w:rPr>
                <w:sz w:val="23"/>
                <w:szCs w:val="23"/>
              </w:rPr>
              <w:t>10 000 000</w:t>
            </w:r>
          </w:p>
        </w:tc>
      </w:tr>
      <w:tr>
        <w:tblPrEx/>
        <w:trPr>
          <w:jc w:val="center"/>
        </w:trPr>
        <w:tc>
          <w:tcPr>
            <w:tcW w:w="5132" w:type="dxa"/>
            <w:tcBorders/>
          </w:tcPr>
          <w:p>
            <w:pPr>
              <w:pStyle w:val="style0"/>
              <w:autoSpaceDE w:val="false"/>
              <w:autoSpaceDN w:val="false"/>
              <w:adjustRightInd w:val="false"/>
              <w:spacing w:before="0"/>
              <w:rPr>
                <w:sz w:val="23"/>
                <w:szCs w:val="23"/>
              </w:rPr>
            </w:pPr>
          </w:p>
        </w:tc>
        <w:tc>
          <w:tcPr>
            <w:tcW w:w="1701" w:type="dxa"/>
            <w:tcBorders/>
          </w:tcPr>
          <w:p>
            <w:pPr>
              <w:pStyle w:val="style0"/>
              <w:autoSpaceDE w:val="false"/>
              <w:autoSpaceDN w:val="false"/>
              <w:adjustRightInd w:val="false"/>
              <w:spacing w:before="0"/>
              <w:rPr>
                <w:sz w:val="23"/>
                <w:szCs w:val="23"/>
              </w:rPr>
            </w:pPr>
          </w:p>
        </w:tc>
        <w:tc>
          <w:tcPr>
            <w:tcW w:w="2234" w:type="dxa"/>
            <w:tcBorders/>
          </w:tcPr>
          <w:p>
            <w:pPr>
              <w:pStyle w:val="style0"/>
              <w:autoSpaceDE w:val="false"/>
              <w:autoSpaceDN w:val="false"/>
              <w:adjustRightInd w:val="false"/>
              <w:spacing w:before="0"/>
              <w:rPr>
                <w:sz w:val="23"/>
                <w:szCs w:val="23"/>
              </w:rPr>
            </w:pPr>
          </w:p>
        </w:tc>
        <w:tc>
          <w:tcPr>
            <w:tcW w:w="2586" w:type="dxa"/>
            <w:tcBorders/>
          </w:tcPr>
          <w:p>
            <w:pPr>
              <w:pStyle w:val="style0"/>
              <w:autoSpaceDE w:val="false"/>
              <w:autoSpaceDN w:val="false"/>
              <w:adjustRightInd w:val="false"/>
              <w:spacing w:before="0"/>
              <w:rPr>
                <w:sz w:val="23"/>
                <w:szCs w:val="23"/>
              </w:rPr>
            </w:pPr>
          </w:p>
        </w:tc>
        <w:tc>
          <w:tcPr>
            <w:tcW w:w="2343" w:type="dxa"/>
            <w:tcBorders/>
          </w:tcPr>
          <w:p>
            <w:pPr>
              <w:pStyle w:val="style0"/>
              <w:autoSpaceDE w:val="false"/>
              <w:autoSpaceDN w:val="false"/>
              <w:adjustRightInd w:val="false"/>
              <w:spacing w:before="0"/>
              <w:rPr>
                <w:sz w:val="23"/>
                <w:szCs w:val="23"/>
              </w:rPr>
            </w:pPr>
          </w:p>
        </w:tc>
      </w:tr>
      <w:tr>
        <w:tblPrEx/>
        <w:trPr>
          <w:jc w:val="center"/>
        </w:trPr>
        <w:tc>
          <w:tcPr>
            <w:tcW w:w="13996" w:type="dxa"/>
            <w:gridSpan w:val="5"/>
            <w:tcBorders/>
          </w:tcPr>
          <w:p>
            <w:pPr>
              <w:pStyle w:val="style0"/>
              <w:autoSpaceDE w:val="false"/>
              <w:autoSpaceDN w:val="false"/>
              <w:adjustRightInd w:val="false"/>
              <w:spacing w:before="0"/>
              <w:jc w:val="center"/>
              <w:rPr>
                <w:sz w:val="23"/>
                <w:szCs w:val="23"/>
              </w:rPr>
            </w:pPr>
            <w:r>
              <w:rPr>
                <w:b/>
                <w:sz w:val="23"/>
                <w:szCs w:val="23"/>
              </w:rPr>
              <w:t>Acquisition d’équipements, de produits et contrôle de l’environnement</w:t>
            </w:r>
          </w:p>
        </w:tc>
      </w:tr>
      <w:tr>
        <w:tblPrEx/>
        <w:trPr>
          <w:jc w:val="center"/>
        </w:trPr>
        <w:tc>
          <w:tcPr>
            <w:tcW w:w="5132" w:type="dxa"/>
            <w:tcBorders/>
          </w:tcPr>
          <w:p>
            <w:pPr>
              <w:pStyle w:val="style0"/>
              <w:autoSpaceDE w:val="false"/>
              <w:autoSpaceDN w:val="false"/>
              <w:adjustRightInd w:val="false"/>
              <w:spacing w:before="0"/>
              <w:rPr>
                <w:bCs/>
                <w:iCs/>
                <w:sz w:val="23"/>
                <w:szCs w:val="23"/>
              </w:rPr>
            </w:pPr>
            <w:r>
              <w:rPr>
                <w:bCs/>
                <w:iCs/>
                <w:sz w:val="23"/>
                <w:szCs w:val="23"/>
              </w:rPr>
              <w:t>Acquisition de matériels de traitement pour les cliniques de plantes</w:t>
            </w:r>
          </w:p>
        </w:tc>
        <w:tc>
          <w:tcPr>
            <w:tcW w:w="1701" w:type="dxa"/>
            <w:tcBorders/>
          </w:tcPr>
          <w:p>
            <w:pPr>
              <w:pStyle w:val="style0"/>
              <w:autoSpaceDE w:val="false"/>
              <w:autoSpaceDN w:val="false"/>
              <w:adjustRightInd w:val="false"/>
              <w:spacing w:before="0"/>
              <w:rPr>
                <w:sz w:val="23"/>
                <w:szCs w:val="23"/>
              </w:rPr>
            </w:pPr>
            <w:r>
              <w:rPr>
                <w:sz w:val="23"/>
                <w:szCs w:val="23"/>
              </w:rPr>
              <w:t>Forfait</w:t>
            </w:r>
          </w:p>
        </w:tc>
        <w:tc>
          <w:tcPr>
            <w:tcW w:w="2234" w:type="dxa"/>
            <w:tcBorders/>
          </w:tcPr>
          <w:p>
            <w:pPr>
              <w:pStyle w:val="style0"/>
              <w:autoSpaceDE w:val="false"/>
              <w:autoSpaceDN w:val="false"/>
              <w:adjustRightInd w:val="false"/>
              <w:spacing w:before="0"/>
              <w:rPr>
                <w:sz w:val="23"/>
                <w:szCs w:val="23"/>
              </w:rPr>
            </w:pPr>
            <w:r>
              <w:rPr>
                <w:sz w:val="23"/>
                <w:szCs w:val="23"/>
              </w:rPr>
              <w:t>Forfait</w:t>
            </w:r>
          </w:p>
        </w:tc>
        <w:tc>
          <w:tcPr>
            <w:tcW w:w="2586" w:type="dxa"/>
            <w:tcBorders/>
          </w:tcPr>
          <w:p>
            <w:pPr>
              <w:pStyle w:val="style0"/>
              <w:autoSpaceDE w:val="false"/>
              <w:autoSpaceDN w:val="false"/>
              <w:adjustRightInd w:val="false"/>
              <w:spacing w:before="0"/>
              <w:rPr>
                <w:sz w:val="23"/>
                <w:szCs w:val="23"/>
              </w:rPr>
            </w:pPr>
            <w:r>
              <w:rPr>
                <w:sz w:val="23"/>
                <w:szCs w:val="23"/>
              </w:rPr>
              <w:t xml:space="preserve">Forfait </w:t>
            </w:r>
          </w:p>
        </w:tc>
        <w:tc>
          <w:tcPr>
            <w:tcW w:w="2343" w:type="dxa"/>
            <w:tcBorders/>
          </w:tcPr>
          <w:p>
            <w:pPr>
              <w:pStyle w:val="style0"/>
              <w:autoSpaceDE w:val="false"/>
              <w:autoSpaceDN w:val="false"/>
              <w:adjustRightInd w:val="false"/>
              <w:spacing w:before="0"/>
              <w:rPr>
                <w:sz w:val="23"/>
                <w:szCs w:val="23"/>
              </w:rPr>
            </w:pPr>
            <w:r>
              <w:rPr>
                <w:sz w:val="23"/>
                <w:szCs w:val="23"/>
              </w:rPr>
              <w:t>15 000 000</w:t>
            </w:r>
          </w:p>
        </w:tc>
      </w:tr>
      <w:tr>
        <w:tblPrEx/>
        <w:trPr>
          <w:jc w:val="center"/>
        </w:trPr>
        <w:tc>
          <w:tcPr>
            <w:tcW w:w="5132" w:type="dxa"/>
            <w:tcBorders/>
          </w:tcPr>
          <w:p>
            <w:pPr>
              <w:pStyle w:val="style0"/>
              <w:autoSpaceDE w:val="false"/>
              <w:autoSpaceDN w:val="false"/>
              <w:adjustRightInd w:val="false"/>
              <w:spacing w:before="0"/>
              <w:rPr>
                <w:sz w:val="23"/>
                <w:szCs w:val="23"/>
              </w:rPr>
            </w:pPr>
            <w:r>
              <w:rPr>
                <w:sz w:val="23"/>
                <w:szCs w:val="23"/>
              </w:rPr>
              <w:t>Suivi de la mise en œuvre des mesures d’atténuation</w:t>
            </w:r>
          </w:p>
        </w:tc>
        <w:tc>
          <w:tcPr>
            <w:tcW w:w="1701" w:type="dxa"/>
            <w:tcBorders/>
          </w:tcPr>
          <w:p>
            <w:pPr>
              <w:pStyle w:val="style0"/>
              <w:autoSpaceDE w:val="false"/>
              <w:autoSpaceDN w:val="false"/>
              <w:adjustRightInd w:val="false"/>
              <w:spacing w:before="0"/>
              <w:rPr>
                <w:sz w:val="23"/>
                <w:szCs w:val="23"/>
              </w:rPr>
            </w:pPr>
            <w:r>
              <w:rPr>
                <w:sz w:val="23"/>
                <w:szCs w:val="23"/>
              </w:rPr>
              <w:t>Mission</w:t>
            </w:r>
          </w:p>
        </w:tc>
        <w:tc>
          <w:tcPr>
            <w:tcW w:w="2234" w:type="dxa"/>
            <w:tcBorders/>
          </w:tcPr>
          <w:p>
            <w:pPr>
              <w:pStyle w:val="style0"/>
              <w:autoSpaceDE w:val="false"/>
              <w:autoSpaceDN w:val="false"/>
              <w:adjustRightInd w:val="false"/>
              <w:spacing w:before="0"/>
              <w:rPr>
                <w:sz w:val="23"/>
                <w:szCs w:val="23"/>
              </w:rPr>
            </w:pPr>
            <w:r>
              <w:rPr>
                <w:sz w:val="23"/>
                <w:szCs w:val="23"/>
              </w:rPr>
              <w:t>10</w:t>
            </w:r>
          </w:p>
        </w:tc>
        <w:tc>
          <w:tcPr>
            <w:tcW w:w="2586" w:type="dxa"/>
            <w:tcBorders/>
          </w:tcPr>
          <w:p>
            <w:pPr>
              <w:pStyle w:val="style0"/>
              <w:autoSpaceDE w:val="false"/>
              <w:autoSpaceDN w:val="false"/>
              <w:adjustRightInd w:val="false"/>
              <w:spacing w:before="0"/>
              <w:rPr>
                <w:sz w:val="23"/>
                <w:szCs w:val="23"/>
              </w:rPr>
            </w:pPr>
            <w:r>
              <w:rPr>
                <w:sz w:val="23"/>
                <w:szCs w:val="23"/>
              </w:rPr>
              <w:t>3 000 000</w:t>
            </w:r>
          </w:p>
        </w:tc>
        <w:tc>
          <w:tcPr>
            <w:tcW w:w="2343" w:type="dxa"/>
            <w:tcBorders/>
          </w:tcPr>
          <w:p>
            <w:pPr>
              <w:pStyle w:val="style0"/>
              <w:autoSpaceDE w:val="false"/>
              <w:autoSpaceDN w:val="false"/>
              <w:adjustRightInd w:val="false"/>
              <w:spacing w:before="0"/>
              <w:rPr>
                <w:sz w:val="23"/>
                <w:szCs w:val="23"/>
              </w:rPr>
            </w:pPr>
            <w:r>
              <w:rPr>
                <w:sz w:val="23"/>
                <w:szCs w:val="23"/>
              </w:rPr>
              <w:t>30 000 000</w:t>
            </w:r>
          </w:p>
        </w:tc>
      </w:tr>
      <w:tr>
        <w:tblPrEx/>
        <w:trPr>
          <w:jc w:val="center"/>
        </w:trPr>
        <w:tc>
          <w:tcPr>
            <w:tcW w:w="5132" w:type="dxa"/>
            <w:tcBorders/>
          </w:tcPr>
          <w:p>
            <w:pPr>
              <w:pStyle w:val="style0"/>
              <w:autoSpaceDE w:val="false"/>
              <w:autoSpaceDN w:val="false"/>
              <w:adjustRightInd w:val="false"/>
              <w:spacing w:before="0"/>
              <w:rPr>
                <w:sz w:val="23"/>
                <w:szCs w:val="23"/>
              </w:rPr>
            </w:pPr>
            <w:r>
              <w:rPr>
                <w:sz w:val="23"/>
                <w:szCs w:val="23"/>
              </w:rPr>
              <w:t>Analyse de résidus dans l’environnement</w:t>
            </w:r>
          </w:p>
        </w:tc>
        <w:tc>
          <w:tcPr>
            <w:tcW w:w="1701" w:type="dxa"/>
            <w:tcBorders/>
          </w:tcPr>
          <w:p>
            <w:pPr>
              <w:pStyle w:val="style0"/>
              <w:autoSpaceDE w:val="false"/>
              <w:autoSpaceDN w:val="false"/>
              <w:adjustRightInd w:val="false"/>
              <w:spacing w:before="0"/>
              <w:rPr>
                <w:sz w:val="23"/>
                <w:szCs w:val="23"/>
              </w:rPr>
            </w:pPr>
            <w:r>
              <w:rPr>
                <w:sz w:val="23"/>
                <w:szCs w:val="23"/>
              </w:rPr>
              <w:t>Campagne</w:t>
            </w:r>
          </w:p>
        </w:tc>
        <w:tc>
          <w:tcPr>
            <w:tcW w:w="2234" w:type="dxa"/>
            <w:tcBorders/>
          </w:tcPr>
          <w:p>
            <w:pPr>
              <w:pStyle w:val="style0"/>
              <w:autoSpaceDE w:val="false"/>
              <w:autoSpaceDN w:val="false"/>
              <w:adjustRightInd w:val="false"/>
              <w:spacing w:before="0"/>
              <w:rPr>
                <w:sz w:val="23"/>
                <w:szCs w:val="23"/>
              </w:rPr>
            </w:pPr>
            <w:r>
              <w:rPr>
                <w:sz w:val="23"/>
                <w:szCs w:val="23"/>
              </w:rPr>
              <w:t>3</w:t>
            </w:r>
          </w:p>
        </w:tc>
        <w:tc>
          <w:tcPr>
            <w:tcW w:w="2586" w:type="dxa"/>
            <w:tcBorders/>
          </w:tcPr>
          <w:p>
            <w:pPr>
              <w:pStyle w:val="style0"/>
              <w:autoSpaceDE w:val="false"/>
              <w:autoSpaceDN w:val="false"/>
              <w:adjustRightInd w:val="false"/>
              <w:spacing w:before="0"/>
              <w:rPr>
                <w:sz w:val="23"/>
                <w:szCs w:val="23"/>
              </w:rPr>
            </w:pPr>
            <w:r>
              <w:rPr>
                <w:sz w:val="23"/>
                <w:szCs w:val="23"/>
              </w:rPr>
              <w:t>10 000 000</w:t>
            </w:r>
          </w:p>
        </w:tc>
        <w:tc>
          <w:tcPr>
            <w:tcW w:w="2343" w:type="dxa"/>
            <w:tcBorders/>
          </w:tcPr>
          <w:p>
            <w:pPr>
              <w:pStyle w:val="style0"/>
              <w:autoSpaceDE w:val="false"/>
              <w:autoSpaceDN w:val="false"/>
              <w:adjustRightInd w:val="false"/>
              <w:spacing w:before="0"/>
              <w:rPr>
                <w:sz w:val="23"/>
                <w:szCs w:val="23"/>
              </w:rPr>
            </w:pPr>
            <w:r>
              <w:rPr>
                <w:sz w:val="23"/>
                <w:szCs w:val="23"/>
              </w:rPr>
              <w:t>30 000 000</w:t>
            </w:r>
          </w:p>
        </w:tc>
      </w:tr>
      <w:tr>
        <w:tblPrEx/>
        <w:trPr>
          <w:jc w:val="center"/>
        </w:trPr>
        <w:tc>
          <w:tcPr>
            <w:tcW w:w="5132" w:type="dxa"/>
            <w:tcBorders/>
          </w:tcPr>
          <w:p>
            <w:pPr>
              <w:pStyle w:val="style0"/>
              <w:autoSpaceDE w:val="false"/>
              <w:autoSpaceDN w:val="false"/>
              <w:adjustRightInd w:val="false"/>
              <w:spacing w:before="0"/>
              <w:rPr>
                <w:sz w:val="23"/>
                <w:szCs w:val="23"/>
              </w:rPr>
            </w:pPr>
            <w:r>
              <w:rPr>
                <w:sz w:val="23"/>
                <w:szCs w:val="23"/>
              </w:rPr>
              <w:t>Analyse des résidus dans les produits d’exportation</w:t>
            </w:r>
          </w:p>
        </w:tc>
        <w:tc>
          <w:tcPr>
            <w:tcW w:w="1701" w:type="dxa"/>
            <w:tcBorders/>
          </w:tcPr>
          <w:p>
            <w:pPr>
              <w:pStyle w:val="style0"/>
              <w:autoSpaceDE w:val="false"/>
              <w:autoSpaceDN w:val="false"/>
              <w:adjustRightInd w:val="false"/>
              <w:spacing w:before="0"/>
              <w:rPr>
                <w:sz w:val="23"/>
                <w:szCs w:val="23"/>
              </w:rPr>
            </w:pPr>
            <w:r>
              <w:rPr>
                <w:sz w:val="23"/>
                <w:szCs w:val="23"/>
              </w:rPr>
              <w:t>Campagne</w:t>
            </w:r>
          </w:p>
        </w:tc>
        <w:tc>
          <w:tcPr>
            <w:tcW w:w="2234" w:type="dxa"/>
            <w:tcBorders/>
          </w:tcPr>
          <w:p>
            <w:pPr>
              <w:pStyle w:val="style0"/>
              <w:autoSpaceDE w:val="false"/>
              <w:autoSpaceDN w:val="false"/>
              <w:adjustRightInd w:val="false"/>
              <w:spacing w:before="0"/>
              <w:rPr>
                <w:sz w:val="23"/>
                <w:szCs w:val="23"/>
              </w:rPr>
            </w:pPr>
            <w:r>
              <w:rPr>
                <w:sz w:val="23"/>
                <w:szCs w:val="23"/>
              </w:rPr>
              <w:t>5</w:t>
            </w:r>
          </w:p>
        </w:tc>
        <w:tc>
          <w:tcPr>
            <w:tcW w:w="2586" w:type="dxa"/>
            <w:tcBorders/>
          </w:tcPr>
          <w:p>
            <w:pPr>
              <w:pStyle w:val="style0"/>
              <w:autoSpaceDE w:val="false"/>
              <w:autoSpaceDN w:val="false"/>
              <w:adjustRightInd w:val="false"/>
              <w:spacing w:before="0"/>
              <w:rPr>
                <w:sz w:val="23"/>
                <w:szCs w:val="23"/>
              </w:rPr>
            </w:pPr>
            <w:r>
              <w:rPr>
                <w:sz w:val="23"/>
                <w:szCs w:val="23"/>
              </w:rPr>
              <w:t>3 500 000</w:t>
            </w:r>
          </w:p>
        </w:tc>
        <w:tc>
          <w:tcPr>
            <w:tcW w:w="2343" w:type="dxa"/>
            <w:tcBorders/>
          </w:tcPr>
          <w:p>
            <w:pPr>
              <w:pStyle w:val="style0"/>
              <w:autoSpaceDE w:val="false"/>
              <w:autoSpaceDN w:val="false"/>
              <w:adjustRightInd w:val="false"/>
              <w:spacing w:before="0"/>
              <w:rPr>
                <w:sz w:val="23"/>
                <w:szCs w:val="23"/>
              </w:rPr>
            </w:pPr>
            <w:r>
              <w:rPr>
                <w:sz w:val="23"/>
                <w:szCs w:val="23"/>
              </w:rPr>
              <w:t>17 500 000</w:t>
            </w:r>
          </w:p>
        </w:tc>
      </w:tr>
      <w:tr>
        <w:tblPrEx/>
        <w:trPr>
          <w:jc w:val="center"/>
        </w:trPr>
        <w:tc>
          <w:tcPr>
            <w:tcW w:w="5132" w:type="dxa"/>
            <w:tcBorders/>
          </w:tcPr>
          <w:p>
            <w:pPr>
              <w:pStyle w:val="style0"/>
              <w:autoSpaceDE w:val="false"/>
              <w:autoSpaceDN w:val="false"/>
              <w:adjustRightInd w:val="false"/>
              <w:spacing w:before="0"/>
              <w:rPr>
                <w:sz w:val="23"/>
                <w:szCs w:val="23"/>
              </w:rPr>
            </w:pPr>
            <w:r>
              <w:rPr>
                <w:sz w:val="23"/>
                <w:szCs w:val="23"/>
              </w:rPr>
              <w:t>Collecte et décontamination des emballages vides</w:t>
            </w:r>
          </w:p>
        </w:tc>
        <w:tc>
          <w:tcPr>
            <w:tcW w:w="1701" w:type="dxa"/>
            <w:tcBorders/>
          </w:tcPr>
          <w:p>
            <w:pPr>
              <w:pStyle w:val="style0"/>
              <w:autoSpaceDE w:val="false"/>
              <w:autoSpaceDN w:val="false"/>
              <w:adjustRightInd w:val="false"/>
              <w:spacing w:before="0"/>
              <w:rPr>
                <w:sz w:val="23"/>
                <w:szCs w:val="23"/>
              </w:rPr>
            </w:pPr>
            <w:r>
              <w:rPr>
                <w:sz w:val="23"/>
                <w:szCs w:val="23"/>
              </w:rPr>
              <w:t>Campagne</w:t>
            </w:r>
          </w:p>
        </w:tc>
        <w:tc>
          <w:tcPr>
            <w:tcW w:w="2234" w:type="dxa"/>
            <w:tcBorders/>
          </w:tcPr>
          <w:p>
            <w:pPr>
              <w:pStyle w:val="style0"/>
              <w:autoSpaceDE w:val="false"/>
              <w:autoSpaceDN w:val="false"/>
              <w:adjustRightInd w:val="false"/>
              <w:spacing w:before="0"/>
              <w:rPr>
                <w:sz w:val="23"/>
                <w:szCs w:val="23"/>
              </w:rPr>
            </w:pPr>
            <w:r>
              <w:rPr>
                <w:sz w:val="23"/>
                <w:szCs w:val="23"/>
              </w:rPr>
              <w:t>5</w:t>
            </w:r>
          </w:p>
        </w:tc>
        <w:tc>
          <w:tcPr>
            <w:tcW w:w="2586" w:type="dxa"/>
            <w:tcBorders/>
          </w:tcPr>
          <w:p>
            <w:pPr>
              <w:pStyle w:val="style0"/>
              <w:autoSpaceDE w:val="false"/>
              <w:autoSpaceDN w:val="false"/>
              <w:adjustRightInd w:val="false"/>
              <w:spacing w:before="0"/>
              <w:rPr>
                <w:sz w:val="23"/>
                <w:szCs w:val="23"/>
              </w:rPr>
            </w:pPr>
            <w:r>
              <w:rPr>
                <w:sz w:val="23"/>
                <w:szCs w:val="23"/>
              </w:rPr>
              <w:t>1 500 000</w:t>
            </w:r>
          </w:p>
        </w:tc>
        <w:tc>
          <w:tcPr>
            <w:tcW w:w="2343" w:type="dxa"/>
            <w:tcBorders/>
          </w:tcPr>
          <w:p>
            <w:pPr>
              <w:pStyle w:val="style0"/>
              <w:autoSpaceDE w:val="false"/>
              <w:autoSpaceDN w:val="false"/>
              <w:adjustRightInd w:val="false"/>
              <w:spacing w:before="0"/>
              <w:rPr>
                <w:sz w:val="23"/>
                <w:szCs w:val="23"/>
              </w:rPr>
            </w:pPr>
            <w:r>
              <w:rPr>
                <w:sz w:val="23"/>
                <w:szCs w:val="23"/>
              </w:rPr>
              <w:t>7 500 000</w:t>
            </w:r>
          </w:p>
        </w:tc>
      </w:tr>
      <w:tr>
        <w:tblPrEx/>
        <w:trPr>
          <w:jc w:val="center"/>
        </w:trPr>
        <w:tc>
          <w:tcPr>
            <w:tcW w:w="5132" w:type="dxa"/>
            <w:tcBorders/>
          </w:tcPr>
          <w:p>
            <w:pPr>
              <w:pStyle w:val="style0"/>
              <w:autoSpaceDE w:val="false"/>
              <w:autoSpaceDN w:val="false"/>
              <w:adjustRightInd w:val="false"/>
              <w:spacing w:before="0"/>
              <w:rPr>
                <w:sz w:val="23"/>
                <w:szCs w:val="23"/>
              </w:rPr>
            </w:pPr>
            <w:r>
              <w:rPr>
                <w:sz w:val="23"/>
                <w:szCs w:val="23"/>
              </w:rPr>
              <w:t>Equipements des formations sanitaires en kits de santé</w:t>
            </w:r>
          </w:p>
        </w:tc>
        <w:tc>
          <w:tcPr>
            <w:tcW w:w="1701" w:type="dxa"/>
            <w:tcBorders/>
          </w:tcPr>
          <w:p>
            <w:pPr>
              <w:pStyle w:val="style0"/>
              <w:autoSpaceDE w:val="false"/>
              <w:autoSpaceDN w:val="false"/>
              <w:adjustRightInd w:val="false"/>
              <w:spacing w:before="0"/>
              <w:rPr>
                <w:sz w:val="23"/>
                <w:szCs w:val="23"/>
              </w:rPr>
            </w:pPr>
            <w:r>
              <w:rPr>
                <w:sz w:val="23"/>
                <w:szCs w:val="23"/>
              </w:rPr>
              <w:t>Forfait</w:t>
            </w:r>
          </w:p>
        </w:tc>
        <w:tc>
          <w:tcPr>
            <w:tcW w:w="2234" w:type="dxa"/>
            <w:tcBorders/>
          </w:tcPr>
          <w:p>
            <w:pPr>
              <w:pStyle w:val="style0"/>
              <w:autoSpaceDE w:val="false"/>
              <w:autoSpaceDN w:val="false"/>
              <w:adjustRightInd w:val="false"/>
              <w:spacing w:before="0"/>
              <w:rPr>
                <w:sz w:val="23"/>
                <w:szCs w:val="23"/>
              </w:rPr>
            </w:pPr>
            <w:r>
              <w:rPr>
                <w:sz w:val="23"/>
                <w:szCs w:val="23"/>
              </w:rPr>
              <w:t>Forfait</w:t>
            </w:r>
          </w:p>
        </w:tc>
        <w:tc>
          <w:tcPr>
            <w:tcW w:w="2586" w:type="dxa"/>
            <w:tcBorders/>
          </w:tcPr>
          <w:p>
            <w:pPr>
              <w:pStyle w:val="style0"/>
              <w:autoSpaceDE w:val="false"/>
              <w:autoSpaceDN w:val="false"/>
              <w:adjustRightInd w:val="false"/>
              <w:spacing w:before="0"/>
              <w:rPr>
                <w:sz w:val="23"/>
                <w:szCs w:val="23"/>
              </w:rPr>
            </w:pPr>
            <w:r>
              <w:rPr>
                <w:sz w:val="23"/>
                <w:szCs w:val="23"/>
              </w:rPr>
              <w:t xml:space="preserve">Forfait </w:t>
            </w:r>
          </w:p>
        </w:tc>
        <w:tc>
          <w:tcPr>
            <w:tcW w:w="2343" w:type="dxa"/>
            <w:tcBorders/>
          </w:tcPr>
          <w:p>
            <w:pPr>
              <w:pStyle w:val="style0"/>
              <w:autoSpaceDE w:val="false"/>
              <w:autoSpaceDN w:val="false"/>
              <w:adjustRightInd w:val="false"/>
              <w:spacing w:before="0"/>
              <w:rPr>
                <w:sz w:val="23"/>
                <w:szCs w:val="23"/>
              </w:rPr>
            </w:pPr>
            <w:r>
              <w:rPr>
                <w:sz w:val="23"/>
                <w:szCs w:val="23"/>
              </w:rPr>
              <w:t>15 000 000</w:t>
            </w:r>
          </w:p>
        </w:tc>
      </w:tr>
      <w:tr>
        <w:tblPrEx/>
        <w:trPr>
          <w:jc w:val="center"/>
        </w:trPr>
        <w:tc>
          <w:tcPr>
            <w:tcW w:w="5132" w:type="dxa"/>
            <w:tcBorders/>
          </w:tcPr>
          <w:p>
            <w:pPr>
              <w:pStyle w:val="style0"/>
              <w:autoSpaceDE w:val="false"/>
              <w:autoSpaceDN w:val="false"/>
              <w:adjustRightInd w:val="false"/>
              <w:spacing w:before="0"/>
              <w:rPr>
                <w:sz w:val="23"/>
                <w:szCs w:val="23"/>
              </w:rPr>
            </w:pPr>
            <w:r>
              <w:rPr>
                <w:sz w:val="23"/>
                <w:szCs w:val="23"/>
              </w:rPr>
              <w:t>Prise en charge des intoxiqués par les pesticides</w:t>
            </w:r>
          </w:p>
        </w:tc>
        <w:tc>
          <w:tcPr>
            <w:tcW w:w="1701" w:type="dxa"/>
            <w:tcBorders/>
          </w:tcPr>
          <w:p>
            <w:pPr>
              <w:pStyle w:val="style0"/>
              <w:autoSpaceDE w:val="false"/>
              <w:autoSpaceDN w:val="false"/>
              <w:adjustRightInd w:val="false"/>
              <w:spacing w:before="0"/>
              <w:rPr>
                <w:sz w:val="23"/>
                <w:szCs w:val="23"/>
              </w:rPr>
            </w:pPr>
            <w:r>
              <w:rPr>
                <w:sz w:val="23"/>
                <w:szCs w:val="23"/>
              </w:rPr>
              <w:t>Forfait</w:t>
            </w:r>
          </w:p>
        </w:tc>
        <w:tc>
          <w:tcPr>
            <w:tcW w:w="2234" w:type="dxa"/>
            <w:tcBorders/>
          </w:tcPr>
          <w:p>
            <w:pPr>
              <w:pStyle w:val="style0"/>
              <w:autoSpaceDE w:val="false"/>
              <w:autoSpaceDN w:val="false"/>
              <w:adjustRightInd w:val="false"/>
              <w:spacing w:before="0"/>
              <w:rPr>
                <w:sz w:val="23"/>
                <w:szCs w:val="23"/>
              </w:rPr>
            </w:pPr>
            <w:r>
              <w:rPr>
                <w:sz w:val="23"/>
                <w:szCs w:val="23"/>
              </w:rPr>
              <w:t>Forfait</w:t>
            </w:r>
          </w:p>
        </w:tc>
        <w:tc>
          <w:tcPr>
            <w:tcW w:w="2586" w:type="dxa"/>
            <w:tcBorders/>
          </w:tcPr>
          <w:p>
            <w:pPr>
              <w:pStyle w:val="style0"/>
              <w:autoSpaceDE w:val="false"/>
              <w:autoSpaceDN w:val="false"/>
              <w:adjustRightInd w:val="false"/>
              <w:spacing w:before="0"/>
              <w:rPr>
                <w:sz w:val="23"/>
                <w:szCs w:val="23"/>
              </w:rPr>
            </w:pPr>
            <w:r>
              <w:rPr>
                <w:sz w:val="23"/>
                <w:szCs w:val="23"/>
              </w:rPr>
              <w:t xml:space="preserve">Forfait </w:t>
            </w:r>
          </w:p>
        </w:tc>
        <w:tc>
          <w:tcPr>
            <w:tcW w:w="2343" w:type="dxa"/>
            <w:tcBorders/>
          </w:tcPr>
          <w:p>
            <w:pPr>
              <w:pStyle w:val="style0"/>
              <w:autoSpaceDE w:val="false"/>
              <w:autoSpaceDN w:val="false"/>
              <w:adjustRightInd w:val="false"/>
              <w:spacing w:before="0"/>
              <w:rPr>
                <w:sz w:val="23"/>
                <w:szCs w:val="23"/>
              </w:rPr>
            </w:pPr>
            <w:r>
              <w:rPr>
                <w:sz w:val="23"/>
                <w:szCs w:val="23"/>
              </w:rPr>
              <w:t>20 000 000</w:t>
            </w:r>
          </w:p>
        </w:tc>
      </w:tr>
      <w:tr>
        <w:tblPrEx/>
        <w:trPr>
          <w:jc w:val="center"/>
        </w:trPr>
        <w:tc>
          <w:tcPr>
            <w:tcW w:w="5132" w:type="dxa"/>
            <w:tcBorders/>
          </w:tcPr>
          <w:p>
            <w:pPr>
              <w:pStyle w:val="style0"/>
              <w:autoSpaceDE w:val="false"/>
              <w:autoSpaceDN w:val="false"/>
              <w:adjustRightInd w:val="false"/>
              <w:spacing w:before="0"/>
              <w:rPr>
                <w:sz w:val="23"/>
                <w:szCs w:val="23"/>
              </w:rPr>
            </w:pPr>
          </w:p>
        </w:tc>
        <w:tc>
          <w:tcPr>
            <w:tcW w:w="1701" w:type="dxa"/>
            <w:tcBorders/>
          </w:tcPr>
          <w:p>
            <w:pPr>
              <w:pStyle w:val="style0"/>
              <w:autoSpaceDE w:val="false"/>
              <w:autoSpaceDN w:val="false"/>
              <w:adjustRightInd w:val="false"/>
              <w:spacing w:before="0"/>
              <w:rPr>
                <w:sz w:val="23"/>
                <w:szCs w:val="23"/>
              </w:rPr>
            </w:pPr>
          </w:p>
        </w:tc>
        <w:tc>
          <w:tcPr>
            <w:tcW w:w="2234" w:type="dxa"/>
            <w:tcBorders/>
          </w:tcPr>
          <w:p>
            <w:pPr>
              <w:pStyle w:val="style0"/>
              <w:autoSpaceDE w:val="false"/>
              <w:autoSpaceDN w:val="false"/>
              <w:adjustRightInd w:val="false"/>
              <w:spacing w:before="0"/>
              <w:rPr>
                <w:sz w:val="23"/>
                <w:szCs w:val="23"/>
              </w:rPr>
            </w:pPr>
          </w:p>
        </w:tc>
        <w:tc>
          <w:tcPr>
            <w:tcW w:w="2586" w:type="dxa"/>
            <w:tcBorders/>
          </w:tcPr>
          <w:p>
            <w:pPr>
              <w:pStyle w:val="style0"/>
              <w:autoSpaceDE w:val="false"/>
              <w:autoSpaceDN w:val="false"/>
              <w:adjustRightInd w:val="false"/>
              <w:spacing w:before="0"/>
              <w:rPr>
                <w:sz w:val="23"/>
                <w:szCs w:val="23"/>
              </w:rPr>
            </w:pPr>
          </w:p>
        </w:tc>
        <w:tc>
          <w:tcPr>
            <w:tcW w:w="2343" w:type="dxa"/>
            <w:tcBorders/>
          </w:tcPr>
          <w:p>
            <w:pPr>
              <w:pStyle w:val="style0"/>
              <w:autoSpaceDE w:val="false"/>
              <w:autoSpaceDN w:val="false"/>
              <w:adjustRightInd w:val="false"/>
              <w:spacing w:before="0"/>
              <w:rPr>
                <w:sz w:val="23"/>
                <w:szCs w:val="23"/>
              </w:rPr>
            </w:pPr>
          </w:p>
        </w:tc>
      </w:tr>
      <w:tr>
        <w:tblPrEx/>
        <w:trPr>
          <w:jc w:val="center"/>
        </w:trPr>
        <w:tc>
          <w:tcPr>
            <w:tcW w:w="11653" w:type="dxa"/>
            <w:gridSpan w:val="4"/>
            <w:tcBorders/>
          </w:tcPr>
          <w:p>
            <w:pPr>
              <w:pStyle w:val="style0"/>
              <w:autoSpaceDE w:val="false"/>
              <w:autoSpaceDN w:val="false"/>
              <w:adjustRightInd w:val="false"/>
              <w:spacing w:before="0"/>
              <w:rPr>
                <w:sz w:val="23"/>
                <w:szCs w:val="23"/>
              </w:rPr>
            </w:pPr>
            <w:r>
              <w:rPr>
                <w:sz w:val="23"/>
                <w:szCs w:val="23"/>
              </w:rPr>
              <w:t>Montant global</w:t>
            </w:r>
          </w:p>
        </w:tc>
        <w:tc>
          <w:tcPr>
            <w:tcW w:w="2343" w:type="dxa"/>
            <w:tcBorders/>
          </w:tcPr>
          <w:p>
            <w:pPr>
              <w:pStyle w:val="style0"/>
              <w:autoSpaceDE w:val="false"/>
              <w:autoSpaceDN w:val="false"/>
              <w:adjustRightInd w:val="false"/>
              <w:spacing w:before="0"/>
              <w:rPr>
                <w:sz w:val="23"/>
                <w:szCs w:val="23"/>
              </w:rPr>
            </w:pPr>
            <w:r>
              <w:rPr>
                <w:sz w:val="23"/>
                <w:szCs w:val="23"/>
              </w:rPr>
              <w:t xml:space="preserve">296 </w:t>
            </w:r>
            <w:r>
              <w:rPr>
                <w:sz w:val="23"/>
                <w:szCs w:val="23"/>
              </w:rPr>
              <w:t>500 000</w:t>
            </w:r>
          </w:p>
        </w:tc>
      </w:tr>
    </w:tbl>
    <w:p>
      <w:pPr>
        <w:pStyle w:val="style0"/>
        <w:spacing w:before="0"/>
        <w:rPr>
          <w:sz w:val="23"/>
          <w:szCs w:val="23"/>
        </w:rPr>
      </w:pPr>
    </w:p>
    <w:p>
      <w:pPr>
        <w:pStyle w:val="style0"/>
        <w:spacing w:before="0"/>
        <w:rPr>
          <w:sz w:val="23"/>
          <w:szCs w:val="23"/>
        </w:rPr>
        <w:sectPr>
          <w:pgSz w:w="16840" w:h="11900" w:orient="landscape"/>
          <w:pgMar w:top="1417" w:right="1417" w:bottom="1417" w:left="1417" w:header="708" w:footer="708" w:gutter="0"/>
          <w:cols w:space="708"/>
          <w:docGrid w:linePitch="360"/>
        </w:sectPr>
      </w:pPr>
    </w:p>
    <w:bookmarkStart w:id="464" w:name="_Toc2831232"/>
    <w:bookmarkStart w:id="465" w:name="_Toc534964932"/>
    <w:bookmarkStart w:id="466" w:name="_Toc514190181"/>
    <w:p>
      <w:pPr>
        <w:pStyle w:val="style2"/>
        <w:numPr>
          <w:ilvl w:val="1"/>
          <w:numId w:val="85"/>
        </w:numPr>
        <w:rPr>
          <w:caps/>
          <w:sz w:val="22"/>
        </w:rPr>
      </w:pPr>
      <w:r>
        <w:t>Mécanisme</w:t>
      </w:r>
      <w:r>
        <w:t>s</w:t>
      </w:r>
      <w:r>
        <w:t xml:space="preserve"> de gestion des plaintes</w:t>
      </w:r>
      <w:bookmarkEnd w:id="464"/>
      <w:r>
        <w:t xml:space="preserve"> </w:t>
      </w:r>
      <w:bookmarkEnd w:id="465"/>
    </w:p>
    <w:p>
      <w:pPr>
        <w:pStyle w:val="style0"/>
        <w:rPr>
          <w:sz w:val="22"/>
          <w:szCs w:val="22"/>
        </w:rPr>
      </w:pPr>
      <w:r>
        <w:rPr>
          <w:sz w:val="22"/>
          <w:szCs w:val="22"/>
          <w:lang w:val="fr-CA"/>
        </w:rPr>
        <w:t xml:space="preserve">Un dispositif portant sur l’enregistrement et la gestion d’éventuelles plaintes et l’information des PAP sur la procédure de recours pour la satisfaction de droits de réparation à quatre (4) niveaux est requis dans le cadre du </w:t>
      </w:r>
      <w:r>
        <w:rPr>
          <w:sz w:val="22"/>
          <w:szCs w:val="22"/>
        </w:rPr>
        <w:t>Programme</w:t>
      </w:r>
      <w:r>
        <w:rPr>
          <w:sz w:val="22"/>
          <w:szCs w:val="22"/>
          <w:lang w:val="fr-CA"/>
        </w:rPr>
        <w:t xml:space="preserve">. Ainsi, le </w:t>
      </w:r>
      <w:r>
        <w:rPr>
          <w:sz w:val="22"/>
          <w:szCs w:val="22"/>
        </w:rPr>
        <w:t xml:space="preserve">PDCA </w:t>
      </w:r>
      <w:r>
        <w:rPr>
          <w:sz w:val="22"/>
          <w:szCs w:val="22"/>
          <w:lang w:val="fr-CA"/>
        </w:rPr>
        <w:t xml:space="preserve">privilégiera d’abord, le recours à un mécanisme extra-judiciaire de règlement des litiges à l’amiable au niveau local en ayant recours à l’écoute, la concertation et la médiation par des tiers.   </w:t>
      </w:r>
    </w:p>
    <w:bookmarkStart w:id="467" w:name="_Toc2527734"/>
    <w:bookmarkStart w:id="468" w:name="_Toc2780523"/>
    <w:bookmarkStart w:id="469" w:name="_Toc2831233"/>
    <w:p>
      <w:pPr>
        <w:pStyle w:val="style3"/>
        <w:ind w:left="0" w:firstLine="0"/>
        <w:rPr>
          <w:b w:val="false"/>
          <w:bCs/>
        </w:rPr>
      </w:pPr>
      <w:r>
        <w:rPr>
          <w:bCs/>
        </w:rPr>
        <w:t>6.6.1</w:t>
      </w:r>
      <w:r>
        <w:rPr>
          <w:bCs/>
        </w:rPr>
        <w:t>. Les différents types de plaintes à traiter</w:t>
      </w:r>
      <w:bookmarkEnd w:id="467"/>
      <w:bookmarkEnd w:id="468"/>
      <w:bookmarkEnd w:id="469"/>
      <w:r>
        <w:rPr>
          <w:bCs/>
        </w:rPr>
        <w:t xml:space="preserve"> </w:t>
      </w:r>
    </w:p>
    <w:p>
      <w:pPr>
        <w:pStyle w:val="style0"/>
        <w:spacing w:after="160" w:lineRule="auto" w:line="259"/>
        <w:rPr>
          <w:rFonts w:eastAsia="Calibri"/>
          <w:lang w:eastAsia="it-IT"/>
        </w:rPr>
      </w:pPr>
      <w:r>
        <w:rPr>
          <w:rFonts w:eastAsia="Calibri"/>
          <w:lang w:eastAsia="it-IT"/>
        </w:rPr>
        <w:t xml:space="preserve">En général, dans tout processus de réinstallation, des difficultés de différents ordres apparaissent sous forme de plaintes. Ces plaintes sont de deux ordres : les plaintes liées au déroulement du processus et celles liées au droit de propriété. </w:t>
      </w:r>
    </w:p>
    <w:p>
      <w:pPr>
        <w:pStyle w:val="style157"/>
        <w:rPr>
          <w:b/>
        </w:rPr>
      </w:pPr>
      <w:r>
        <w:rPr>
          <w:b/>
        </w:rPr>
        <w:t>6.6.1.1</w:t>
      </w:r>
      <w:r>
        <w:rPr>
          <w:b/>
        </w:rPr>
        <w:t>. Plaintes liées au processus </w:t>
      </w:r>
    </w:p>
    <w:p>
      <w:pPr>
        <w:pStyle w:val="style0"/>
        <w:spacing w:after="160" w:lineRule="auto" w:line="259"/>
        <w:rPr>
          <w:rFonts w:eastAsia="Calibri"/>
        </w:rPr>
      </w:pPr>
      <w:r>
        <w:rPr>
          <w:rFonts w:eastAsia="Calibri"/>
          <w:lang w:eastAsia="it-IT"/>
        </w:rPr>
        <w:t xml:space="preserve">Ces plaintes peuvent être liées entre autres aux omissions de patrimoines lors de l’opération de recensement des personnes et des biens, aux erreurs sur les identités des personnes impactées, la sous-évaluation des biens perdus, les bases de calculs des indemnisations, les conditions de réinstallation, etc. </w:t>
      </w:r>
    </w:p>
    <w:p>
      <w:pPr>
        <w:pStyle w:val="style157"/>
        <w:rPr>
          <w:rFonts w:eastAsia="Calibri"/>
          <w:b/>
          <w:bCs/>
          <w:lang w:eastAsia="it-IT"/>
        </w:rPr>
      </w:pPr>
      <w:r>
        <w:rPr>
          <w:b/>
        </w:rPr>
        <w:t>76.6</w:t>
      </w:r>
      <w:r>
        <w:rPr>
          <w:b/>
        </w:rPr>
        <w:t>.1.2. Plaintes liées au droit de propriété </w:t>
      </w:r>
    </w:p>
    <w:p>
      <w:pPr>
        <w:pStyle w:val="style0"/>
        <w:spacing w:after="160" w:lineRule="auto" w:line="259"/>
        <w:rPr>
          <w:rFonts w:eastAsia="Calibri"/>
          <w:lang w:eastAsia="it-IT"/>
        </w:rPr>
      </w:pPr>
      <w:r>
        <w:rPr>
          <w:rFonts w:eastAsia="Calibri"/>
          <w:lang w:eastAsia="it-IT"/>
        </w:rPr>
        <w:t>Ces plaintes concernent la succession en termes d’héritage, les divorces, l’appropriation d’un bien commun ou d’un capital de production mis en place par plusieurs personnes, etc.</w:t>
      </w:r>
    </w:p>
    <w:p>
      <w:pPr>
        <w:pStyle w:val="style157"/>
        <w:rPr>
          <w:b/>
        </w:rPr>
      </w:pPr>
      <w:r>
        <w:rPr>
          <w:b/>
        </w:rPr>
        <w:t>6.6</w:t>
      </w:r>
      <w:r>
        <w:rPr>
          <w:b/>
        </w:rPr>
        <w:t>.1.3. Autres plaintes</w:t>
      </w:r>
    </w:p>
    <w:p>
      <w:pPr>
        <w:pStyle w:val="style0"/>
        <w:spacing w:after="160" w:lineRule="auto" w:line="259"/>
        <w:rPr>
          <w:rFonts w:eastAsia="Calibri"/>
          <w:lang w:eastAsia="it-IT"/>
        </w:rPr>
      </w:pPr>
      <w:r>
        <w:rPr>
          <w:rFonts w:eastAsia="Calibri"/>
          <w:lang w:eastAsia="it-IT"/>
        </w:rPr>
        <w:t>D’autres types de plaintes peuvent apparaître dans le cadre de la mise en œuvre du Programme. Il s’agit :</w:t>
      </w:r>
    </w:p>
    <w:p>
      <w:pPr>
        <w:pStyle w:val="style0"/>
        <w:numPr>
          <w:ilvl w:val="0"/>
          <w:numId w:val="86"/>
        </w:numPr>
        <w:spacing w:before="0" w:after="160" w:lineRule="auto" w:line="259"/>
        <w:rPr>
          <w:rFonts w:eastAsia="Calibri"/>
          <w:lang w:eastAsia="it-IT"/>
        </w:rPr>
      </w:pPr>
      <w:r>
        <w:rPr>
          <w:rFonts w:eastAsia="Calibri"/>
          <w:lang w:eastAsia="it-IT"/>
        </w:rPr>
        <w:t>des incidents liés aux travaux (pollutions des eaux, poussières &amp; fumées, accidents, nuisances sonores, etc.) ;</w:t>
      </w:r>
    </w:p>
    <w:p>
      <w:pPr>
        <w:pStyle w:val="style0"/>
        <w:numPr>
          <w:ilvl w:val="0"/>
          <w:numId w:val="86"/>
        </w:numPr>
        <w:spacing w:before="0" w:after="160" w:lineRule="auto" w:line="259"/>
        <w:rPr>
          <w:rFonts w:eastAsia="Calibri"/>
          <w:lang w:eastAsia="it-IT"/>
        </w:rPr>
      </w:pPr>
      <w:r>
        <w:rPr>
          <w:rFonts w:eastAsia="Calibri"/>
          <w:lang w:eastAsia="it-IT"/>
        </w:rPr>
        <w:t>des problèmes liés à la sélection des prestataires ;</w:t>
      </w:r>
    </w:p>
    <w:p>
      <w:pPr>
        <w:pStyle w:val="style0"/>
        <w:numPr>
          <w:ilvl w:val="0"/>
          <w:numId w:val="86"/>
        </w:numPr>
        <w:spacing w:before="0" w:after="160" w:lineRule="auto" w:line="259"/>
        <w:rPr>
          <w:rFonts w:eastAsia="Calibri"/>
          <w:lang w:eastAsia="it-IT"/>
        </w:rPr>
      </w:pPr>
      <w:r>
        <w:rPr>
          <w:rFonts w:eastAsia="Calibri"/>
          <w:lang w:eastAsia="it-IT"/>
        </w:rPr>
        <w:t>des doléances soumises par les populations riveraines ;</w:t>
      </w:r>
    </w:p>
    <w:p>
      <w:pPr>
        <w:pStyle w:val="style0"/>
        <w:numPr>
          <w:ilvl w:val="0"/>
          <w:numId w:val="86"/>
        </w:numPr>
        <w:spacing w:before="0" w:after="160" w:lineRule="auto" w:line="259"/>
        <w:rPr>
          <w:rFonts w:eastAsia="Calibri"/>
          <w:lang w:eastAsia="it-IT"/>
        </w:rPr>
      </w:pPr>
      <w:r>
        <w:rPr>
          <w:rFonts w:eastAsia="Calibri"/>
          <w:lang w:val="fr-CA" w:eastAsia="it-IT"/>
        </w:rPr>
        <w:t xml:space="preserve">des requêtes ou demandes de clarification sur les sous- projets; </w:t>
      </w:r>
    </w:p>
    <w:p>
      <w:pPr>
        <w:pStyle w:val="style0"/>
        <w:numPr>
          <w:ilvl w:val="0"/>
          <w:numId w:val="86"/>
        </w:numPr>
        <w:spacing w:before="0" w:after="160" w:lineRule="auto" w:line="259"/>
        <w:rPr>
          <w:rFonts w:eastAsia="Calibri"/>
          <w:lang w:eastAsia="it-IT"/>
        </w:rPr>
      </w:pPr>
      <w:r>
        <w:rPr>
          <w:rFonts w:eastAsia="Calibri"/>
          <w:lang w:eastAsia="it-IT"/>
        </w:rPr>
        <w:t>des cas de dénonciations faites par des tiers.</w:t>
      </w:r>
      <w:bookmarkStart w:id="470" w:name="_Toc2527735"/>
    </w:p>
    <w:bookmarkStart w:id="471" w:name="_Toc2780524"/>
    <w:bookmarkStart w:id="472" w:name="_Toc2831234"/>
    <w:p>
      <w:pPr>
        <w:pStyle w:val="style3"/>
        <w:ind w:left="0" w:firstLine="0"/>
        <w:rPr>
          <w:b w:val="false"/>
          <w:bCs/>
        </w:rPr>
      </w:pPr>
      <w:r>
        <w:rPr>
          <w:bCs/>
        </w:rPr>
        <w:t>6.6</w:t>
      </w:r>
      <w:r>
        <w:rPr>
          <w:bCs/>
        </w:rPr>
        <w:t xml:space="preserve">.2. </w:t>
      </w:r>
      <w:r>
        <w:rPr>
          <w:bCs/>
        </w:rPr>
        <w:t>Procédure d’enregistrement et gestion des plaintes</w:t>
      </w:r>
      <w:bookmarkEnd w:id="470"/>
      <w:bookmarkEnd w:id="471"/>
      <w:bookmarkEnd w:id="472"/>
    </w:p>
    <w:p>
      <w:pPr>
        <w:pStyle w:val="style0"/>
        <w:spacing w:after="160" w:lineRule="auto" w:line="259"/>
        <w:rPr>
          <w:rFonts w:eastAsia="Calibri"/>
          <w:lang w:eastAsia="it-IT"/>
        </w:rPr>
      </w:pPr>
      <w:r>
        <w:rPr>
          <w:rFonts w:eastAsia="Calibri"/>
          <w:lang w:eastAsia="it-IT"/>
        </w:rPr>
        <w:t>La procédure d’enregistrement et de gestion des plaintes dans le cadre du CGES est en harmonie avec celle retenue par le CPRP, document élaboré parallèlement. Elle comporte quatre (4) niveaux :</w:t>
      </w:r>
    </w:p>
    <w:p>
      <w:pPr>
        <w:pStyle w:val="style0"/>
        <w:numPr>
          <w:ilvl w:val="0"/>
          <w:numId w:val="111"/>
        </w:numPr>
        <w:spacing w:before="0" w:after="160" w:lineRule="auto" w:line="259"/>
        <w:contextualSpacing/>
        <w:rPr>
          <w:rFonts w:eastAsia="Calibri"/>
          <w:sz w:val="22"/>
          <w:szCs w:val="22"/>
          <w:lang w:eastAsia="it-IT"/>
        </w:rPr>
      </w:pPr>
      <w:r>
        <w:rPr>
          <w:rFonts w:eastAsia="Calibri"/>
          <w:b/>
          <w:sz w:val="22"/>
          <w:szCs w:val="22"/>
          <w:lang w:eastAsia="it-IT"/>
        </w:rPr>
        <w:t>Le premier niveau de règlement des plaintes</w:t>
      </w:r>
      <w:r>
        <w:rPr>
          <w:rFonts w:eastAsia="Calibri"/>
          <w:sz w:val="22"/>
          <w:szCs w:val="22"/>
          <w:lang w:eastAsia="it-IT"/>
        </w:rPr>
        <w:t xml:space="preserve"> </w:t>
      </w:r>
    </w:p>
    <w:p>
      <w:pPr>
        <w:pStyle w:val="style0"/>
        <w:spacing w:after="160" w:lineRule="auto" w:line="259"/>
        <w:rPr>
          <w:rFonts w:eastAsia="Calibri"/>
          <w:lang w:eastAsia="it-IT"/>
        </w:rPr>
      </w:pPr>
      <w:r>
        <w:rPr>
          <w:rFonts w:eastAsia="Calibri"/>
          <w:lang w:eastAsia="it-IT"/>
        </w:rPr>
        <w:t xml:space="preserve">Le premier reste le village du ressort territorial de chaque PAP plaignante. En effet, les PAP seront informées pendant la période information-consultation des lieux d’enregistrement et de traitement des plaintes qui sont basés au niveau des villages et des mairies des communes concernées par les travaux du </w:t>
      </w:r>
      <w:r>
        <w:rPr>
          <w:rFonts w:eastAsia="Calibri"/>
        </w:rPr>
        <w:t>Projet</w:t>
      </w:r>
      <w:r>
        <w:rPr>
          <w:rFonts w:eastAsia="Calibri"/>
          <w:lang w:eastAsia="it-IT"/>
        </w:rPr>
        <w:t xml:space="preserve">. Des sous-Comités Villageois de Gestion de Plaintes (CVGP) seront mis en place au niveau desdits villages. Le processus consiste pour chaque sous- Comité Restreint de recevoir le plaignant, de procéder à l‘enregistrement de sa plainte dans un registre (une fiche ou un cahier) ainsi qu’à son examen préliminaire. Un délai maximum de 72 heures est requis pour le traitement de la plainte. </w:t>
      </w:r>
    </w:p>
    <w:p>
      <w:pPr>
        <w:pStyle w:val="style0"/>
        <w:spacing w:after="160" w:lineRule="auto" w:line="259"/>
        <w:rPr>
          <w:rFonts w:eastAsia="Calibri"/>
          <w:lang w:eastAsia="it-IT"/>
        </w:rPr>
      </w:pPr>
      <w:r>
        <w:rPr>
          <w:rFonts w:eastAsia="Calibri"/>
          <w:lang w:eastAsia="it-IT"/>
        </w:rPr>
        <w:t>Ces sous - comités villageois en charge de ce premier niveau de gestion des plaintes seront mis en s’appuyant sur le dispositif informel de gestion de plaintes existant au niveau local. Elle sera composée de 07 membres tout au plus (1. Chef de village, 2. Président CVD, 3-Secrétaire CVD, 4-proprietaire terriens principal, 5-Representant PAP  6-Représentante des femmes 6-Representant des jeunes, 8-Chef de terre. La composition pourrait être adaptée en fonction des circonstances particulières de terrain.</w:t>
      </w:r>
    </w:p>
    <w:p>
      <w:pPr>
        <w:pStyle w:val="style0"/>
        <w:numPr>
          <w:ilvl w:val="0"/>
          <w:numId w:val="111"/>
        </w:numPr>
        <w:spacing w:before="0" w:after="160" w:lineRule="auto" w:line="259"/>
        <w:contextualSpacing/>
        <w:rPr>
          <w:rFonts w:eastAsia="Calibri"/>
          <w:sz w:val="22"/>
          <w:szCs w:val="22"/>
          <w:lang w:eastAsia="it-IT"/>
        </w:rPr>
      </w:pPr>
      <w:r>
        <w:rPr>
          <w:rFonts w:eastAsia="Calibri"/>
          <w:b/>
          <w:sz w:val="22"/>
          <w:szCs w:val="22"/>
          <w:lang w:eastAsia="it-IT"/>
        </w:rPr>
        <w:t>Le deuxième niveau de gestion des plaintes</w:t>
      </w:r>
      <w:r>
        <w:rPr>
          <w:rFonts w:eastAsia="Calibri"/>
          <w:sz w:val="22"/>
          <w:szCs w:val="22"/>
          <w:lang w:eastAsia="it-IT"/>
        </w:rPr>
        <w:t xml:space="preserve"> </w:t>
      </w:r>
    </w:p>
    <w:p>
      <w:pPr>
        <w:pStyle w:val="style0"/>
        <w:spacing w:after="160" w:lineRule="auto" w:line="259"/>
        <w:rPr>
          <w:rFonts w:eastAsia="Calibri"/>
          <w:lang w:eastAsia="it-IT"/>
        </w:rPr>
      </w:pPr>
      <w:r>
        <w:rPr>
          <w:rFonts w:eastAsia="Calibri"/>
          <w:lang w:eastAsia="it-IT"/>
        </w:rPr>
        <w:t xml:space="preserve">Si une solution n’est pas trouvée dès le premier niveau (village), le règlement à l’amiable des réclamations sera toujours recherché à travers l'arbitrage du Comité Communal de Gestion des Plaintes (CCGP) autant que faire se peut dans l’optique d’aboutir à un consensus (dans un délai de 7 jours) sur les questions soumises à règlement. Présidé par le Maire de ladite commune, Ce Comité sera mis en place et formalisé par la prise d’un arrêté Municipal.  </w:t>
      </w:r>
    </w:p>
    <w:p>
      <w:pPr>
        <w:pStyle w:val="style0"/>
        <w:spacing w:after="160" w:lineRule="auto" w:line="259"/>
        <w:rPr>
          <w:rFonts w:eastAsia="Calibri"/>
          <w:lang w:eastAsia="it-IT"/>
        </w:rPr>
      </w:pPr>
      <w:r>
        <w:rPr>
          <w:rFonts w:eastAsia="Calibri"/>
          <w:lang w:eastAsia="it-IT"/>
        </w:rPr>
        <w:t>Il devra être composé</w:t>
      </w:r>
      <w:r>
        <w:rPr>
          <w:rFonts w:eastAsia="Calibri"/>
          <w:vertAlign w:val="superscript"/>
          <w:lang w:eastAsia="it-IT"/>
        </w:rPr>
        <w:footnoteReference w:id="2"/>
      </w:r>
      <w:r>
        <w:rPr>
          <w:rFonts w:eastAsia="Calibri"/>
          <w:lang w:eastAsia="it-IT"/>
        </w:rPr>
        <w:t xml:space="preserve"> de tout au plus 15 Membres comme suit :</w:t>
      </w:r>
    </w:p>
    <w:p>
      <w:pPr>
        <w:pStyle w:val="style0"/>
        <w:spacing w:after="160" w:lineRule="auto" w:line="259"/>
        <w:rPr>
          <w:rFonts w:eastAsia="Calibri"/>
          <w:lang w:eastAsia="it-IT"/>
        </w:rPr>
      </w:pPr>
      <w:r>
        <w:rPr>
          <w:rFonts w:eastAsia="Calibri"/>
          <w:lang w:eastAsia="it-IT"/>
        </w:rPr>
        <w:t xml:space="preserve">1. (02) représentants de la Mairie (Maire + service domanial +une entité jugée utile pour le </w:t>
      </w:r>
      <w:r>
        <w:rPr>
          <w:rFonts w:eastAsia="Calibri"/>
        </w:rPr>
        <w:t>Projet</w:t>
      </w:r>
      <w:r>
        <w:rPr>
          <w:rFonts w:eastAsia="Calibri"/>
          <w:lang w:eastAsia="it-IT"/>
        </w:rPr>
        <w:t>, 2. (02) Représentant PAP de la Commune, 3. (01) Représentante de la coordination des femmes de la commune, 4. (01) représentant des jeunes, 5. (01) représentant des coutumiers, 6. (01) représentant des religieux, 7. (03) représentant des services techniques (élevage, agriculture et environnement)</w:t>
      </w:r>
    </w:p>
    <w:p>
      <w:pPr>
        <w:pStyle w:val="style0"/>
        <w:numPr>
          <w:ilvl w:val="0"/>
          <w:numId w:val="111"/>
        </w:numPr>
        <w:spacing w:before="0" w:after="160" w:lineRule="auto" w:line="259"/>
        <w:contextualSpacing/>
        <w:rPr>
          <w:rFonts w:eastAsia="Calibri"/>
          <w:sz w:val="22"/>
          <w:szCs w:val="22"/>
          <w:lang w:eastAsia="it-IT"/>
        </w:rPr>
      </w:pPr>
      <w:r>
        <w:rPr>
          <w:rFonts w:eastAsia="Calibri"/>
          <w:b/>
          <w:sz w:val="22"/>
          <w:szCs w:val="22"/>
          <w:lang w:eastAsia="it-IT"/>
        </w:rPr>
        <w:t>Le troisième niveau de gestion des plaintes </w:t>
      </w:r>
    </w:p>
    <w:p>
      <w:pPr>
        <w:pStyle w:val="style0"/>
        <w:spacing w:after="160" w:lineRule="auto" w:line="259"/>
        <w:rPr>
          <w:rFonts w:eastAsia="Calibri"/>
          <w:lang w:eastAsia="it-IT"/>
        </w:rPr>
      </w:pPr>
      <w:r>
        <w:rPr>
          <w:rFonts w:eastAsia="Calibri"/>
          <w:lang w:eastAsia="it-IT"/>
        </w:rPr>
        <w:t>La plainte sera gérée avec l’arbitrage du maitre d’ouvrage qui devra être représenté par un membre de la cellule d’exécution du projet ou le responsable de la mise en œuvre du PAR pour la gestion des plaintes et des réclamations. Ce dernier sera assisté par quelques membres du comité Communal ainsi que la PAP qui sera accompagnée par un des représentants des PAP et l’ONG locale recrutée à cet effet</w:t>
      </w:r>
      <w:r>
        <w:rPr>
          <w:rFonts w:eastAsia="Calibri"/>
          <w:b/>
          <w:lang w:eastAsia="it-IT"/>
        </w:rPr>
        <w:t xml:space="preserve"> et ce</w:t>
      </w:r>
      <w:r>
        <w:rPr>
          <w:rFonts w:eastAsia="Calibri"/>
          <w:lang w:eastAsia="it-IT"/>
        </w:rPr>
        <w:t>, dans un délai de 02 semaines.</w:t>
      </w:r>
    </w:p>
    <w:p>
      <w:pPr>
        <w:pStyle w:val="style0"/>
        <w:numPr>
          <w:ilvl w:val="0"/>
          <w:numId w:val="111"/>
        </w:numPr>
        <w:spacing w:before="0" w:after="160" w:lineRule="auto" w:line="259"/>
        <w:contextualSpacing/>
        <w:rPr>
          <w:rFonts w:eastAsia="Calibri"/>
          <w:sz w:val="22"/>
          <w:szCs w:val="22"/>
          <w:lang w:eastAsia="it-IT"/>
        </w:rPr>
      </w:pPr>
      <w:r>
        <w:rPr>
          <w:rFonts w:eastAsia="Calibri"/>
          <w:b/>
          <w:sz w:val="22"/>
          <w:szCs w:val="22"/>
          <w:lang w:eastAsia="it-IT"/>
        </w:rPr>
        <w:t>Le quatrième niveau de gestion des plaintes</w:t>
      </w:r>
      <w:r>
        <w:rPr>
          <w:rFonts w:eastAsia="Calibri"/>
          <w:sz w:val="22"/>
          <w:szCs w:val="22"/>
          <w:lang w:eastAsia="it-IT"/>
        </w:rPr>
        <w:t> </w:t>
      </w:r>
    </w:p>
    <w:p>
      <w:pPr>
        <w:pStyle w:val="style0"/>
        <w:spacing w:after="160" w:lineRule="auto" w:line="259"/>
        <w:rPr>
          <w:rFonts w:eastAsia="Calibri"/>
          <w:lang w:eastAsia="it-IT"/>
        </w:rPr>
      </w:pPr>
      <w:r>
        <w:rPr>
          <w:rFonts w:eastAsia="Calibri"/>
          <w:lang w:eastAsia="it-IT"/>
        </w:rPr>
        <w:t>La saisie des tribunaux par le plaignant se fera au cas où il y a échec dans la recherche de solutions aux 03 premiers niveaux de gestion de sa plainte et les coûts de traitement du dossier seront supportés par le PDCA.</w:t>
      </w:r>
    </w:p>
    <w:p>
      <w:pPr>
        <w:pStyle w:val="style0"/>
        <w:spacing w:after="160" w:lineRule="auto" w:line="259"/>
        <w:rPr>
          <w:rFonts w:eastAsia="Calibri"/>
          <w:lang w:eastAsia="it-IT"/>
        </w:rPr>
      </w:pPr>
      <w:r>
        <w:rPr>
          <w:rFonts w:eastAsia="Calibri"/>
          <w:b/>
          <w:u w:val="single"/>
          <w:lang w:eastAsia="it-IT"/>
        </w:rPr>
        <w:t>NB</w:t>
      </w:r>
      <w:r>
        <w:rPr>
          <w:rFonts w:eastAsia="Calibri"/>
          <w:lang w:eastAsia="it-IT"/>
        </w:rPr>
        <w:t xml:space="preserve"> : Le choix des membres de cette structure devra se faire de manière que la composition soit représentative de tous acteurs pour jouer le rôle de première instance de règlement des plaintes visant à constituer un organe proche des populations affectées en vue de faciliter des solutions à l’amiable.</w:t>
      </w:r>
    </w:p>
    <w:p>
      <w:pPr>
        <w:pStyle w:val="style0"/>
        <w:spacing w:after="160" w:lineRule="auto" w:line="259"/>
        <w:rPr>
          <w:rFonts w:eastAsia="Calibri"/>
          <w:lang w:eastAsia="it-IT"/>
        </w:rPr>
      </w:pPr>
      <w:r>
        <w:rPr>
          <w:rFonts w:eastAsia="Calibri"/>
          <w:lang w:eastAsia="it-IT"/>
        </w:rPr>
        <w:t>Les règlements amiables des plaintes garantissent la cohésion sociale et permettent d’optimiser la mise en œuvre du projet. Pour chaque plainte traitée, il sera établi un procès-verbal en trois exemplaires dont un pour chacune des parties (commune, PDCA et plaignant).</w:t>
      </w:r>
    </w:p>
    <w:p>
      <w:pPr>
        <w:pStyle w:val="style0"/>
        <w:spacing w:after="160" w:lineRule="auto" w:line="259"/>
        <w:rPr>
          <w:rFonts w:eastAsia="Calibri"/>
          <w:lang w:eastAsia="it-IT"/>
        </w:rPr>
      </w:pPr>
      <w:r>
        <w:rPr>
          <w:rFonts w:eastAsia="Calibri"/>
          <w:lang w:eastAsia="it-IT"/>
        </w:rPr>
        <w:t xml:space="preserve">Les éventuelles réclamations qui surviendraient ultérieurement, seront enregistrées au niveau des mairies concernées et feront l’objet de traitement par le PDCA à travers des sorties organisées sur le terrain avec au moins un membre du comité et des représentants des PAP. </w:t>
      </w:r>
    </w:p>
    <w:p>
      <w:pPr>
        <w:pStyle w:val="style0"/>
        <w:spacing w:after="160" w:lineRule="auto" w:line="259"/>
        <w:rPr>
          <w:rFonts w:eastAsia="Calibri"/>
          <w:lang w:eastAsia="it-IT"/>
        </w:rPr>
      </w:pPr>
      <w:r>
        <w:rPr>
          <w:rFonts w:eastAsia="Calibri"/>
          <w:lang w:eastAsia="it-IT"/>
        </w:rPr>
        <w:t>En parallèle à la procédure ci-dessus décrite, les plaintes des tiers pourront être également reçues par le Directeur de la plaine aménagée ou encore l’UNC/PDCA.</w:t>
      </w:r>
    </w:p>
    <w:p>
      <w:pPr>
        <w:pStyle w:val="style0"/>
        <w:rPr>
          <w:b/>
          <w:sz w:val="23"/>
          <w:szCs w:val="23"/>
        </w:rPr>
      </w:pPr>
      <w:r>
        <w:rPr>
          <w:b/>
          <w:sz w:val="23"/>
          <w:szCs w:val="23"/>
        </w:rPr>
        <w:t>Le Directeur de la plainte</w:t>
      </w:r>
    </w:p>
    <w:p>
      <w:pPr>
        <w:pStyle w:val="style0"/>
        <w:rPr>
          <w:sz w:val="22"/>
          <w:szCs w:val="22"/>
        </w:rPr>
      </w:pPr>
      <w:r>
        <w:rPr>
          <w:sz w:val="22"/>
          <w:szCs w:val="22"/>
        </w:rPr>
        <w:t>Il peut recevoir directement les plaintes à enregistrer dans un registre dédié à cet effet. Il dispose d’un délai de deux (2) semaines de réaction aux réclamations posées.</w:t>
      </w:r>
    </w:p>
    <w:p>
      <w:pPr>
        <w:pStyle w:val="style0"/>
        <w:rPr>
          <w:sz w:val="22"/>
          <w:szCs w:val="22"/>
        </w:rPr>
      </w:pPr>
    </w:p>
    <w:p>
      <w:pPr>
        <w:pStyle w:val="style0"/>
        <w:rPr>
          <w:b/>
          <w:sz w:val="23"/>
          <w:szCs w:val="23"/>
        </w:rPr>
      </w:pPr>
      <w:r>
        <w:rPr>
          <w:b/>
          <w:sz w:val="23"/>
          <w:szCs w:val="23"/>
        </w:rPr>
        <w:t>L’UNC/PDCA</w:t>
      </w:r>
    </w:p>
    <w:p>
      <w:pPr>
        <w:pStyle w:val="style0"/>
        <w:rPr>
          <w:sz w:val="22"/>
          <w:szCs w:val="22"/>
        </w:rPr>
      </w:pPr>
      <w:r>
        <w:rPr>
          <w:sz w:val="22"/>
          <w:szCs w:val="22"/>
        </w:rPr>
        <w:t>Elle peut également être saisie directement pour des cas de plaintes de la part de tiers. Dans son rôle de coordination de l’ensemble du Programme, l’UNC devra exécuter les tâches suivantes :</w:t>
      </w:r>
    </w:p>
    <w:p>
      <w:pPr>
        <w:pStyle w:val="style0"/>
        <w:numPr>
          <w:ilvl w:val="0"/>
          <w:numId w:val="16"/>
        </w:numPr>
        <w:spacing w:before="0" w:after="200" w:lineRule="auto" w:line="276"/>
        <w:contextualSpacing/>
        <w:rPr>
          <w:sz w:val="22"/>
          <w:szCs w:val="22"/>
        </w:rPr>
      </w:pPr>
      <w:r>
        <w:rPr>
          <w:sz w:val="22"/>
          <w:szCs w:val="22"/>
        </w:rPr>
        <w:t>assurer que le mécanisme de gestion des plaintes est fonctionnel ;</w:t>
      </w:r>
    </w:p>
    <w:p>
      <w:pPr>
        <w:pStyle w:val="style0"/>
        <w:numPr>
          <w:ilvl w:val="0"/>
          <w:numId w:val="16"/>
        </w:numPr>
        <w:spacing w:before="0" w:after="200" w:lineRule="auto" w:line="276"/>
        <w:contextualSpacing/>
        <w:rPr>
          <w:sz w:val="22"/>
          <w:szCs w:val="22"/>
        </w:rPr>
      </w:pPr>
      <w:r>
        <w:rPr>
          <w:sz w:val="22"/>
          <w:szCs w:val="22"/>
        </w:rPr>
        <w:t>suivre et documenter les plaintes (rapports trimestriels) et procéder à l’archivage physique et électronique des plaintes ;</w:t>
      </w:r>
    </w:p>
    <w:p>
      <w:pPr>
        <w:pStyle w:val="style0"/>
        <w:numPr>
          <w:ilvl w:val="0"/>
          <w:numId w:val="16"/>
        </w:numPr>
        <w:spacing w:before="0" w:after="200" w:lineRule="auto" w:line="276"/>
        <w:contextualSpacing/>
        <w:rPr>
          <w:sz w:val="22"/>
          <w:szCs w:val="22"/>
        </w:rPr>
      </w:pPr>
      <w:r>
        <w:rPr>
          <w:sz w:val="22"/>
          <w:szCs w:val="22"/>
        </w:rPr>
        <w:t>procéder en cas de besoin à la saisine des tribunaux et suivre les décisions de justice ainsi que leur exécution.</w:t>
      </w:r>
    </w:p>
    <w:bookmarkStart w:id="473" w:name="_Toc2527736"/>
    <w:p>
      <w:pPr>
        <w:pStyle w:val="style0"/>
        <w:keepNext/>
        <w:keepLines/>
        <w:tabs>
          <w:tab w:val="left" w:leader="none" w:pos="567"/>
        </w:tabs>
        <w:spacing w:before="240" w:after="120" w:lineRule="auto" w:line="276"/>
        <w:outlineLvl w:val="1"/>
        <w:rPr>
          <w:sz w:val="23"/>
          <w:szCs w:val="23"/>
        </w:rPr>
      </w:pPr>
    </w:p>
    <w:bookmarkStart w:id="474" w:name="_Toc2780525"/>
    <w:bookmarkStart w:id="475" w:name="_Toc2831235"/>
    <w:p>
      <w:pPr>
        <w:pStyle w:val="style3"/>
        <w:ind w:left="0" w:firstLine="0"/>
        <w:rPr/>
      </w:pPr>
      <w:r>
        <w:t>6.6</w:t>
      </w:r>
      <w:r>
        <w:t>.3. Documentation de la procédure d’enregistrement et de  gestion des plaintes</w:t>
      </w:r>
      <w:bookmarkEnd w:id="473"/>
      <w:bookmarkEnd w:id="474"/>
      <w:bookmarkEnd w:id="475"/>
    </w:p>
    <w:p>
      <w:pPr>
        <w:pStyle w:val="style0"/>
        <w:spacing w:after="160" w:lineRule="auto" w:line="259"/>
        <w:rPr>
          <w:rFonts w:eastAsia="Calibri"/>
          <w:lang w:eastAsia="it-IT"/>
        </w:rPr>
      </w:pPr>
      <w:r>
        <w:rPr>
          <w:rFonts w:eastAsia="Calibri"/>
          <w:lang w:eastAsia="it-IT"/>
        </w:rPr>
        <w:t>Les trois (3) premières instances devraient tenir un registre à jour de différentes plaintes. Les dossiers constitués du processus de gestion de plaintes devront être bien documentés et archivés (fiches d’enregistrement de plaintes, PV de conciliation ou de non conciliation, PV/ Rapport de gestion de plaintes …) au niveau des Mairies et PDCA.</w:t>
      </w:r>
    </w:p>
    <w:p>
      <w:pPr>
        <w:pStyle w:val="style0"/>
        <w:rPr>
          <w:sz w:val="22"/>
          <w:szCs w:val="22"/>
        </w:rPr>
      </w:pPr>
    </w:p>
    <w:p>
      <w:pPr>
        <w:pStyle w:val="style0"/>
        <w:rPr>
          <w:lang w:eastAsia="fr-FR"/>
        </w:rPr>
      </w:pPr>
      <w:r>
        <w:rPr>
          <w:lang w:eastAsia="fr-FR"/>
        </w:rPr>
        <w:t>Le mécanisme de règlement des réclamations et conflits dans le cadre du présent PGP, se fera dans le cadre du mécanisme de règlement des plaint</w:t>
      </w:r>
      <w:r>
        <w:rPr>
          <w:lang w:eastAsia="fr-FR"/>
        </w:rPr>
        <w:t>e</w:t>
      </w:r>
      <w:r>
        <w:rPr>
          <w:lang w:eastAsia="fr-FR"/>
        </w:rPr>
        <w:t>s du programme, avec référence au CPR et au CGES, et prend en compte le cadre juridique national en matière de gestion des réclamations.</w:t>
      </w:r>
    </w:p>
    <w:p>
      <w:pPr>
        <w:pStyle w:val="style0"/>
        <w:rPr>
          <w:lang w:eastAsia="fr-FR"/>
        </w:rPr>
      </w:pPr>
      <w:r>
        <w:rPr>
          <w:lang w:eastAsia="fr-FR"/>
        </w:rPr>
        <w:t>Dans le cadre de lut</w:t>
      </w:r>
      <w:r>
        <w:rPr>
          <w:lang w:eastAsia="fr-FR"/>
        </w:rPr>
        <w:t>t</w:t>
      </w:r>
      <w:r>
        <w:rPr>
          <w:lang w:eastAsia="fr-FR"/>
        </w:rPr>
        <w:t xml:space="preserve">e antiparasitaire, les </w:t>
      </w:r>
      <w:r>
        <w:rPr>
          <w:lang w:eastAsia="fr-FR"/>
        </w:rPr>
        <w:t>plaintes</w:t>
      </w:r>
      <w:r>
        <w:rPr>
          <w:lang w:eastAsia="fr-FR"/>
        </w:rPr>
        <w:t xml:space="preserve"> </w:t>
      </w:r>
      <w:r>
        <w:rPr>
          <w:lang w:eastAsia="fr-FR"/>
        </w:rPr>
        <w:t xml:space="preserve">pourraient concernées la mauvaise utilisation des produits </w:t>
      </w:r>
      <w:r>
        <w:rPr>
          <w:lang w:eastAsia="fr-FR"/>
        </w:rPr>
        <w:t>qui se traduira par une contamination des eaux, du sol, de l’air avec pour corolaire la mort d’animaux aquatique</w:t>
      </w:r>
      <w:r>
        <w:rPr>
          <w:lang w:eastAsia="fr-FR"/>
        </w:rPr>
        <w:t>s</w:t>
      </w:r>
      <w:r>
        <w:rPr>
          <w:lang w:eastAsia="fr-FR"/>
        </w:rPr>
        <w:t xml:space="preserve"> et non aquatique</w:t>
      </w:r>
      <w:r>
        <w:rPr>
          <w:lang w:eastAsia="fr-FR"/>
        </w:rPr>
        <w:t>s</w:t>
      </w:r>
      <w:r>
        <w:rPr>
          <w:lang w:eastAsia="fr-FR"/>
        </w:rPr>
        <w:t xml:space="preserve">, et même mort d’homme. </w:t>
      </w:r>
    </w:p>
    <w:p>
      <w:pPr>
        <w:pStyle w:val="style0"/>
        <w:rPr>
          <w:lang w:eastAsia="fr-FR"/>
        </w:rPr>
      </w:pPr>
      <w:r>
        <w:rPr>
          <w:lang w:eastAsia="fr-FR"/>
        </w:rPr>
        <w:t>Elle pourrait aussi concernée la mauvaise qualité des produits.</w:t>
      </w:r>
    </w:p>
    <w:p>
      <w:pPr>
        <w:pStyle w:val="style0"/>
        <w:rPr>
          <w:lang w:eastAsia="fr-FR"/>
        </w:rPr>
      </w:pPr>
      <w:r>
        <w:rPr>
          <w:lang w:eastAsia="fr-FR"/>
        </w:rPr>
        <w:t xml:space="preserve">Tout cela pourrait engendrer des conflits entre acteurs. </w:t>
      </w:r>
    </w:p>
    <w:p>
      <w:pPr>
        <w:pStyle w:val="style0"/>
        <w:numPr>
          <w:ilvl w:val="0"/>
          <w:numId w:val="52"/>
        </w:numPr>
        <w:rPr>
          <w:b/>
          <w:lang w:eastAsia="fr-FR"/>
        </w:rPr>
      </w:pPr>
      <w:r>
        <w:rPr>
          <w:b/>
          <w:lang w:eastAsia="fr-FR"/>
        </w:rPr>
        <w:t>Au niveau national</w:t>
      </w:r>
    </w:p>
    <w:p>
      <w:pPr>
        <w:pStyle w:val="style0"/>
        <w:overflowPunct w:val="false"/>
        <w:autoSpaceDE w:val="false"/>
        <w:autoSpaceDN w:val="false"/>
        <w:adjustRightInd w:val="false"/>
        <w:textAlignment w:val="baseline"/>
        <w:rPr>
          <w:lang w:eastAsia="fr-FR"/>
        </w:rPr>
      </w:pPr>
      <w:r>
        <w:rPr>
          <w:lang w:eastAsia="fr-FR"/>
        </w:rPr>
        <w:t>Le mécanisme de gestion des plaintes comprend</w:t>
      </w:r>
      <w:r>
        <w:rPr>
          <w:lang w:eastAsia="fr-FR"/>
        </w:rPr>
        <w:t xml:space="preserve"> deux </w:t>
      </w:r>
      <w:r>
        <w:rPr>
          <w:lang w:eastAsia="fr-FR"/>
        </w:rPr>
        <w:t xml:space="preserve">(2) </w:t>
      </w:r>
      <w:r>
        <w:rPr>
          <w:lang w:eastAsia="fr-FR"/>
        </w:rPr>
        <w:t>grandes catégories, à savoir, les m</w:t>
      </w:r>
      <w:r>
        <w:rPr>
          <w:lang w:eastAsia="fr-FR"/>
        </w:rPr>
        <w:t>odes</w:t>
      </w:r>
      <w:r>
        <w:rPr>
          <w:lang w:eastAsia="fr-FR"/>
        </w:rPr>
        <w:t xml:space="preserve"> préventifs et les </w:t>
      </w:r>
      <w:r>
        <w:rPr>
          <w:lang w:eastAsia="fr-FR"/>
        </w:rPr>
        <w:t>modes</w:t>
      </w:r>
      <w:r>
        <w:rPr>
          <w:lang w:eastAsia="fr-FR"/>
        </w:rPr>
        <w:t xml:space="preserve"> de gestion des conflits </w:t>
      </w:r>
      <w:r>
        <w:rPr>
          <w:lang w:eastAsia="fr-FR"/>
        </w:rPr>
        <w:t>liés au pro</w:t>
      </w:r>
      <w:r>
        <w:rPr>
          <w:lang w:eastAsia="fr-FR"/>
        </w:rPr>
        <w:t>gramme</w:t>
      </w:r>
      <w:r>
        <w:rPr>
          <w:lang w:eastAsia="fr-FR"/>
        </w:rPr>
        <w:t xml:space="preserve">. </w:t>
      </w:r>
    </w:p>
    <w:p>
      <w:pPr>
        <w:pStyle w:val="style0"/>
        <w:overflowPunct w:val="false"/>
        <w:autoSpaceDE w:val="false"/>
        <w:autoSpaceDN w:val="false"/>
        <w:adjustRightInd w:val="false"/>
        <w:textAlignment w:val="baseline"/>
        <w:rPr>
          <w:lang w:eastAsia="fr-FR"/>
        </w:rPr>
      </w:pPr>
      <w:r>
        <w:rPr>
          <w:lang w:eastAsia="fr-FR"/>
        </w:rPr>
        <w:t>Au niveau préventif, les conflits potentiels seront identifiés au préalable afin de permettre la mise en œuvre des mesures d’atténuatio</w:t>
      </w:r>
      <w:r>
        <w:rPr>
          <w:lang w:eastAsia="fr-FR"/>
        </w:rPr>
        <w:t>n assez précocement dans le programme</w:t>
      </w:r>
      <w:r>
        <w:rPr>
          <w:lang w:eastAsia="fr-FR"/>
        </w:rPr>
        <w:t xml:space="preserve">, en utilisant une approche participative qui intègre toutes les catégories sociales potentiellement intéressés. C’est pourquoi il est particulièrement important de veiller à l’information et à l’implication </w:t>
      </w:r>
      <w:r>
        <w:rPr>
          <w:lang w:eastAsia="fr-FR"/>
        </w:rPr>
        <w:t>des acteurs et parties prenantes du pro</w:t>
      </w:r>
      <w:r>
        <w:rPr>
          <w:lang w:eastAsia="fr-FR"/>
        </w:rPr>
        <w:t>gramme</w:t>
      </w:r>
      <w:r>
        <w:rPr>
          <w:lang w:eastAsia="fr-FR"/>
        </w:rPr>
        <w:t xml:space="preserve">, notamment dans la gestion des pestes et à l’utilisation des pesticides. </w:t>
      </w:r>
      <w:r>
        <w:rPr>
          <w:lang w:eastAsia="fr-FR"/>
        </w:rPr>
        <w:t xml:space="preserve">Les URC, de concert avec les CRTP, joueront un rôle important, pour que des règlements à l’amiable soient </w:t>
      </w:r>
      <w:r>
        <w:rPr>
          <w:lang w:eastAsia="fr-FR"/>
        </w:rPr>
        <w:t>privilégi</w:t>
      </w:r>
      <w:r>
        <w:rPr>
          <w:lang w:eastAsia="fr-FR"/>
        </w:rPr>
        <w:t>é</w:t>
      </w:r>
      <w:r>
        <w:rPr>
          <w:lang w:eastAsia="fr-FR"/>
        </w:rPr>
        <w:t>s</w:t>
      </w:r>
      <w:r>
        <w:rPr>
          <w:lang w:eastAsia="fr-FR"/>
        </w:rPr>
        <w:t xml:space="preserve">. En tout état de cause, la sensibilisation de tous les acteurs, pour une mise en œuvre des BPP ainsi que des BPA pour éviter des cas de conflits, sera l’objectif premier. </w:t>
      </w:r>
    </w:p>
    <w:p>
      <w:pPr>
        <w:pStyle w:val="style0"/>
        <w:overflowPunct w:val="false"/>
        <w:autoSpaceDE w:val="false"/>
        <w:autoSpaceDN w:val="false"/>
        <w:adjustRightInd w:val="false"/>
        <w:textAlignment w:val="baseline"/>
        <w:rPr>
          <w:lang w:eastAsia="fr-FR"/>
        </w:rPr>
      </w:pPr>
    </w:p>
    <w:p>
      <w:pPr>
        <w:pStyle w:val="style0"/>
        <w:overflowPunct w:val="false"/>
        <w:autoSpaceDE w:val="false"/>
        <w:autoSpaceDN w:val="false"/>
        <w:adjustRightInd w:val="false"/>
        <w:textAlignment w:val="baseline"/>
        <w:rPr>
          <w:lang w:eastAsia="fr-FR"/>
        </w:rPr>
      </w:pPr>
      <w:r>
        <w:rPr>
          <w:lang w:eastAsia="fr-FR"/>
        </w:rPr>
        <w:t>Quand un conflit a déjà eu lieu, deux approches peuvent être utilisées :</w:t>
      </w:r>
    </w:p>
    <w:p>
      <w:pPr>
        <w:pStyle w:val="style0"/>
        <w:numPr>
          <w:ilvl w:val="0"/>
          <w:numId w:val="114"/>
        </w:numPr>
        <w:overflowPunct w:val="false"/>
        <w:autoSpaceDE w:val="false"/>
        <w:autoSpaceDN w:val="false"/>
        <w:adjustRightInd w:val="false"/>
        <w:spacing w:after="120"/>
        <w:textAlignment w:val="baseline"/>
        <w:rPr>
          <w:lang w:eastAsia="fr-FR"/>
        </w:rPr>
      </w:pPr>
      <w:r>
        <w:rPr>
          <w:lang w:eastAsia="fr-FR"/>
        </w:rPr>
        <w:t>dans un premier temps, une solution à l’amiable est recherchée en associant les acteurs qui connaissent bien les principaux protagonistes et les autorités coutumières et religieuses afin d’aboutir à un consensus sur la question. C’est la forme de règlement de conflits la plus courante en milieu rural.</w:t>
      </w:r>
    </w:p>
    <w:p>
      <w:pPr>
        <w:pStyle w:val="style0"/>
        <w:numPr>
          <w:ilvl w:val="0"/>
          <w:numId w:val="114"/>
        </w:numPr>
        <w:overflowPunct w:val="false"/>
        <w:autoSpaceDE w:val="false"/>
        <w:autoSpaceDN w:val="false"/>
        <w:adjustRightInd w:val="false"/>
        <w:spacing w:after="120"/>
        <w:textAlignment w:val="baseline"/>
        <w:rPr>
          <w:lang w:eastAsia="fr-FR"/>
        </w:rPr>
      </w:pPr>
      <w:r>
        <w:rPr>
          <w:lang w:eastAsia="fr-FR"/>
        </w:rPr>
        <w:t xml:space="preserve">dans le cas où la solution à l’amiable n’a pas été obtenue, il est possible qu’une procédure de règlement officielle soit engagée. La procédure de règlement officielle des conflits est souvent placée sous la juridiction des départements et des communes qui assurent la conciliation. </w:t>
      </w:r>
      <w:r>
        <w:rPr>
          <w:lang w:eastAsia="fr-FR"/>
        </w:rPr>
        <w:t>S</w:t>
      </w:r>
      <w:r>
        <w:rPr>
          <w:lang w:eastAsia="fr-FR"/>
        </w:rPr>
        <w:t xml:space="preserve">i la conciliation n’a pas été possible au niveau départemental ou communal, la partie plaignante peut se référer aux juridictions supérieures. </w:t>
      </w:r>
      <w:r>
        <w:rPr>
          <w:lang w:eastAsia="fr-FR"/>
        </w:rPr>
        <w:t xml:space="preserve">Toutefois, le plaignant peut à chaque moment, saisir directement une juridiction supérieure. </w:t>
      </w:r>
    </w:p>
    <w:bookmarkStart w:id="476" w:name="_Toc2831236"/>
    <w:p>
      <w:pPr>
        <w:pStyle w:val="style2"/>
        <w:numPr>
          <w:ilvl w:val="1"/>
          <w:numId w:val="85"/>
        </w:numPr>
        <w:rPr/>
      </w:pPr>
      <w:r>
        <w:t xml:space="preserve">Consultations </w:t>
      </w:r>
      <w:r>
        <w:t>des parties prenantes</w:t>
      </w:r>
      <w:bookmarkEnd w:id="476"/>
      <w:r>
        <w:t xml:space="preserve"> </w:t>
      </w:r>
      <w:bookmarkStart w:id="477" w:name="_Toc409971233"/>
      <w:bookmarkStart w:id="478" w:name="_Toc411895661"/>
      <w:bookmarkStart w:id="479" w:name="_Toc412731898"/>
      <w:bookmarkStart w:id="480" w:name="_Toc412732282"/>
      <w:bookmarkStart w:id="481" w:name="_Toc514190182"/>
      <w:bookmarkEnd w:id="466"/>
    </w:p>
    <w:bookmarkStart w:id="482" w:name="_Toc2831237"/>
    <w:p>
      <w:pPr>
        <w:pStyle w:val="style3"/>
        <w:numPr>
          <w:ilvl w:val="2"/>
          <w:numId w:val="85"/>
        </w:numPr>
        <w:rPr/>
      </w:pPr>
      <w:r>
        <w:t>Objectifs</w:t>
      </w:r>
      <w:bookmarkEnd w:id="477"/>
      <w:bookmarkEnd w:id="478"/>
      <w:r>
        <w:t xml:space="preserve"> des consultations publique</w:t>
      </w:r>
      <w:bookmarkEnd w:id="479"/>
      <w:bookmarkEnd w:id="480"/>
      <w:bookmarkEnd w:id="481"/>
      <w:r>
        <w:t>s</w:t>
      </w:r>
      <w:bookmarkEnd w:id="482"/>
    </w:p>
    <w:p>
      <w:pPr>
        <w:pStyle w:val="style0"/>
        <w:rPr/>
      </w:pPr>
      <w:r>
        <w:t>L’objectif général des consultations publiques est d’assurer la participation des populations au processus de planification des actions du pro</w:t>
      </w:r>
      <w:r>
        <w:t>gramme</w:t>
      </w:r>
      <w:r>
        <w:t>. Spécifiquement, il avait pour objectifs (i) d’info</w:t>
      </w:r>
      <w:r>
        <w:t xml:space="preserve">rmer les populations sur le programme </w:t>
      </w:r>
      <w:r>
        <w:t>et ses activités ; (ii) de permettre aux populations de s’exprimer, d’émettre leur avis sur le pro</w:t>
      </w:r>
      <w:r>
        <w:t>gramme</w:t>
      </w:r>
      <w:r>
        <w:t xml:space="preserve"> ; (iii) d’identifier et de recueillir les préoccupations (besoins, attentes, craintes, etc.) des populations vis-à-vis du projet ainsi que leurs recommandations et suggestions</w:t>
      </w:r>
      <w:r>
        <w:t xml:space="preserve"> par rapports aux effets néfastes qui pourraient </w:t>
      </w:r>
      <w:r>
        <w:t>émaner</w:t>
      </w:r>
      <w:r>
        <w:t xml:space="preserve"> de l’utilisation des pesticides</w:t>
      </w:r>
      <w:r>
        <w:t>.</w:t>
      </w:r>
    </w:p>
    <w:bookmarkStart w:id="483" w:name="_Toc412731899"/>
    <w:bookmarkStart w:id="484" w:name="_Toc412732283"/>
    <w:bookmarkStart w:id="485" w:name="_Toc514190183"/>
    <w:bookmarkStart w:id="486" w:name="_Toc409971234"/>
    <w:bookmarkStart w:id="487" w:name="_Toc411895662"/>
    <w:bookmarkStart w:id="488" w:name="_Toc2831238"/>
    <w:p>
      <w:pPr>
        <w:pStyle w:val="style3"/>
        <w:numPr>
          <w:ilvl w:val="2"/>
          <w:numId w:val="85"/>
        </w:numPr>
        <w:rPr/>
      </w:pPr>
      <w:r>
        <w:t>Acteurs ciblés et méthodologie</w:t>
      </w:r>
      <w:bookmarkEnd w:id="483"/>
      <w:bookmarkEnd w:id="484"/>
      <w:bookmarkEnd w:id="485"/>
      <w:bookmarkEnd w:id="486"/>
      <w:bookmarkEnd w:id="487"/>
      <w:bookmarkEnd w:id="488"/>
    </w:p>
    <w:p>
      <w:pPr>
        <w:pStyle w:val="style0"/>
        <w:rPr/>
      </w:pPr>
      <w:r>
        <w:t>La consultation publique menée dans le</w:t>
      </w:r>
      <w:r>
        <w:t xml:space="preserve"> cadre de la réalisation du PGP</w:t>
      </w:r>
      <w:r>
        <w:t xml:space="preserve"> a permis de rencontrer</w:t>
      </w:r>
      <w:r>
        <w:t xml:space="preserve"> différentes catégories d’acteurs concernés issus des administr</w:t>
      </w:r>
      <w:r>
        <w:t xml:space="preserve">ations centrales et locales, des </w:t>
      </w:r>
      <w:r>
        <w:t>producteurs et professionnels des secteurs de l’agriculture, de l’élevage, de la santé, etc. Cette consultation fut conduite de concert avec l’équipe en charge de l’élaboration du Cadre de Gestion Environnementale et Sociale (CGES)</w:t>
      </w:r>
      <w:r>
        <w:t xml:space="preserve"> et </w:t>
      </w:r>
      <w:r>
        <w:t xml:space="preserve">celle </w:t>
      </w:r>
      <w:r>
        <w:t>en charge de l’élaboration du Cadre de Politique de Réinstallation (CPR)</w:t>
      </w:r>
      <w:r>
        <w:t xml:space="preserve">. </w:t>
      </w:r>
    </w:p>
    <w:p>
      <w:pPr>
        <w:pStyle w:val="style0"/>
        <w:rPr/>
      </w:pPr>
      <w:r>
        <w:t>Ainsi, outre les rencontres institutionnelles au niveau central et avec l’équipe de coordination du pro</w:t>
      </w:r>
      <w:r>
        <w:t xml:space="preserve">gramme </w:t>
      </w:r>
      <w:r>
        <w:t>à Ouagadougou, l’équipe s’est rendu</w:t>
      </w:r>
      <w:r>
        <w:t>e</w:t>
      </w:r>
      <w:r>
        <w:t xml:space="preserve"> </w:t>
      </w:r>
      <w:r>
        <w:t>du</w:t>
      </w:r>
      <w:r>
        <w:t xml:space="preserve"> 7 </w:t>
      </w:r>
      <w:r>
        <w:t>au</w:t>
      </w:r>
      <w:r>
        <w:t xml:space="preserve"> 16 janvier</w:t>
      </w:r>
      <w:r>
        <w:t xml:space="preserve"> 2019</w:t>
      </w:r>
      <w:r>
        <w:t>, respectivement à Toécé Dourou (</w:t>
      </w:r>
      <w:r>
        <w:t>Yako</w:t>
      </w:r>
      <w:r>
        <w:t>)</w:t>
      </w:r>
      <w:r>
        <w:t xml:space="preserve"> </w:t>
      </w:r>
      <w:r>
        <w:t xml:space="preserve">dans la région du Nord, </w:t>
      </w:r>
      <w:r>
        <w:t>dans la commune de Douna (Gnofila-Douna)</w:t>
      </w:r>
      <w:r>
        <w:t xml:space="preserve"> dans les Cascades, </w:t>
      </w:r>
      <w:r>
        <w:t xml:space="preserve">dans </w:t>
      </w:r>
      <w:r>
        <w:t>la commune de Banzon au</w:t>
      </w:r>
      <w:r>
        <w:t xml:space="preserve"> Kénédougou</w:t>
      </w:r>
      <w:r>
        <w:t xml:space="preserve"> dans les Hauts Bassins, </w:t>
      </w:r>
      <w:r>
        <w:t xml:space="preserve">dans </w:t>
      </w:r>
      <w:r>
        <w:t>le village de Dan</w:t>
      </w:r>
      <w:r>
        <w:t>g</w:t>
      </w:r>
      <w:r>
        <w:t xml:space="preserve">oumana situé dans </w:t>
      </w:r>
      <w:r>
        <w:t>la commune de Sono et cel</w:t>
      </w:r>
      <w:r>
        <w:t>ui</w:t>
      </w:r>
      <w:r>
        <w:t xml:space="preserve"> de Bissan dans la </w:t>
      </w:r>
      <w:r>
        <w:t>province</w:t>
      </w:r>
      <w:r>
        <w:t xml:space="preserve"> du Sourou</w:t>
      </w:r>
      <w:r>
        <w:t>, dans la Boucle du Mouhoun</w:t>
      </w:r>
      <w:r>
        <w:t xml:space="preserve">. </w:t>
      </w:r>
    </w:p>
    <w:p>
      <w:pPr>
        <w:pStyle w:val="style0"/>
        <w:rPr/>
      </w:pPr>
      <w:r>
        <w:t xml:space="preserve">L’approche méthodologique adoptée est la </w:t>
      </w:r>
      <w:r>
        <w:rPr>
          <w:i/>
        </w:rPr>
        <w:t>démarche participative</w:t>
      </w:r>
      <w:r>
        <w:t> : rencontre d’information, d’échange et de discussion autour du pro</w:t>
      </w:r>
      <w:r>
        <w:t>gramme</w:t>
      </w:r>
      <w:r>
        <w:t xml:space="preserve">. Et les outils méthodologiques tels que </w:t>
      </w:r>
      <w:r>
        <w:rPr>
          <w:i/>
        </w:rPr>
        <w:t>l’entretien semi-structuré</w:t>
      </w:r>
      <w:r>
        <w:t xml:space="preserve"> et le </w:t>
      </w:r>
      <w:r>
        <w:rPr>
          <w:i/>
        </w:rPr>
        <w:t>focus group</w:t>
      </w:r>
      <w:r>
        <w:t xml:space="preserve"> ont été mobilisés et appliqués comme mode opérationnels. </w:t>
      </w:r>
    </w:p>
    <w:p>
      <w:pPr>
        <w:pStyle w:val="style0"/>
        <w:rPr/>
      </w:pPr>
    </w:p>
    <w:p>
      <w:pPr>
        <w:pStyle w:val="style0"/>
        <w:rPr/>
      </w:pPr>
    </w:p>
    <w:p>
      <w:pPr>
        <w:pStyle w:val="style0"/>
        <w:rPr/>
      </w:pP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trPr/>
        <w:tc>
          <w:tcPr>
            <w:tcW w:w="4680" w:type="dxa"/>
            <w:tcBorders/>
          </w:tcPr>
          <w:p>
            <w:pPr>
              <w:pStyle w:val="style0"/>
              <w:spacing w:lineRule="auto" w:line="276"/>
              <w:rPr>
                <w:noProof/>
                <w:sz w:val="23"/>
                <w:szCs w:val="23"/>
                <w:lang w:eastAsia="fr-FR"/>
              </w:rPr>
            </w:pPr>
            <w:r>
              <w:rPr>
                <w:sz w:val="23"/>
                <w:szCs w:val="23"/>
              </w:rPr>
              <w:t>Photo 11 : Consultation publique à Banzon, Janvier 2019</w:t>
            </w:r>
          </w:p>
        </w:tc>
        <w:tc>
          <w:tcPr>
            <w:tcW w:w="4680" w:type="dxa"/>
            <w:tcBorders/>
          </w:tcPr>
          <w:p>
            <w:pPr>
              <w:pStyle w:val="style0"/>
              <w:spacing w:lineRule="auto" w:line="276"/>
              <w:rPr>
                <w:noProof/>
                <w:sz w:val="23"/>
                <w:szCs w:val="23"/>
                <w:lang w:eastAsia="fr-FR"/>
              </w:rPr>
            </w:pPr>
            <w:r>
              <w:rPr>
                <w:sz w:val="23"/>
                <w:szCs w:val="23"/>
              </w:rPr>
              <w:t>Photo 12 : Consultation publique à Dangoumana, Janvier 2019</w:t>
            </w:r>
          </w:p>
        </w:tc>
      </w:tr>
      <w:tr>
        <w:tblPrEx/>
        <w:trPr/>
        <w:tc>
          <w:tcPr>
            <w:tcW w:w="4680" w:type="dxa"/>
            <w:tcBorders/>
          </w:tcPr>
          <w:p>
            <w:pPr>
              <w:pStyle w:val="style0"/>
              <w:spacing w:lineRule="auto" w:line="276"/>
              <w:rPr>
                <w:sz w:val="23"/>
                <w:szCs w:val="23"/>
              </w:rPr>
            </w:pPr>
            <w:r>
              <w:rPr>
                <w:noProof/>
                <w:sz w:val="23"/>
                <w:szCs w:val="23"/>
                <w:lang w:eastAsia="fr-FR"/>
              </w:rPr>
              <w:drawing>
                <wp:inline distT="0" distR="0" distL="0" distB="0">
                  <wp:extent cx="2931200" cy="1648800"/>
                  <wp:effectExtent l="0" t="0" r="2540" b="8890"/>
                  <wp:docPr id="1057" name="Image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Image 23"/>
                          <pic:cNvPicPr/>
                        </pic:nvPicPr>
                        <pic:blipFill>
                          <a:blip r:embed="rId38" cstate="print"/>
                          <a:srcRect l="0" t="0" r="0" b="0"/>
                          <a:stretch/>
                        </pic:blipFill>
                        <pic:spPr>
                          <a:xfrm rot="0">
                            <a:off x="0" y="0"/>
                            <a:ext cx="2931200" cy="1648800"/>
                          </a:xfrm>
                          <a:prstGeom prst="rect"/>
                          <a:ln>
                            <a:noFill/>
                          </a:ln>
                        </pic:spPr>
                      </pic:pic>
                    </a:graphicData>
                  </a:graphic>
                </wp:inline>
              </w:drawing>
            </w:r>
          </w:p>
        </w:tc>
        <w:tc>
          <w:tcPr>
            <w:tcW w:w="4680" w:type="dxa"/>
            <w:tcBorders/>
          </w:tcPr>
          <w:p>
            <w:pPr>
              <w:pStyle w:val="style0"/>
              <w:spacing w:lineRule="auto" w:line="276"/>
              <w:rPr>
                <w:sz w:val="23"/>
                <w:szCs w:val="23"/>
              </w:rPr>
            </w:pPr>
            <w:r>
              <w:rPr>
                <w:noProof/>
                <w:sz w:val="23"/>
                <w:szCs w:val="23"/>
                <w:lang w:eastAsia="fr-FR"/>
              </w:rPr>
              <w:drawing>
                <wp:inline distT="0" distR="0" distL="0" distB="0">
                  <wp:extent cx="2931200" cy="1648800"/>
                  <wp:effectExtent l="0" t="0" r="2540" b="8890"/>
                  <wp:docPr id="1058" name="Imag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Image 20"/>
                          <pic:cNvPicPr/>
                        </pic:nvPicPr>
                        <pic:blipFill>
                          <a:blip r:embed="rId39" cstate="print"/>
                          <a:srcRect l="0" t="0" r="0" b="0"/>
                          <a:stretch/>
                        </pic:blipFill>
                        <pic:spPr>
                          <a:xfrm rot="0">
                            <a:off x="0" y="0"/>
                            <a:ext cx="2931200" cy="1648800"/>
                          </a:xfrm>
                          <a:prstGeom prst="rect"/>
                          <a:ln>
                            <a:noFill/>
                          </a:ln>
                        </pic:spPr>
                      </pic:pic>
                    </a:graphicData>
                  </a:graphic>
                </wp:inline>
              </w:drawing>
            </w:r>
          </w:p>
        </w:tc>
      </w:tr>
      <w:tr>
        <w:tblPrEx/>
        <w:trPr/>
        <w:tc>
          <w:tcPr>
            <w:tcW w:w="9360" w:type="dxa"/>
            <w:gridSpan w:val="2"/>
            <w:tcBorders/>
          </w:tcPr>
          <w:p>
            <w:pPr>
              <w:pStyle w:val="style0"/>
              <w:spacing w:lineRule="auto" w:line="276"/>
              <w:rPr>
                <w:sz w:val="23"/>
                <w:szCs w:val="23"/>
              </w:rPr>
            </w:pPr>
            <w:r>
              <w:rPr>
                <w:sz w:val="23"/>
                <w:szCs w:val="23"/>
              </w:rPr>
              <w:t>Source : Données de l’étude, Janvier 2019</w:t>
            </w:r>
            <w:r>
              <w:rPr>
                <w:sz w:val="23"/>
                <w:szCs w:val="23"/>
              </w:rPr>
              <w:t xml:space="preserve">             Source : Données de l’étude, Janvier 2019</w:t>
            </w:r>
          </w:p>
        </w:tc>
      </w:tr>
    </w:tbl>
    <w:p>
      <w:pPr>
        <w:pStyle w:val="style0"/>
        <w:spacing w:lineRule="auto" w:line="276"/>
        <w:rPr>
          <w:sz w:val="23"/>
          <w:szCs w:val="23"/>
        </w:rPr>
      </w:pPr>
    </w:p>
    <w:tbl>
      <w:tblPr>
        <w:tblStyle w:val="style1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4"/>
        <w:gridCol w:w="4446"/>
      </w:tblGrid>
      <w:tr>
        <w:trPr/>
        <w:tc>
          <w:tcPr>
            <w:tcW w:w="4914" w:type="dxa"/>
            <w:tcBorders/>
          </w:tcPr>
          <w:p>
            <w:pPr>
              <w:pStyle w:val="style0"/>
              <w:spacing w:lineRule="auto" w:line="276"/>
              <w:rPr>
                <w:noProof/>
                <w:sz w:val="23"/>
                <w:szCs w:val="23"/>
                <w:lang w:eastAsia="fr-FR"/>
              </w:rPr>
            </w:pPr>
            <w:r>
              <w:rPr>
                <w:sz w:val="23"/>
                <w:szCs w:val="23"/>
              </w:rPr>
              <w:t>Photo 13 : Consultation publique à Douna, Janvier 2019</w:t>
            </w:r>
          </w:p>
        </w:tc>
        <w:tc>
          <w:tcPr>
            <w:tcW w:w="4446" w:type="dxa"/>
            <w:tcBorders/>
          </w:tcPr>
          <w:p>
            <w:pPr>
              <w:pStyle w:val="style0"/>
              <w:spacing w:lineRule="auto" w:line="276"/>
              <w:rPr>
                <w:noProof/>
                <w:lang w:eastAsia="fr-FR"/>
              </w:rPr>
            </w:pPr>
            <w:r>
              <w:rPr>
                <w:sz w:val="23"/>
                <w:szCs w:val="23"/>
              </w:rPr>
              <w:t>Photo 14 : Consultation publique à Oulo, Janvier 2019</w:t>
            </w:r>
          </w:p>
        </w:tc>
      </w:tr>
      <w:tr>
        <w:tblPrEx/>
        <w:trPr/>
        <w:tc>
          <w:tcPr>
            <w:tcW w:w="4914" w:type="dxa"/>
            <w:tcBorders/>
          </w:tcPr>
          <w:p>
            <w:pPr>
              <w:pStyle w:val="style0"/>
              <w:spacing w:lineRule="auto" w:line="276"/>
              <w:rPr>
                <w:sz w:val="23"/>
                <w:szCs w:val="23"/>
              </w:rPr>
            </w:pPr>
            <w:r>
              <w:rPr>
                <w:noProof/>
                <w:sz w:val="23"/>
                <w:szCs w:val="23"/>
                <w:lang w:eastAsia="fr-FR"/>
              </w:rPr>
              <w:drawing>
                <wp:inline distT="0" distR="0" distL="0" distB="0">
                  <wp:extent cx="3072000" cy="1728000"/>
                  <wp:effectExtent l="0" t="0" r="0" b="5715"/>
                  <wp:docPr id="1059" name="Image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 22"/>
                          <pic:cNvPicPr/>
                        </pic:nvPicPr>
                        <pic:blipFill>
                          <a:blip r:embed="rId40" cstate="print"/>
                          <a:srcRect l="0" t="0" r="0" b="0"/>
                          <a:stretch/>
                        </pic:blipFill>
                        <pic:spPr>
                          <a:xfrm rot="0">
                            <a:off x="0" y="0"/>
                            <a:ext cx="3072000" cy="1728000"/>
                          </a:xfrm>
                          <a:prstGeom prst="rect"/>
                          <a:ln>
                            <a:noFill/>
                          </a:ln>
                        </pic:spPr>
                      </pic:pic>
                    </a:graphicData>
                  </a:graphic>
                </wp:inline>
              </w:drawing>
            </w:r>
          </w:p>
        </w:tc>
        <w:tc>
          <w:tcPr>
            <w:tcW w:w="4446" w:type="dxa"/>
            <w:tcBorders/>
          </w:tcPr>
          <w:p>
            <w:pPr>
              <w:pStyle w:val="style0"/>
              <w:spacing w:lineRule="auto" w:line="276"/>
              <w:rPr>
                <w:sz w:val="23"/>
                <w:szCs w:val="23"/>
              </w:rPr>
            </w:pPr>
            <w:r>
              <w:rPr>
                <w:noProof/>
                <w:lang w:eastAsia="fr-FR"/>
              </w:rPr>
              <w:drawing>
                <wp:inline distT="0" distR="0" distL="0" distB="0">
                  <wp:extent cx="2765475" cy="1708150"/>
                  <wp:effectExtent l="0" t="0" r="0" b="6350"/>
                  <wp:docPr id="1060" name="Image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Image 24"/>
                          <pic:cNvPicPr/>
                        </pic:nvPicPr>
                        <pic:blipFill>
                          <a:blip r:embed="rId41" cstate="print"/>
                          <a:srcRect l="0" t="0" r="0" b="0"/>
                          <a:stretch/>
                        </pic:blipFill>
                        <pic:spPr>
                          <a:xfrm rot="0">
                            <a:off x="0" y="0"/>
                            <a:ext cx="2765475" cy="1708150"/>
                          </a:xfrm>
                          <a:prstGeom prst="rect"/>
                          <a:ln>
                            <a:noFill/>
                          </a:ln>
                        </pic:spPr>
                      </pic:pic>
                    </a:graphicData>
                  </a:graphic>
                </wp:inline>
              </w:drawing>
            </w:r>
          </w:p>
        </w:tc>
      </w:tr>
      <w:tr>
        <w:tblPrEx/>
        <w:trPr>
          <w:trHeight w:val="357" w:hRule="atLeast"/>
        </w:trPr>
        <w:tc>
          <w:tcPr>
            <w:tcW w:w="9360" w:type="dxa"/>
            <w:gridSpan w:val="2"/>
            <w:tcBorders/>
          </w:tcPr>
          <w:p>
            <w:pPr>
              <w:pStyle w:val="style0"/>
              <w:spacing w:lineRule="auto" w:line="276"/>
              <w:rPr>
                <w:sz w:val="23"/>
                <w:szCs w:val="23"/>
              </w:rPr>
            </w:pPr>
            <w:r>
              <w:rPr>
                <w:sz w:val="23"/>
                <w:szCs w:val="23"/>
              </w:rPr>
              <w:t>Source : Données de l’étude, Janvier 2019</w:t>
            </w:r>
            <w:r>
              <w:rPr>
                <w:sz w:val="23"/>
                <w:szCs w:val="23"/>
              </w:rPr>
              <w:t xml:space="preserve">                  Source : Données de l’étude, Janvier 2019</w:t>
            </w:r>
          </w:p>
        </w:tc>
      </w:tr>
      <w:bookmarkStart w:id="489" w:name="_Toc409971235"/>
      <w:bookmarkStart w:id="490" w:name="_Toc411895663"/>
      <w:bookmarkStart w:id="491" w:name="_Toc412731900"/>
      <w:bookmarkStart w:id="492" w:name="_Toc412732284"/>
      <w:bookmarkStart w:id="493" w:name="_Toc514190184"/>
      <w:bookmarkStart w:id="494" w:name="_Toc2831239"/>
    </w:tbl>
    <w:p>
      <w:pPr>
        <w:pStyle w:val="style3"/>
        <w:numPr>
          <w:ilvl w:val="2"/>
          <w:numId w:val="85"/>
        </w:numPr>
        <w:rPr/>
      </w:pPr>
      <w:r>
        <w:t>Les points discutés</w:t>
      </w:r>
      <w:bookmarkEnd w:id="489"/>
      <w:bookmarkEnd w:id="490"/>
      <w:bookmarkEnd w:id="491"/>
      <w:bookmarkEnd w:id="492"/>
      <w:bookmarkEnd w:id="493"/>
      <w:bookmarkEnd w:id="494"/>
      <w:r>
        <w:t> </w:t>
      </w:r>
    </w:p>
    <w:p>
      <w:pPr>
        <w:pStyle w:val="style0"/>
        <w:rPr/>
      </w:pPr>
      <w:r>
        <w:t>Pour recueillir les avis des parties prenantes, les points ci-après ont été soulevés et discutés après présentation du projet par l’équipe :</w:t>
      </w:r>
    </w:p>
    <w:p>
      <w:pPr>
        <w:pStyle w:val="style0"/>
        <w:numPr>
          <w:ilvl w:val="0"/>
          <w:numId w:val="108"/>
        </w:numPr>
        <w:spacing w:before="0" w:lineRule="auto" w:line="276"/>
        <w:ind w:left="714" w:hanging="357"/>
        <w:rPr>
          <w:szCs w:val="23"/>
        </w:rPr>
      </w:pPr>
      <w:r>
        <w:rPr>
          <w:szCs w:val="23"/>
        </w:rPr>
        <w:t>la perception du pro</w:t>
      </w:r>
      <w:r>
        <w:rPr>
          <w:szCs w:val="23"/>
        </w:rPr>
        <w:t>gramme ;</w:t>
      </w:r>
    </w:p>
    <w:p>
      <w:pPr>
        <w:pStyle w:val="style0"/>
        <w:numPr>
          <w:ilvl w:val="0"/>
          <w:numId w:val="108"/>
        </w:numPr>
        <w:spacing w:before="0" w:lineRule="auto" w:line="276"/>
        <w:ind w:left="714" w:hanging="357"/>
        <w:rPr>
          <w:szCs w:val="23"/>
        </w:rPr>
      </w:pPr>
      <w:r>
        <w:rPr>
          <w:szCs w:val="23"/>
        </w:rPr>
        <w:t xml:space="preserve">les contraintes environnementales et sociales majeures dans les zones cibles du </w:t>
      </w:r>
      <w:r>
        <w:rPr>
          <w:szCs w:val="23"/>
        </w:rPr>
        <w:t>PDCA ;</w:t>
      </w:r>
    </w:p>
    <w:p>
      <w:pPr>
        <w:pStyle w:val="style0"/>
        <w:numPr>
          <w:ilvl w:val="0"/>
          <w:numId w:val="108"/>
        </w:numPr>
        <w:spacing w:before="0" w:lineRule="auto" w:line="276"/>
        <w:ind w:left="714" w:hanging="357"/>
        <w:rPr>
          <w:szCs w:val="23"/>
        </w:rPr>
      </w:pPr>
      <w:r>
        <w:rPr>
          <w:szCs w:val="23"/>
        </w:rPr>
        <w:t>les modes de production agricoles et d’utilisation des pesticides ;</w:t>
      </w:r>
    </w:p>
    <w:p>
      <w:pPr>
        <w:pStyle w:val="style0"/>
        <w:numPr>
          <w:ilvl w:val="0"/>
          <w:numId w:val="108"/>
        </w:numPr>
        <w:spacing w:before="0" w:lineRule="auto" w:line="276"/>
        <w:ind w:left="714" w:hanging="357"/>
        <w:rPr>
          <w:szCs w:val="23"/>
        </w:rPr>
      </w:pPr>
      <w:r>
        <w:rPr>
          <w:szCs w:val="23"/>
        </w:rPr>
        <w:t>les impacts positifs et négatifs de l’utilisation des pesticides sur l’environnement et le social ;</w:t>
      </w:r>
    </w:p>
    <w:p>
      <w:pPr>
        <w:pStyle w:val="style0"/>
        <w:numPr>
          <w:ilvl w:val="0"/>
          <w:numId w:val="108"/>
        </w:numPr>
        <w:spacing w:before="0" w:lineRule="auto" w:line="276"/>
        <w:ind w:left="714" w:hanging="357"/>
        <w:rPr>
          <w:szCs w:val="23"/>
        </w:rPr>
      </w:pPr>
      <w:r>
        <w:rPr>
          <w:szCs w:val="23"/>
        </w:rPr>
        <w:t>les moyens d’acquisition des produits phytopharmaceutiques ;</w:t>
      </w:r>
    </w:p>
    <w:p>
      <w:pPr>
        <w:pStyle w:val="style0"/>
        <w:numPr>
          <w:ilvl w:val="0"/>
          <w:numId w:val="108"/>
        </w:numPr>
        <w:spacing w:before="0" w:lineRule="auto" w:line="276"/>
        <w:ind w:left="714" w:hanging="357"/>
        <w:rPr>
          <w:szCs w:val="23"/>
        </w:rPr>
      </w:pPr>
      <w:r>
        <w:rPr>
          <w:szCs w:val="23"/>
        </w:rPr>
        <w:t>la participation et l’implication des acteurs et des populations ;</w:t>
      </w:r>
    </w:p>
    <w:p>
      <w:pPr>
        <w:pStyle w:val="style0"/>
        <w:numPr>
          <w:ilvl w:val="0"/>
          <w:numId w:val="108"/>
        </w:numPr>
        <w:spacing w:before="0" w:lineRule="auto" w:line="276"/>
        <w:ind w:left="714" w:hanging="357"/>
        <w:rPr>
          <w:szCs w:val="23"/>
        </w:rPr>
      </w:pPr>
      <w:r>
        <w:rPr>
          <w:szCs w:val="23"/>
        </w:rPr>
        <w:t>les capacités de gestion environnementale et sociale et les besoins en renforcement ;</w:t>
      </w:r>
    </w:p>
    <w:p>
      <w:pPr>
        <w:pStyle w:val="style0"/>
        <w:numPr>
          <w:ilvl w:val="0"/>
          <w:numId w:val="108"/>
        </w:numPr>
        <w:spacing w:before="0" w:lineRule="auto" w:line="276"/>
        <w:ind w:left="714" w:hanging="357"/>
        <w:rPr>
          <w:szCs w:val="23"/>
        </w:rPr>
      </w:pPr>
      <w:r>
        <w:rPr>
          <w:szCs w:val="23"/>
        </w:rPr>
        <w:t xml:space="preserve">les préoccupations et craintes vis-à-vis du </w:t>
      </w:r>
      <w:r>
        <w:rPr>
          <w:szCs w:val="23"/>
        </w:rPr>
        <w:t>PDCA ;</w:t>
      </w:r>
    </w:p>
    <w:p>
      <w:pPr>
        <w:pStyle w:val="style0"/>
        <w:numPr>
          <w:ilvl w:val="0"/>
          <w:numId w:val="108"/>
        </w:numPr>
        <w:spacing w:before="0" w:lineRule="auto" w:line="276"/>
        <w:ind w:left="714" w:hanging="357"/>
        <w:rPr>
          <w:szCs w:val="23"/>
        </w:rPr>
      </w:pPr>
      <w:r>
        <w:rPr>
          <w:szCs w:val="23"/>
        </w:rPr>
        <w:t xml:space="preserve">les suggestions et recommandations à l’endroit du </w:t>
      </w:r>
      <w:r>
        <w:rPr>
          <w:szCs w:val="23"/>
        </w:rPr>
        <w:t>PDCA</w:t>
      </w:r>
      <w:r>
        <w:rPr>
          <w:szCs w:val="23"/>
        </w:rPr>
        <w:t>.</w:t>
      </w:r>
    </w:p>
    <w:bookmarkStart w:id="495" w:name="_Toc409971236"/>
    <w:bookmarkStart w:id="496" w:name="_Toc411895664"/>
    <w:bookmarkStart w:id="497" w:name="_Toc412731901"/>
    <w:bookmarkStart w:id="498" w:name="_Toc412732285"/>
    <w:bookmarkStart w:id="499" w:name="_Toc514190185"/>
    <w:bookmarkStart w:id="500" w:name="_Toc2831240"/>
    <w:p>
      <w:pPr>
        <w:pStyle w:val="style3"/>
        <w:numPr>
          <w:ilvl w:val="2"/>
          <w:numId w:val="85"/>
        </w:numPr>
        <w:rPr/>
      </w:pPr>
      <w:r>
        <w:t>Analyse des résultats des rencontres institutionnelles et des consultations publiques</w:t>
      </w:r>
      <w:bookmarkEnd w:id="495"/>
      <w:bookmarkEnd w:id="496"/>
      <w:bookmarkEnd w:id="497"/>
      <w:bookmarkEnd w:id="498"/>
      <w:bookmarkEnd w:id="499"/>
      <w:bookmarkEnd w:id="500"/>
      <w:r>
        <w:t xml:space="preserve"> </w:t>
      </w:r>
    </w:p>
    <w:bookmarkStart w:id="501" w:name="_Toc411509521"/>
    <w:bookmarkStart w:id="502" w:name="_Toc411529801"/>
    <w:bookmarkStart w:id="503" w:name="_Toc411530016"/>
    <w:bookmarkStart w:id="504" w:name="_Toc411583758"/>
    <w:bookmarkStart w:id="505" w:name="_Toc411583967"/>
    <w:bookmarkStart w:id="506" w:name="_Toc411711845"/>
    <w:bookmarkStart w:id="507" w:name="_Toc411715875"/>
    <w:bookmarkStart w:id="508" w:name="_Toc411716063"/>
    <w:bookmarkStart w:id="509" w:name="_Toc411716248"/>
    <w:bookmarkStart w:id="510" w:name="_Toc411716433"/>
    <w:bookmarkStart w:id="511" w:name="_Toc411716617"/>
    <w:bookmarkStart w:id="512" w:name="_Toc411799402"/>
    <w:bookmarkStart w:id="513" w:name="_Toc411800853"/>
    <w:bookmarkStart w:id="514" w:name="_Toc411801268"/>
    <w:bookmarkStart w:id="515" w:name="_Toc411807561"/>
    <w:bookmarkStart w:id="516" w:name="_Toc411885342"/>
    <w:bookmarkStart w:id="517" w:name="_Toc411885529"/>
    <w:bookmarkStart w:id="518" w:name="_Toc411895665"/>
    <w:bookmarkStart w:id="519" w:name="_Toc412712867"/>
    <w:bookmarkStart w:id="520" w:name="_Toc412731825"/>
    <w:bookmarkStart w:id="521" w:name="_Toc412731902"/>
    <w:bookmarkStart w:id="522" w:name="_Toc412732286"/>
    <w:bookmarkStart w:id="523" w:name="_Toc508084170"/>
    <w:bookmarkStart w:id="524" w:name="_Toc508276357"/>
    <w:bookmarkStart w:id="525" w:name="_Toc508351498"/>
    <w:bookmarkStart w:id="526" w:name="_Toc511770510"/>
    <w:bookmarkStart w:id="527" w:name="_Toc511770775"/>
    <w:bookmarkStart w:id="528" w:name="_Toc514189386"/>
    <w:bookmarkStart w:id="529" w:name="_Toc514190186"/>
    <w:bookmarkStart w:id="530" w:name="_Toc536632977"/>
    <w:bookmarkStart w:id="531" w:name="_Toc536633132"/>
    <w:bookmarkStart w:id="532" w:name="_Toc536861884"/>
    <w:bookmarkStart w:id="533" w:name="_Toc536869721"/>
    <w:bookmarkStart w:id="534" w:name="_Toc536869840"/>
    <w:bookmarkStart w:id="535" w:name="_Toc102598"/>
    <w:bookmarkStart w:id="536" w:name="_Toc102675"/>
    <w:bookmarkStart w:id="537" w:name="_Toc388781"/>
    <w:bookmarkStart w:id="538" w:name="_Toc389182"/>
    <w:bookmarkStart w:id="539" w:name="_Toc441225"/>
    <w:bookmarkStart w:id="540" w:name="_Toc1832706"/>
    <w:bookmarkStart w:id="541" w:name="_Toc1842883"/>
    <w:bookmarkStart w:id="542" w:name="_Toc1843450"/>
    <w:bookmarkStart w:id="543" w:name="_Toc1843609"/>
    <w:bookmarkStart w:id="544" w:name="_Toc1845103"/>
    <w:bookmarkStart w:id="545" w:name="_Toc1845555"/>
    <w:bookmarkStart w:id="546" w:name="_Toc1899639"/>
    <w:bookmarkStart w:id="547" w:name="_Toc1921559"/>
    <w:bookmarkStart w:id="548" w:name="_Toc2195929"/>
    <w:bookmarkStart w:id="549" w:name="_Toc2831241"/>
    <w:bookmarkStart w:id="550" w:name="_Toc409971237"/>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Pr>
        <w:pStyle w:val="style179"/>
        <w:keepNext/>
        <w:numPr>
          <w:ilvl w:val="0"/>
          <w:numId w:val="55"/>
        </w:numPr>
        <w:tabs>
          <w:tab w:val="left" w:leader="none" w:pos="-720"/>
        </w:tabs>
        <w:suppressAutoHyphens/>
        <w:spacing w:lineRule="auto" w:line="276"/>
        <w:outlineLvl w:val="1"/>
        <w:rPr>
          <w:i/>
          <w:vanish/>
          <w:color w:val="000000"/>
          <w:sz w:val="23"/>
          <w:szCs w:val="23"/>
          <w:u w:val="single"/>
        </w:rPr>
      </w:pPr>
    </w:p>
    <w:bookmarkStart w:id="551" w:name="_Toc411509522"/>
    <w:bookmarkStart w:id="552" w:name="_Toc411529802"/>
    <w:bookmarkStart w:id="553" w:name="_Toc411530017"/>
    <w:bookmarkStart w:id="554" w:name="_Toc411583759"/>
    <w:bookmarkStart w:id="555" w:name="_Toc411583968"/>
    <w:bookmarkStart w:id="556" w:name="_Toc411711846"/>
    <w:bookmarkStart w:id="557" w:name="_Toc411715876"/>
    <w:bookmarkStart w:id="558" w:name="_Toc411716064"/>
    <w:bookmarkStart w:id="559" w:name="_Toc411716249"/>
    <w:bookmarkStart w:id="560" w:name="_Toc411716434"/>
    <w:bookmarkStart w:id="561" w:name="_Toc411716618"/>
    <w:bookmarkStart w:id="562" w:name="_Toc411799403"/>
    <w:bookmarkStart w:id="563" w:name="_Toc411800854"/>
    <w:bookmarkStart w:id="564" w:name="_Toc411801269"/>
    <w:bookmarkStart w:id="565" w:name="_Toc411807562"/>
    <w:bookmarkStart w:id="566" w:name="_Toc411885343"/>
    <w:bookmarkStart w:id="567" w:name="_Toc411885530"/>
    <w:bookmarkStart w:id="568" w:name="_Toc411895666"/>
    <w:bookmarkStart w:id="569" w:name="_Toc412712868"/>
    <w:bookmarkStart w:id="570" w:name="_Toc412731826"/>
    <w:bookmarkStart w:id="571" w:name="_Toc412731903"/>
    <w:bookmarkStart w:id="572" w:name="_Toc412732287"/>
    <w:bookmarkStart w:id="573" w:name="_Toc508084171"/>
    <w:bookmarkStart w:id="574" w:name="_Toc508276358"/>
    <w:bookmarkStart w:id="575" w:name="_Toc508351499"/>
    <w:bookmarkStart w:id="576" w:name="_Toc511770511"/>
    <w:bookmarkStart w:id="577" w:name="_Toc511770776"/>
    <w:bookmarkStart w:id="578" w:name="_Toc514189387"/>
    <w:bookmarkStart w:id="579" w:name="_Toc514190187"/>
    <w:bookmarkStart w:id="580" w:name="_Toc536632978"/>
    <w:bookmarkStart w:id="581" w:name="_Toc536633133"/>
    <w:bookmarkStart w:id="582" w:name="_Toc536861885"/>
    <w:bookmarkStart w:id="583" w:name="_Toc536869722"/>
    <w:bookmarkStart w:id="584" w:name="_Toc536869841"/>
    <w:bookmarkStart w:id="585" w:name="_Toc102599"/>
    <w:bookmarkStart w:id="586" w:name="_Toc102676"/>
    <w:bookmarkStart w:id="587" w:name="_Toc388782"/>
    <w:bookmarkStart w:id="588" w:name="_Toc389183"/>
    <w:bookmarkStart w:id="589" w:name="_Toc441226"/>
    <w:bookmarkStart w:id="590" w:name="_Toc1832707"/>
    <w:bookmarkStart w:id="591" w:name="_Toc1842884"/>
    <w:bookmarkStart w:id="592" w:name="_Toc1843451"/>
    <w:bookmarkStart w:id="593" w:name="_Toc1843610"/>
    <w:bookmarkStart w:id="594" w:name="_Toc1845104"/>
    <w:bookmarkStart w:id="595" w:name="_Toc1845556"/>
    <w:bookmarkStart w:id="596" w:name="_Toc1899640"/>
    <w:bookmarkStart w:id="597" w:name="_Toc1921560"/>
    <w:bookmarkStart w:id="598" w:name="_Toc2195930"/>
    <w:bookmarkStart w:id="599" w:name="_Toc2831242"/>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Pr>
        <w:pStyle w:val="style179"/>
        <w:keepNext/>
        <w:numPr>
          <w:ilvl w:val="0"/>
          <w:numId w:val="55"/>
        </w:numPr>
        <w:tabs>
          <w:tab w:val="left" w:leader="none" w:pos="-720"/>
        </w:tabs>
        <w:suppressAutoHyphens/>
        <w:spacing w:lineRule="auto" w:line="276"/>
        <w:outlineLvl w:val="1"/>
        <w:rPr>
          <w:i/>
          <w:vanish/>
          <w:color w:val="000000"/>
          <w:sz w:val="23"/>
          <w:szCs w:val="23"/>
          <w:u w:val="single"/>
        </w:rPr>
      </w:pPr>
    </w:p>
    <w:bookmarkStart w:id="600" w:name="_Toc411509523"/>
    <w:bookmarkStart w:id="601" w:name="_Toc411529803"/>
    <w:bookmarkStart w:id="602" w:name="_Toc411530018"/>
    <w:bookmarkStart w:id="603" w:name="_Toc411583760"/>
    <w:bookmarkStart w:id="604" w:name="_Toc411583969"/>
    <w:bookmarkStart w:id="605" w:name="_Toc411711847"/>
    <w:bookmarkStart w:id="606" w:name="_Toc411715877"/>
    <w:bookmarkStart w:id="607" w:name="_Toc411716065"/>
    <w:bookmarkStart w:id="608" w:name="_Toc411716250"/>
    <w:bookmarkStart w:id="609" w:name="_Toc411716435"/>
    <w:bookmarkStart w:id="610" w:name="_Toc411716619"/>
    <w:bookmarkStart w:id="611" w:name="_Toc411799404"/>
    <w:bookmarkStart w:id="612" w:name="_Toc411800855"/>
    <w:bookmarkStart w:id="613" w:name="_Toc411801270"/>
    <w:bookmarkStart w:id="614" w:name="_Toc411807563"/>
    <w:bookmarkStart w:id="615" w:name="_Toc411885344"/>
    <w:bookmarkStart w:id="616" w:name="_Toc411885531"/>
    <w:bookmarkStart w:id="617" w:name="_Toc411895667"/>
    <w:bookmarkStart w:id="618" w:name="_Toc412712869"/>
    <w:bookmarkStart w:id="619" w:name="_Toc412731827"/>
    <w:bookmarkStart w:id="620" w:name="_Toc412731904"/>
    <w:bookmarkStart w:id="621" w:name="_Toc412732288"/>
    <w:bookmarkStart w:id="622" w:name="_Toc508084172"/>
    <w:bookmarkStart w:id="623" w:name="_Toc508276359"/>
    <w:bookmarkStart w:id="624" w:name="_Toc508351500"/>
    <w:bookmarkStart w:id="625" w:name="_Toc511770512"/>
    <w:bookmarkStart w:id="626" w:name="_Toc511770777"/>
    <w:bookmarkStart w:id="627" w:name="_Toc514189388"/>
    <w:bookmarkStart w:id="628" w:name="_Toc514190188"/>
    <w:bookmarkStart w:id="629" w:name="_Toc536632979"/>
    <w:bookmarkStart w:id="630" w:name="_Toc536633134"/>
    <w:bookmarkStart w:id="631" w:name="_Toc536861886"/>
    <w:bookmarkStart w:id="632" w:name="_Toc536869723"/>
    <w:bookmarkStart w:id="633" w:name="_Toc536869842"/>
    <w:bookmarkStart w:id="634" w:name="_Toc102600"/>
    <w:bookmarkStart w:id="635" w:name="_Toc102677"/>
    <w:bookmarkStart w:id="636" w:name="_Toc388783"/>
    <w:bookmarkStart w:id="637" w:name="_Toc389184"/>
    <w:bookmarkStart w:id="638" w:name="_Toc441227"/>
    <w:bookmarkStart w:id="639" w:name="_Toc1832708"/>
    <w:bookmarkStart w:id="640" w:name="_Toc1842885"/>
    <w:bookmarkStart w:id="641" w:name="_Toc1843452"/>
    <w:bookmarkStart w:id="642" w:name="_Toc1843611"/>
    <w:bookmarkStart w:id="643" w:name="_Toc1845105"/>
    <w:bookmarkStart w:id="644" w:name="_Toc1845557"/>
    <w:bookmarkStart w:id="645" w:name="_Toc1899641"/>
    <w:bookmarkStart w:id="646" w:name="_Toc1921561"/>
    <w:bookmarkStart w:id="647" w:name="_Toc2195931"/>
    <w:bookmarkStart w:id="648" w:name="_Toc2831243"/>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Pr>
        <w:pStyle w:val="style179"/>
        <w:keepNext/>
        <w:numPr>
          <w:ilvl w:val="0"/>
          <w:numId w:val="55"/>
        </w:numPr>
        <w:tabs>
          <w:tab w:val="left" w:leader="none" w:pos="-720"/>
        </w:tabs>
        <w:suppressAutoHyphens/>
        <w:spacing w:lineRule="auto" w:line="276"/>
        <w:outlineLvl w:val="1"/>
        <w:rPr>
          <w:i/>
          <w:vanish/>
          <w:color w:val="000000"/>
          <w:sz w:val="23"/>
          <w:szCs w:val="23"/>
          <w:u w:val="single"/>
        </w:rPr>
      </w:pPr>
    </w:p>
    <w:bookmarkStart w:id="649" w:name="_Toc411509524"/>
    <w:bookmarkStart w:id="650" w:name="_Toc411529804"/>
    <w:bookmarkStart w:id="651" w:name="_Toc411530019"/>
    <w:bookmarkStart w:id="652" w:name="_Toc411583761"/>
    <w:bookmarkStart w:id="653" w:name="_Toc411583970"/>
    <w:bookmarkStart w:id="654" w:name="_Toc411711848"/>
    <w:bookmarkStart w:id="655" w:name="_Toc411715878"/>
    <w:bookmarkStart w:id="656" w:name="_Toc411716066"/>
    <w:bookmarkStart w:id="657" w:name="_Toc411716251"/>
    <w:bookmarkStart w:id="658" w:name="_Toc411716436"/>
    <w:bookmarkStart w:id="659" w:name="_Toc411716620"/>
    <w:bookmarkStart w:id="660" w:name="_Toc411799405"/>
    <w:bookmarkStart w:id="661" w:name="_Toc411800856"/>
    <w:bookmarkStart w:id="662" w:name="_Toc411801271"/>
    <w:bookmarkStart w:id="663" w:name="_Toc411807564"/>
    <w:bookmarkStart w:id="664" w:name="_Toc411885345"/>
    <w:bookmarkStart w:id="665" w:name="_Toc411885532"/>
    <w:bookmarkStart w:id="666" w:name="_Toc411895668"/>
    <w:bookmarkStart w:id="667" w:name="_Toc412712870"/>
    <w:bookmarkStart w:id="668" w:name="_Toc412731828"/>
    <w:bookmarkStart w:id="669" w:name="_Toc412731905"/>
    <w:bookmarkStart w:id="670" w:name="_Toc412732289"/>
    <w:bookmarkStart w:id="671" w:name="_Toc508084173"/>
    <w:bookmarkStart w:id="672" w:name="_Toc508276360"/>
    <w:bookmarkStart w:id="673" w:name="_Toc508351501"/>
    <w:bookmarkStart w:id="674" w:name="_Toc511770513"/>
    <w:bookmarkStart w:id="675" w:name="_Toc511770778"/>
    <w:bookmarkStart w:id="676" w:name="_Toc514189389"/>
    <w:bookmarkStart w:id="677" w:name="_Toc514190189"/>
    <w:bookmarkStart w:id="678" w:name="_Toc536632980"/>
    <w:bookmarkStart w:id="679" w:name="_Toc536633135"/>
    <w:bookmarkStart w:id="680" w:name="_Toc536861887"/>
    <w:bookmarkStart w:id="681" w:name="_Toc536869724"/>
    <w:bookmarkStart w:id="682" w:name="_Toc536869843"/>
    <w:bookmarkStart w:id="683" w:name="_Toc102601"/>
    <w:bookmarkStart w:id="684" w:name="_Toc102678"/>
    <w:bookmarkStart w:id="685" w:name="_Toc388784"/>
    <w:bookmarkStart w:id="686" w:name="_Toc389185"/>
    <w:bookmarkStart w:id="687" w:name="_Toc441228"/>
    <w:bookmarkStart w:id="688" w:name="_Toc1832709"/>
    <w:bookmarkStart w:id="689" w:name="_Toc1842886"/>
    <w:bookmarkStart w:id="690" w:name="_Toc1843453"/>
    <w:bookmarkStart w:id="691" w:name="_Toc1843612"/>
    <w:bookmarkStart w:id="692" w:name="_Toc1845106"/>
    <w:bookmarkStart w:id="693" w:name="_Toc1845558"/>
    <w:bookmarkStart w:id="694" w:name="_Toc1899642"/>
    <w:bookmarkStart w:id="695" w:name="_Toc1921562"/>
    <w:bookmarkStart w:id="696" w:name="_Toc2195932"/>
    <w:bookmarkStart w:id="697" w:name="_Toc2831244"/>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Pr>
        <w:pStyle w:val="style179"/>
        <w:keepNext/>
        <w:numPr>
          <w:ilvl w:val="0"/>
          <w:numId w:val="55"/>
        </w:numPr>
        <w:tabs>
          <w:tab w:val="left" w:leader="none" w:pos="-720"/>
        </w:tabs>
        <w:suppressAutoHyphens/>
        <w:spacing w:lineRule="auto" w:line="276"/>
        <w:outlineLvl w:val="1"/>
        <w:rPr>
          <w:i/>
          <w:vanish/>
          <w:color w:val="000000"/>
          <w:sz w:val="23"/>
          <w:szCs w:val="23"/>
          <w:u w:val="single"/>
        </w:rPr>
      </w:pPr>
    </w:p>
    <w:bookmarkStart w:id="698" w:name="_Toc411509525"/>
    <w:bookmarkStart w:id="699" w:name="_Toc411529805"/>
    <w:bookmarkStart w:id="700" w:name="_Toc411530020"/>
    <w:bookmarkStart w:id="701" w:name="_Toc411583762"/>
    <w:bookmarkStart w:id="702" w:name="_Toc411583971"/>
    <w:bookmarkStart w:id="703" w:name="_Toc411711849"/>
    <w:bookmarkStart w:id="704" w:name="_Toc411715879"/>
    <w:bookmarkStart w:id="705" w:name="_Toc411716067"/>
    <w:bookmarkStart w:id="706" w:name="_Toc411716252"/>
    <w:bookmarkStart w:id="707" w:name="_Toc411716437"/>
    <w:bookmarkStart w:id="708" w:name="_Toc411716621"/>
    <w:bookmarkStart w:id="709" w:name="_Toc411799406"/>
    <w:bookmarkStart w:id="710" w:name="_Toc411800857"/>
    <w:bookmarkStart w:id="711" w:name="_Toc411801272"/>
    <w:bookmarkStart w:id="712" w:name="_Toc411807565"/>
    <w:bookmarkStart w:id="713" w:name="_Toc411885346"/>
    <w:bookmarkStart w:id="714" w:name="_Toc411885533"/>
    <w:bookmarkStart w:id="715" w:name="_Toc411895669"/>
    <w:bookmarkStart w:id="716" w:name="_Toc412712871"/>
    <w:bookmarkStart w:id="717" w:name="_Toc412731829"/>
    <w:bookmarkStart w:id="718" w:name="_Toc412731906"/>
    <w:bookmarkStart w:id="719" w:name="_Toc412732290"/>
    <w:bookmarkStart w:id="720" w:name="_Toc508084174"/>
    <w:bookmarkStart w:id="721" w:name="_Toc508276361"/>
    <w:bookmarkStart w:id="722" w:name="_Toc508351502"/>
    <w:bookmarkStart w:id="723" w:name="_Toc511770514"/>
    <w:bookmarkStart w:id="724" w:name="_Toc511770779"/>
    <w:bookmarkStart w:id="725" w:name="_Toc514189390"/>
    <w:bookmarkStart w:id="726" w:name="_Toc514190190"/>
    <w:bookmarkStart w:id="727" w:name="_Toc536632981"/>
    <w:bookmarkStart w:id="728" w:name="_Toc536633136"/>
    <w:bookmarkStart w:id="729" w:name="_Toc536861888"/>
    <w:bookmarkStart w:id="730" w:name="_Toc536869725"/>
    <w:bookmarkStart w:id="731" w:name="_Toc536869844"/>
    <w:bookmarkStart w:id="732" w:name="_Toc102602"/>
    <w:bookmarkStart w:id="733" w:name="_Toc102679"/>
    <w:bookmarkStart w:id="734" w:name="_Toc388785"/>
    <w:bookmarkStart w:id="735" w:name="_Toc389186"/>
    <w:bookmarkStart w:id="736" w:name="_Toc441229"/>
    <w:bookmarkStart w:id="737" w:name="_Toc1832710"/>
    <w:bookmarkStart w:id="738" w:name="_Toc1842887"/>
    <w:bookmarkStart w:id="739" w:name="_Toc1843454"/>
    <w:bookmarkStart w:id="740" w:name="_Toc1843613"/>
    <w:bookmarkStart w:id="741" w:name="_Toc1845107"/>
    <w:bookmarkStart w:id="742" w:name="_Toc1845559"/>
    <w:bookmarkStart w:id="743" w:name="_Toc1899643"/>
    <w:bookmarkStart w:id="744" w:name="_Toc1921563"/>
    <w:bookmarkStart w:id="745" w:name="_Toc2195933"/>
    <w:bookmarkStart w:id="746" w:name="_Toc2831245"/>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Pr>
        <w:pStyle w:val="style179"/>
        <w:keepNext/>
        <w:numPr>
          <w:ilvl w:val="0"/>
          <w:numId w:val="55"/>
        </w:numPr>
        <w:tabs>
          <w:tab w:val="left" w:leader="none" w:pos="-720"/>
        </w:tabs>
        <w:suppressAutoHyphens/>
        <w:spacing w:lineRule="auto" w:line="276"/>
        <w:outlineLvl w:val="1"/>
        <w:rPr>
          <w:i/>
          <w:vanish/>
          <w:color w:val="000000"/>
          <w:sz w:val="23"/>
          <w:szCs w:val="23"/>
          <w:u w:val="single"/>
        </w:rPr>
      </w:pPr>
    </w:p>
    <w:bookmarkStart w:id="747" w:name="_Toc411509526"/>
    <w:bookmarkStart w:id="748" w:name="_Toc411529806"/>
    <w:bookmarkStart w:id="749" w:name="_Toc411530021"/>
    <w:bookmarkStart w:id="750" w:name="_Toc411583763"/>
    <w:bookmarkStart w:id="751" w:name="_Toc411583972"/>
    <w:bookmarkStart w:id="752" w:name="_Toc411711850"/>
    <w:bookmarkStart w:id="753" w:name="_Toc411715880"/>
    <w:bookmarkStart w:id="754" w:name="_Toc411716068"/>
    <w:bookmarkStart w:id="755" w:name="_Toc411716253"/>
    <w:bookmarkStart w:id="756" w:name="_Toc411716438"/>
    <w:bookmarkStart w:id="757" w:name="_Toc411716622"/>
    <w:bookmarkStart w:id="758" w:name="_Toc411799407"/>
    <w:bookmarkStart w:id="759" w:name="_Toc411800858"/>
    <w:bookmarkStart w:id="760" w:name="_Toc411801273"/>
    <w:bookmarkStart w:id="761" w:name="_Toc411807566"/>
    <w:bookmarkStart w:id="762" w:name="_Toc411885347"/>
    <w:bookmarkStart w:id="763" w:name="_Toc411885534"/>
    <w:bookmarkStart w:id="764" w:name="_Toc411895670"/>
    <w:bookmarkStart w:id="765" w:name="_Toc412712872"/>
    <w:bookmarkStart w:id="766" w:name="_Toc412731830"/>
    <w:bookmarkStart w:id="767" w:name="_Toc412731907"/>
    <w:bookmarkStart w:id="768" w:name="_Toc412732291"/>
    <w:bookmarkStart w:id="769" w:name="_Toc508084175"/>
    <w:bookmarkStart w:id="770" w:name="_Toc508276362"/>
    <w:bookmarkStart w:id="771" w:name="_Toc508351503"/>
    <w:bookmarkStart w:id="772" w:name="_Toc511770515"/>
    <w:bookmarkStart w:id="773" w:name="_Toc511770780"/>
    <w:bookmarkStart w:id="774" w:name="_Toc514189391"/>
    <w:bookmarkStart w:id="775" w:name="_Toc514190191"/>
    <w:bookmarkStart w:id="776" w:name="_Toc536632982"/>
    <w:bookmarkStart w:id="777" w:name="_Toc536633137"/>
    <w:bookmarkStart w:id="778" w:name="_Toc536861889"/>
    <w:bookmarkStart w:id="779" w:name="_Toc536869726"/>
    <w:bookmarkStart w:id="780" w:name="_Toc536869845"/>
    <w:bookmarkStart w:id="781" w:name="_Toc102603"/>
    <w:bookmarkStart w:id="782" w:name="_Toc102680"/>
    <w:bookmarkStart w:id="783" w:name="_Toc388786"/>
    <w:bookmarkStart w:id="784" w:name="_Toc389187"/>
    <w:bookmarkStart w:id="785" w:name="_Toc441230"/>
    <w:bookmarkStart w:id="786" w:name="_Toc1832711"/>
    <w:bookmarkStart w:id="787" w:name="_Toc1842888"/>
    <w:bookmarkStart w:id="788" w:name="_Toc1843455"/>
    <w:bookmarkStart w:id="789" w:name="_Toc1843614"/>
    <w:bookmarkStart w:id="790" w:name="_Toc1845108"/>
    <w:bookmarkStart w:id="791" w:name="_Toc1845560"/>
    <w:bookmarkStart w:id="792" w:name="_Toc1899644"/>
    <w:bookmarkStart w:id="793" w:name="_Toc1921564"/>
    <w:bookmarkStart w:id="794" w:name="_Toc2195934"/>
    <w:bookmarkStart w:id="795" w:name="_Toc28312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Pr>
        <w:pStyle w:val="style179"/>
        <w:keepNext/>
        <w:numPr>
          <w:ilvl w:val="0"/>
          <w:numId w:val="55"/>
        </w:numPr>
        <w:tabs>
          <w:tab w:val="left" w:leader="none" w:pos="-720"/>
        </w:tabs>
        <w:suppressAutoHyphens/>
        <w:spacing w:lineRule="auto" w:line="276"/>
        <w:outlineLvl w:val="1"/>
        <w:rPr>
          <w:i/>
          <w:vanish/>
          <w:color w:val="000000"/>
          <w:sz w:val="23"/>
          <w:szCs w:val="23"/>
          <w:u w:val="single"/>
        </w:rPr>
      </w:pPr>
    </w:p>
    <w:bookmarkStart w:id="796" w:name="_Toc411509527"/>
    <w:bookmarkStart w:id="797" w:name="_Toc411529807"/>
    <w:bookmarkStart w:id="798" w:name="_Toc411530022"/>
    <w:bookmarkStart w:id="799" w:name="_Toc411583764"/>
    <w:bookmarkStart w:id="800" w:name="_Toc411583973"/>
    <w:bookmarkStart w:id="801" w:name="_Toc411711851"/>
    <w:bookmarkStart w:id="802" w:name="_Toc411715881"/>
    <w:bookmarkStart w:id="803" w:name="_Toc411716069"/>
    <w:bookmarkStart w:id="804" w:name="_Toc411716254"/>
    <w:bookmarkStart w:id="805" w:name="_Toc411716439"/>
    <w:bookmarkStart w:id="806" w:name="_Toc411716623"/>
    <w:bookmarkStart w:id="807" w:name="_Toc411799408"/>
    <w:bookmarkStart w:id="808" w:name="_Toc411800859"/>
    <w:bookmarkStart w:id="809" w:name="_Toc411801274"/>
    <w:bookmarkStart w:id="810" w:name="_Toc411807567"/>
    <w:bookmarkStart w:id="811" w:name="_Toc411885348"/>
    <w:bookmarkStart w:id="812" w:name="_Toc411885535"/>
    <w:bookmarkStart w:id="813" w:name="_Toc411895671"/>
    <w:bookmarkStart w:id="814" w:name="_Toc412712873"/>
    <w:bookmarkStart w:id="815" w:name="_Toc412731831"/>
    <w:bookmarkStart w:id="816" w:name="_Toc412731908"/>
    <w:bookmarkStart w:id="817" w:name="_Toc412732292"/>
    <w:bookmarkStart w:id="818" w:name="_Toc508084176"/>
    <w:bookmarkStart w:id="819" w:name="_Toc508276363"/>
    <w:bookmarkStart w:id="820" w:name="_Toc508351504"/>
    <w:bookmarkStart w:id="821" w:name="_Toc511770516"/>
    <w:bookmarkStart w:id="822" w:name="_Toc511770781"/>
    <w:bookmarkStart w:id="823" w:name="_Toc514189392"/>
    <w:bookmarkStart w:id="824" w:name="_Toc514190192"/>
    <w:bookmarkStart w:id="825" w:name="_Toc536632983"/>
    <w:bookmarkStart w:id="826" w:name="_Toc536633138"/>
    <w:bookmarkStart w:id="827" w:name="_Toc536861890"/>
    <w:bookmarkStart w:id="828" w:name="_Toc536869727"/>
    <w:bookmarkStart w:id="829" w:name="_Toc536869846"/>
    <w:bookmarkStart w:id="830" w:name="_Toc102604"/>
    <w:bookmarkStart w:id="831" w:name="_Toc102681"/>
    <w:bookmarkStart w:id="832" w:name="_Toc388787"/>
    <w:bookmarkStart w:id="833" w:name="_Toc389188"/>
    <w:bookmarkStart w:id="834" w:name="_Toc441231"/>
    <w:bookmarkStart w:id="835" w:name="_Toc1832712"/>
    <w:bookmarkStart w:id="836" w:name="_Toc1842889"/>
    <w:bookmarkStart w:id="837" w:name="_Toc1843456"/>
    <w:bookmarkStart w:id="838" w:name="_Toc1843615"/>
    <w:bookmarkStart w:id="839" w:name="_Toc1845109"/>
    <w:bookmarkStart w:id="840" w:name="_Toc1845561"/>
    <w:bookmarkStart w:id="841" w:name="_Toc1899645"/>
    <w:bookmarkStart w:id="842" w:name="_Toc1921565"/>
    <w:bookmarkStart w:id="843" w:name="_Toc2195935"/>
    <w:bookmarkStart w:id="844" w:name="_Toc2831247"/>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Pr>
        <w:pStyle w:val="style179"/>
        <w:keepNext/>
        <w:numPr>
          <w:ilvl w:val="0"/>
          <w:numId w:val="55"/>
        </w:numPr>
        <w:tabs>
          <w:tab w:val="left" w:leader="none" w:pos="-720"/>
        </w:tabs>
        <w:suppressAutoHyphens/>
        <w:spacing w:lineRule="auto" w:line="276"/>
        <w:outlineLvl w:val="1"/>
        <w:rPr>
          <w:i/>
          <w:vanish/>
          <w:color w:val="000000"/>
          <w:sz w:val="23"/>
          <w:szCs w:val="23"/>
          <w:u w:val="single"/>
        </w:rPr>
      </w:pPr>
    </w:p>
    <w:bookmarkStart w:id="845" w:name="_Toc411509528"/>
    <w:bookmarkStart w:id="846" w:name="_Toc411529808"/>
    <w:bookmarkStart w:id="847" w:name="_Toc411530023"/>
    <w:bookmarkStart w:id="848" w:name="_Toc411583765"/>
    <w:bookmarkStart w:id="849" w:name="_Toc411583974"/>
    <w:bookmarkStart w:id="850" w:name="_Toc411711852"/>
    <w:bookmarkStart w:id="851" w:name="_Toc411715882"/>
    <w:bookmarkStart w:id="852" w:name="_Toc411716070"/>
    <w:bookmarkStart w:id="853" w:name="_Toc411716255"/>
    <w:bookmarkStart w:id="854" w:name="_Toc411716440"/>
    <w:bookmarkStart w:id="855" w:name="_Toc411716624"/>
    <w:bookmarkStart w:id="856" w:name="_Toc411799409"/>
    <w:bookmarkStart w:id="857" w:name="_Toc411800860"/>
    <w:bookmarkStart w:id="858" w:name="_Toc411801275"/>
    <w:bookmarkStart w:id="859" w:name="_Toc411807568"/>
    <w:bookmarkStart w:id="860" w:name="_Toc411885349"/>
    <w:bookmarkStart w:id="861" w:name="_Toc411885536"/>
    <w:bookmarkStart w:id="862" w:name="_Toc411895672"/>
    <w:bookmarkStart w:id="863" w:name="_Toc412712874"/>
    <w:bookmarkStart w:id="864" w:name="_Toc412731832"/>
    <w:bookmarkStart w:id="865" w:name="_Toc412731909"/>
    <w:bookmarkStart w:id="866" w:name="_Toc412732293"/>
    <w:bookmarkStart w:id="867" w:name="_Toc508084177"/>
    <w:bookmarkStart w:id="868" w:name="_Toc508276364"/>
    <w:bookmarkStart w:id="869" w:name="_Toc508351505"/>
    <w:bookmarkStart w:id="870" w:name="_Toc511770517"/>
    <w:bookmarkStart w:id="871" w:name="_Toc511770782"/>
    <w:bookmarkStart w:id="872" w:name="_Toc514189393"/>
    <w:bookmarkStart w:id="873" w:name="_Toc514190193"/>
    <w:bookmarkStart w:id="874" w:name="_Toc536632984"/>
    <w:bookmarkStart w:id="875" w:name="_Toc536633139"/>
    <w:bookmarkStart w:id="876" w:name="_Toc536861891"/>
    <w:bookmarkStart w:id="877" w:name="_Toc536869728"/>
    <w:bookmarkStart w:id="878" w:name="_Toc536869847"/>
    <w:bookmarkStart w:id="879" w:name="_Toc102605"/>
    <w:bookmarkStart w:id="880" w:name="_Toc102682"/>
    <w:bookmarkStart w:id="881" w:name="_Toc388788"/>
    <w:bookmarkStart w:id="882" w:name="_Toc389189"/>
    <w:bookmarkStart w:id="883" w:name="_Toc441232"/>
    <w:bookmarkStart w:id="884" w:name="_Toc1832713"/>
    <w:bookmarkStart w:id="885" w:name="_Toc1842890"/>
    <w:bookmarkStart w:id="886" w:name="_Toc1843457"/>
    <w:bookmarkStart w:id="887" w:name="_Toc1843616"/>
    <w:bookmarkStart w:id="888" w:name="_Toc1845110"/>
    <w:bookmarkStart w:id="889" w:name="_Toc1845562"/>
    <w:bookmarkStart w:id="890" w:name="_Toc1899646"/>
    <w:bookmarkStart w:id="891" w:name="_Toc1921566"/>
    <w:bookmarkStart w:id="892" w:name="_Toc2195936"/>
    <w:bookmarkStart w:id="893" w:name="_Toc2831248"/>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Pr>
        <w:pStyle w:val="style179"/>
        <w:keepNext/>
        <w:numPr>
          <w:ilvl w:val="1"/>
          <w:numId w:val="55"/>
        </w:numPr>
        <w:tabs>
          <w:tab w:val="left" w:leader="none" w:pos="-720"/>
        </w:tabs>
        <w:suppressAutoHyphens/>
        <w:spacing w:lineRule="auto" w:line="276"/>
        <w:outlineLvl w:val="1"/>
        <w:rPr>
          <w:i/>
          <w:vanish/>
          <w:color w:val="000000"/>
          <w:sz w:val="23"/>
          <w:szCs w:val="23"/>
          <w:u w:val="single"/>
        </w:rPr>
      </w:pPr>
    </w:p>
    <w:bookmarkStart w:id="894" w:name="_Toc411509529"/>
    <w:bookmarkStart w:id="895" w:name="_Toc411529809"/>
    <w:bookmarkStart w:id="896" w:name="_Toc411530024"/>
    <w:bookmarkStart w:id="897" w:name="_Toc411583766"/>
    <w:bookmarkStart w:id="898" w:name="_Toc411583975"/>
    <w:bookmarkStart w:id="899" w:name="_Toc411711853"/>
    <w:bookmarkStart w:id="900" w:name="_Toc411715883"/>
    <w:bookmarkStart w:id="901" w:name="_Toc411716071"/>
    <w:bookmarkStart w:id="902" w:name="_Toc411716256"/>
    <w:bookmarkStart w:id="903" w:name="_Toc411716441"/>
    <w:bookmarkStart w:id="904" w:name="_Toc411716625"/>
    <w:bookmarkStart w:id="905" w:name="_Toc411799410"/>
    <w:bookmarkStart w:id="906" w:name="_Toc411800861"/>
    <w:bookmarkStart w:id="907" w:name="_Toc411801276"/>
    <w:bookmarkStart w:id="908" w:name="_Toc411807569"/>
    <w:bookmarkStart w:id="909" w:name="_Toc411885350"/>
    <w:bookmarkStart w:id="910" w:name="_Toc411885537"/>
    <w:bookmarkStart w:id="911" w:name="_Toc411895673"/>
    <w:bookmarkStart w:id="912" w:name="_Toc412712875"/>
    <w:bookmarkStart w:id="913" w:name="_Toc412731833"/>
    <w:bookmarkStart w:id="914" w:name="_Toc412731910"/>
    <w:bookmarkStart w:id="915" w:name="_Toc412732294"/>
    <w:bookmarkStart w:id="916" w:name="_Toc508084178"/>
    <w:bookmarkStart w:id="917" w:name="_Toc508276365"/>
    <w:bookmarkStart w:id="918" w:name="_Toc508351506"/>
    <w:bookmarkStart w:id="919" w:name="_Toc511770518"/>
    <w:bookmarkStart w:id="920" w:name="_Toc511770783"/>
    <w:bookmarkStart w:id="921" w:name="_Toc514189394"/>
    <w:bookmarkStart w:id="922" w:name="_Toc514190194"/>
    <w:bookmarkStart w:id="923" w:name="_Toc536632985"/>
    <w:bookmarkStart w:id="924" w:name="_Toc536633140"/>
    <w:bookmarkStart w:id="925" w:name="_Toc536861892"/>
    <w:bookmarkStart w:id="926" w:name="_Toc536869729"/>
    <w:bookmarkStart w:id="927" w:name="_Toc536869848"/>
    <w:bookmarkStart w:id="928" w:name="_Toc102606"/>
    <w:bookmarkStart w:id="929" w:name="_Toc102683"/>
    <w:bookmarkStart w:id="930" w:name="_Toc388789"/>
    <w:bookmarkStart w:id="931" w:name="_Toc389190"/>
    <w:bookmarkStart w:id="932" w:name="_Toc441233"/>
    <w:bookmarkStart w:id="933" w:name="_Toc1832714"/>
    <w:bookmarkStart w:id="934" w:name="_Toc1842891"/>
    <w:bookmarkStart w:id="935" w:name="_Toc1843458"/>
    <w:bookmarkStart w:id="936" w:name="_Toc1843617"/>
    <w:bookmarkStart w:id="937" w:name="_Toc1845111"/>
    <w:bookmarkStart w:id="938" w:name="_Toc1845563"/>
    <w:bookmarkStart w:id="939" w:name="_Toc1899647"/>
    <w:bookmarkStart w:id="940" w:name="_Toc1921567"/>
    <w:bookmarkStart w:id="941" w:name="_Toc2195937"/>
    <w:bookmarkStart w:id="942" w:name="_Toc2831249"/>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Pr>
        <w:pStyle w:val="style179"/>
        <w:keepNext/>
        <w:numPr>
          <w:ilvl w:val="1"/>
          <w:numId w:val="55"/>
        </w:numPr>
        <w:tabs>
          <w:tab w:val="left" w:leader="none" w:pos="-720"/>
        </w:tabs>
        <w:suppressAutoHyphens/>
        <w:spacing w:lineRule="auto" w:line="276"/>
        <w:outlineLvl w:val="1"/>
        <w:rPr>
          <w:i/>
          <w:vanish/>
          <w:color w:val="000000"/>
          <w:sz w:val="23"/>
          <w:szCs w:val="23"/>
          <w:u w:val="single"/>
        </w:rPr>
      </w:pPr>
    </w:p>
    <w:bookmarkStart w:id="943" w:name="_Toc411509530"/>
    <w:bookmarkStart w:id="944" w:name="_Toc411529810"/>
    <w:bookmarkStart w:id="945" w:name="_Toc411530025"/>
    <w:bookmarkStart w:id="946" w:name="_Toc411583767"/>
    <w:bookmarkStart w:id="947" w:name="_Toc411583976"/>
    <w:bookmarkStart w:id="948" w:name="_Toc411711854"/>
    <w:bookmarkStart w:id="949" w:name="_Toc411715884"/>
    <w:bookmarkStart w:id="950" w:name="_Toc411716072"/>
    <w:bookmarkStart w:id="951" w:name="_Toc411716257"/>
    <w:bookmarkStart w:id="952" w:name="_Toc411716442"/>
    <w:bookmarkStart w:id="953" w:name="_Toc411716626"/>
    <w:bookmarkStart w:id="954" w:name="_Toc411799411"/>
    <w:bookmarkStart w:id="955" w:name="_Toc411800862"/>
    <w:bookmarkStart w:id="956" w:name="_Toc411801277"/>
    <w:bookmarkStart w:id="957" w:name="_Toc411807570"/>
    <w:bookmarkStart w:id="958" w:name="_Toc411885351"/>
    <w:bookmarkStart w:id="959" w:name="_Toc411885538"/>
    <w:bookmarkStart w:id="960" w:name="_Toc411895674"/>
    <w:bookmarkStart w:id="961" w:name="_Toc412712876"/>
    <w:bookmarkStart w:id="962" w:name="_Toc412731834"/>
    <w:bookmarkStart w:id="963" w:name="_Toc412731911"/>
    <w:bookmarkStart w:id="964" w:name="_Toc412732295"/>
    <w:bookmarkStart w:id="965" w:name="_Toc508084179"/>
    <w:bookmarkStart w:id="966" w:name="_Toc508276366"/>
    <w:bookmarkStart w:id="967" w:name="_Toc508351507"/>
    <w:bookmarkStart w:id="968" w:name="_Toc511770519"/>
    <w:bookmarkStart w:id="969" w:name="_Toc511770784"/>
    <w:bookmarkStart w:id="970" w:name="_Toc514189395"/>
    <w:bookmarkStart w:id="971" w:name="_Toc514190195"/>
    <w:bookmarkStart w:id="972" w:name="_Toc536632986"/>
    <w:bookmarkStart w:id="973" w:name="_Toc536633141"/>
    <w:bookmarkStart w:id="974" w:name="_Toc536861893"/>
    <w:bookmarkStart w:id="975" w:name="_Toc536869730"/>
    <w:bookmarkStart w:id="976" w:name="_Toc536869849"/>
    <w:bookmarkStart w:id="977" w:name="_Toc102607"/>
    <w:bookmarkStart w:id="978" w:name="_Toc102684"/>
    <w:bookmarkStart w:id="979" w:name="_Toc388790"/>
    <w:bookmarkStart w:id="980" w:name="_Toc389191"/>
    <w:bookmarkStart w:id="981" w:name="_Toc441234"/>
    <w:bookmarkStart w:id="982" w:name="_Toc1832715"/>
    <w:bookmarkStart w:id="983" w:name="_Toc1842892"/>
    <w:bookmarkStart w:id="984" w:name="_Toc1843459"/>
    <w:bookmarkStart w:id="985" w:name="_Toc1843618"/>
    <w:bookmarkStart w:id="986" w:name="_Toc1845112"/>
    <w:bookmarkStart w:id="987" w:name="_Toc1845564"/>
    <w:bookmarkStart w:id="988" w:name="_Toc1899648"/>
    <w:bookmarkStart w:id="989" w:name="_Toc1921568"/>
    <w:bookmarkStart w:id="990" w:name="_Toc2195938"/>
    <w:bookmarkStart w:id="991" w:name="_Toc2831250"/>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Pr>
        <w:pStyle w:val="style179"/>
        <w:keepNext/>
        <w:numPr>
          <w:ilvl w:val="1"/>
          <w:numId w:val="55"/>
        </w:numPr>
        <w:tabs>
          <w:tab w:val="left" w:leader="none" w:pos="-720"/>
        </w:tabs>
        <w:suppressAutoHyphens/>
        <w:spacing w:lineRule="auto" w:line="276"/>
        <w:outlineLvl w:val="1"/>
        <w:rPr>
          <w:i/>
          <w:vanish/>
          <w:color w:val="000000"/>
          <w:sz w:val="23"/>
          <w:szCs w:val="23"/>
          <w:u w:val="single"/>
        </w:rPr>
      </w:pPr>
    </w:p>
    <w:bookmarkStart w:id="992" w:name="_Toc411509531"/>
    <w:bookmarkStart w:id="993" w:name="_Toc411529811"/>
    <w:bookmarkStart w:id="994" w:name="_Toc411530026"/>
    <w:bookmarkStart w:id="995" w:name="_Toc411583768"/>
    <w:bookmarkStart w:id="996" w:name="_Toc411583977"/>
    <w:bookmarkStart w:id="997" w:name="_Toc411711855"/>
    <w:bookmarkStart w:id="998" w:name="_Toc411715885"/>
    <w:bookmarkStart w:id="999" w:name="_Toc411716073"/>
    <w:bookmarkStart w:id="1000" w:name="_Toc411716258"/>
    <w:bookmarkStart w:id="1001" w:name="_Toc411716443"/>
    <w:bookmarkStart w:id="1002" w:name="_Toc411716627"/>
    <w:bookmarkStart w:id="1003" w:name="_Toc411799412"/>
    <w:bookmarkStart w:id="1004" w:name="_Toc411800863"/>
    <w:bookmarkStart w:id="1005" w:name="_Toc411801278"/>
    <w:bookmarkStart w:id="1006" w:name="_Toc411807571"/>
    <w:bookmarkStart w:id="1007" w:name="_Toc411885352"/>
    <w:bookmarkStart w:id="1008" w:name="_Toc411885539"/>
    <w:bookmarkStart w:id="1009" w:name="_Toc411895675"/>
    <w:bookmarkStart w:id="1010" w:name="_Toc412712877"/>
    <w:bookmarkStart w:id="1011" w:name="_Toc412731835"/>
    <w:bookmarkStart w:id="1012" w:name="_Toc412731912"/>
    <w:bookmarkStart w:id="1013" w:name="_Toc412732296"/>
    <w:bookmarkStart w:id="1014" w:name="_Toc508084180"/>
    <w:bookmarkStart w:id="1015" w:name="_Toc508276367"/>
    <w:bookmarkStart w:id="1016" w:name="_Toc508351508"/>
    <w:bookmarkStart w:id="1017" w:name="_Toc511770520"/>
    <w:bookmarkStart w:id="1018" w:name="_Toc511770785"/>
    <w:bookmarkStart w:id="1019" w:name="_Toc514189396"/>
    <w:bookmarkStart w:id="1020" w:name="_Toc514190196"/>
    <w:bookmarkStart w:id="1021" w:name="_Toc536632987"/>
    <w:bookmarkStart w:id="1022" w:name="_Toc536633142"/>
    <w:bookmarkStart w:id="1023" w:name="_Toc536861894"/>
    <w:bookmarkStart w:id="1024" w:name="_Toc536869731"/>
    <w:bookmarkStart w:id="1025" w:name="_Toc536869850"/>
    <w:bookmarkStart w:id="1026" w:name="_Toc102608"/>
    <w:bookmarkStart w:id="1027" w:name="_Toc102685"/>
    <w:bookmarkStart w:id="1028" w:name="_Toc388791"/>
    <w:bookmarkStart w:id="1029" w:name="_Toc389192"/>
    <w:bookmarkStart w:id="1030" w:name="_Toc441235"/>
    <w:bookmarkStart w:id="1031" w:name="_Toc1832716"/>
    <w:bookmarkStart w:id="1032" w:name="_Toc1842893"/>
    <w:bookmarkStart w:id="1033" w:name="_Toc1843460"/>
    <w:bookmarkStart w:id="1034" w:name="_Toc1843619"/>
    <w:bookmarkStart w:id="1035" w:name="_Toc1845113"/>
    <w:bookmarkStart w:id="1036" w:name="_Toc1845565"/>
    <w:bookmarkStart w:id="1037" w:name="_Toc1899649"/>
    <w:bookmarkStart w:id="1038" w:name="_Toc1921569"/>
    <w:bookmarkStart w:id="1039" w:name="_Toc2195939"/>
    <w:bookmarkStart w:id="1040" w:name="_Toc283125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Pr>
        <w:pStyle w:val="style179"/>
        <w:keepNext/>
        <w:numPr>
          <w:ilvl w:val="1"/>
          <w:numId w:val="55"/>
        </w:numPr>
        <w:tabs>
          <w:tab w:val="left" w:leader="none" w:pos="-720"/>
        </w:tabs>
        <w:suppressAutoHyphens/>
        <w:spacing w:lineRule="auto" w:line="276"/>
        <w:outlineLvl w:val="1"/>
        <w:rPr>
          <w:i/>
          <w:vanish/>
          <w:color w:val="000000"/>
          <w:sz w:val="23"/>
          <w:szCs w:val="23"/>
          <w:u w:val="single"/>
        </w:rPr>
      </w:pPr>
    </w:p>
    <w:bookmarkStart w:id="1041" w:name="_Toc411895676"/>
    <w:bookmarkStart w:id="1042" w:name="_Toc412731913"/>
    <w:bookmarkStart w:id="1043" w:name="_Toc412732297"/>
    <w:bookmarkStart w:id="1044" w:name="_Toc514190197"/>
    <w:bookmarkEnd w:id="550"/>
    <w:p>
      <w:pPr>
        <w:pStyle w:val="style4"/>
        <w:numPr>
          <w:ilvl w:val="3"/>
          <w:numId w:val="85"/>
        </w:numPr>
        <w:rPr/>
      </w:pPr>
      <w:r>
        <w:t>Synthèse des rencontres institutionnelles</w:t>
      </w:r>
      <w:bookmarkEnd w:id="1041"/>
      <w:bookmarkEnd w:id="1042"/>
      <w:bookmarkEnd w:id="1043"/>
      <w:bookmarkEnd w:id="1044"/>
    </w:p>
    <w:p>
      <w:pPr>
        <w:pStyle w:val="style0"/>
        <w:rPr/>
      </w:pPr>
      <w:r>
        <w:t xml:space="preserve">Sur le plan de la pertinence du </w:t>
      </w:r>
      <w:r>
        <w:t>PDCA</w:t>
      </w:r>
      <w:r>
        <w:t xml:space="preserve"> et de son acceptabilité, les avis sont concordants quant à sa contribution potentielle à la lutte contre la pauvreté et à booster les activités économiques dans le pays. </w:t>
      </w:r>
      <w:r>
        <w:t>L</w:t>
      </w:r>
      <w:r>
        <w:t xml:space="preserve">es acteurs institutionnels sont d’avis que la vulgarisation des résultats de la recherche </w:t>
      </w:r>
      <w:r>
        <w:t xml:space="preserve">soit une activité importante. </w:t>
      </w:r>
      <w:r>
        <w:t>En sus, l’intervention du pro</w:t>
      </w:r>
      <w:r>
        <w:t xml:space="preserve">gramme </w:t>
      </w:r>
      <w:r>
        <w:t>dans le domaine de la production agricole, mais aussi dans l’élevage va impulser le développement économique et social du pays et cela en accord avec les objectifs du PNDES.</w:t>
      </w:r>
    </w:p>
    <w:p>
      <w:pPr>
        <w:pStyle w:val="style0"/>
        <w:rPr/>
      </w:pPr>
      <w:r>
        <w:t>Cependant, bien que l’unanimité se soit dessinée dans l’acceptation du pro</w:t>
      </w:r>
      <w:r>
        <w:t>gramme</w:t>
      </w:r>
      <w:r>
        <w:t>, de fortes préoccupations et craintes ont été exprimées par des acteurs rencontrés. Il s’agit notamment des points suivants :</w:t>
      </w:r>
    </w:p>
    <w:p>
      <w:pPr>
        <w:pStyle w:val="style0"/>
        <w:numPr>
          <w:ilvl w:val="0"/>
          <w:numId w:val="108"/>
        </w:numPr>
        <w:spacing w:before="0" w:lineRule="auto" w:line="276"/>
        <w:ind w:left="584" w:hanging="227"/>
        <w:rPr>
          <w:szCs w:val="23"/>
        </w:rPr>
      </w:pPr>
      <w:r>
        <w:rPr>
          <w:szCs w:val="23"/>
        </w:rPr>
        <w:t>l’utilisation énorme et non contrôlé</w:t>
      </w:r>
      <w:r>
        <w:rPr>
          <w:szCs w:val="23"/>
        </w:rPr>
        <w:t>e</w:t>
      </w:r>
      <w:r>
        <w:rPr>
          <w:szCs w:val="23"/>
        </w:rPr>
        <w:t xml:space="preserve"> des herbicides dans les zones </w:t>
      </w:r>
      <w:r>
        <w:rPr>
          <w:szCs w:val="23"/>
        </w:rPr>
        <w:t xml:space="preserve">du </w:t>
      </w:r>
      <w:r>
        <w:rPr>
          <w:szCs w:val="23"/>
        </w:rPr>
        <w:t>pro</w:t>
      </w:r>
      <w:r>
        <w:rPr>
          <w:szCs w:val="23"/>
        </w:rPr>
        <w:t>gramme</w:t>
      </w:r>
      <w:r>
        <w:rPr>
          <w:szCs w:val="23"/>
        </w:rPr>
        <w:t> </w:t>
      </w:r>
      <w:r>
        <w:rPr>
          <w:szCs w:val="23"/>
        </w:rPr>
        <w:t>;</w:t>
      </w:r>
    </w:p>
    <w:p>
      <w:pPr>
        <w:pStyle w:val="style0"/>
        <w:numPr>
          <w:ilvl w:val="0"/>
          <w:numId w:val="108"/>
        </w:numPr>
        <w:spacing w:before="0" w:lineRule="auto" w:line="276"/>
        <w:ind w:left="584" w:hanging="227"/>
        <w:rPr>
          <w:szCs w:val="23"/>
        </w:rPr>
      </w:pPr>
      <w:r>
        <w:rPr>
          <w:szCs w:val="23"/>
        </w:rPr>
        <w:t xml:space="preserve">la méconnaissance et le non-respect du cadre règlementaire et des textes relatifs à la protection de l’environnement physique et à la santé des populations, notamment </w:t>
      </w:r>
      <w:r>
        <w:rPr>
          <w:szCs w:val="23"/>
        </w:rPr>
        <w:t xml:space="preserve">l’utilisation des pesticides et à la gestion des pestes ; </w:t>
      </w:r>
    </w:p>
    <w:p>
      <w:pPr>
        <w:pStyle w:val="style0"/>
        <w:numPr>
          <w:ilvl w:val="0"/>
          <w:numId w:val="108"/>
        </w:numPr>
        <w:spacing w:before="0" w:lineRule="auto" w:line="276"/>
        <w:ind w:left="584" w:hanging="227"/>
        <w:rPr>
          <w:szCs w:val="23"/>
        </w:rPr>
      </w:pPr>
      <w:r>
        <w:rPr>
          <w:szCs w:val="23"/>
        </w:rPr>
        <w:t>la méconnaissance des pesticides homologués</w:t>
      </w:r>
      <w:r>
        <w:rPr>
          <w:szCs w:val="23"/>
        </w:rPr>
        <w:t xml:space="preserve"> par plusieurs producteurs et leur coût élevé</w:t>
      </w:r>
      <w:r>
        <w:rPr>
          <w:szCs w:val="23"/>
        </w:rPr>
        <w:t xml:space="preserve"> ;</w:t>
      </w:r>
    </w:p>
    <w:p>
      <w:pPr>
        <w:pStyle w:val="style0"/>
        <w:numPr>
          <w:ilvl w:val="0"/>
          <w:numId w:val="108"/>
        </w:numPr>
        <w:spacing w:before="0" w:lineRule="auto" w:line="276"/>
        <w:ind w:left="584" w:hanging="227"/>
        <w:rPr>
          <w:szCs w:val="23"/>
        </w:rPr>
      </w:pPr>
      <w:r>
        <w:rPr>
          <w:szCs w:val="23"/>
        </w:rPr>
        <w:t>la problématique de l’utilisation et de la gestion des pestes et pesticides ;</w:t>
      </w:r>
    </w:p>
    <w:p>
      <w:pPr>
        <w:pStyle w:val="style0"/>
        <w:numPr>
          <w:ilvl w:val="0"/>
          <w:numId w:val="108"/>
        </w:numPr>
        <w:spacing w:before="0" w:lineRule="auto" w:line="276"/>
        <w:ind w:left="584" w:hanging="227"/>
        <w:rPr>
          <w:szCs w:val="23"/>
        </w:rPr>
      </w:pPr>
      <w:r>
        <w:rPr>
          <w:szCs w:val="23"/>
        </w:rPr>
        <w:t xml:space="preserve">la prise en charge sanitaire des populations en cas d’empoisonnement aux pesticides ; </w:t>
      </w:r>
    </w:p>
    <w:p>
      <w:pPr>
        <w:pStyle w:val="style0"/>
        <w:numPr>
          <w:ilvl w:val="0"/>
          <w:numId w:val="108"/>
        </w:numPr>
        <w:spacing w:before="0" w:lineRule="auto" w:line="276"/>
        <w:ind w:left="584" w:hanging="227"/>
        <w:rPr>
          <w:szCs w:val="23"/>
        </w:rPr>
      </w:pPr>
      <w:r>
        <w:rPr>
          <w:szCs w:val="23"/>
        </w:rPr>
        <w:t xml:space="preserve">le risque de conflits </w:t>
      </w:r>
      <w:r>
        <w:rPr>
          <w:szCs w:val="23"/>
        </w:rPr>
        <w:t xml:space="preserve">entre agriculteurs et éleveurs ; </w:t>
      </w:r>
    </w:p>
    <w:p>
      <w:pPr>
        <w:pStyle w:val="style0"/>
        <w:numPr>
          <w:ilvl w:val="0"/>
          <w:numId w:val="108"/>
        </w:numPr>
        <w:spacing w:before="0" w:lineRule="auto" w:line="276"/>
        <w:ind w:left="584" w:hanging="227"/>
        <w:rPr>
          <w:szCs w:val="23"/>
        </w:rPr>
      </w:pPr>
      <w:r>
        <w:rPr>
          <w:szCs w:val="23"/>
        </w:rPr>
        <w:t>le manque de moyens financiers et logistiques pour la DPVC, ce qui limite quelques fois ces interventions sur le terrain ;</w:t>
      </w:r>
    </w:p>
    <w:p>
      <w:pPr>
        <w:pStyle w:val="style0"/>
        <w:numPr>
          <w:ilvl w:val="0"/>
          <w:numId w:val="108"/>
        </w:numPr>
        <w:spacing w:before="0" w:lineRule="auto" w:line="276"/>
        <w:ind w:left="584" w:hanging="227"/>
        <w:rPr>
          <w:szCs w:val="23"/>
        </w:rPr>
      </w:pPr>
      <w:r>
        <w:rPr>
          <w:szCs w:val="23"/>
        </w:rPr>
        <w:t>les difficultés liées à la mise en œuvre et au s</w:t>
      </w:r>
      <w:r>
        <w:rPr>
          <w:szCs w:val="23"/>
        </w:rPr>
        <w:t>uivi des recommandations du PGP</w:t>
      </w:r>
      <w:r>
        <w:rPr>
          <w:szCs w:val="23"/>
        </w:rPr>
        <w:t> ;</w:t>
      </w:r>
    </w:p>
    <w:p>
      <w:pPr>
        <w:pStyle w:val="style0"/>
        <w:numPr>
          <w:ilvl w:val="0"/>
          <w:numId w:val="108"/>
        </w:numPr>
        <w:spacing w:before="0" w:lineRule="auto" w:line="276"/>
        <w:ind w:left="584" w:hanging="227"/>
        <w:rPr>
          <w:szCs w:val="23"/>
        </w:rPr>
      </w:pPr>
      <w:r>
        <w:rPr>
          <w:szCs w:val="23"/>
        </w:rPr>
        <w:t>la synergie entre acteurs concernés et la bonne coordination des activités.</w:t>
      </w:r>
    </w:p>
    <w:p>
      <w:pPr>
        <w:pStyle w:val="style0"/>
        <w:rPr/>
      </w:pPr>
    </w:p>
    <w:p>
      <w:pPr>
        <w:pStyle w:val="style0"/>
        <w:rPr/>
      </w:pPr>
      <w:r>
        <w:t>Au chapitre des principales suggestions et recommandations retenues à l’issue de la consultation avec les acteurs institutionnels, les points suivants ont été retenus :</w:t>
      </w:r>
    </w:p>
    <w:p>
      <w:pPr>
        <w:pStyle w:val="style0"/>
        <w:numPr>
          <w:ilvl w:val="0"/>
          <w:numId w:val="108"/>
        </w:numPr>
        <w:spacing w:before="0" w:lineRule="auto" w:line="276"/>
        <w:ind w:left="714" w:hanging="357"/>
        <w:rPr>
          <w:szCs w:val="23"/>
        </w:rPr>
      </w:pPr>
      <w:r>
        <w:rPr>
          <w:szCs w:val="23"/>
        </w:rPr>
        <w:t>respecter la règlementation en matière de protection de l’environnement et de la santé humaine (appliquer la législation en la matière, notamment le code de l’’environnement et les textes d’application) ;</w:t>
      </w:r>
    </w:p>
    <w:p>
      <w:pPr>
        <w:pStyle w:val="style0"/>
        <w:numPr>
          <w:ilvl w:val="0"/>
          <w:numId w:val="108"/>
        </w:numPr>
        <w:spacing w:before="0" w:lineRule="auto" w:line="276"/>
        <w:ind w:left="714" w:hanging="357"/>
        <w:rPr>
          <w:szCs w:val="23"/>
        </w:rPr>
      </w:pPr>
      <w:r>
        <w:rPr>
          <w:szCs w:val="23"/>
        </w:rPr>
        <w:t>mener des activités de formation et de sensibilisation de</w:t>
      </w:r>
      <w:r>
        <w:rPr>
          <w:szCs w:val="23"/>
        </w:rPr>
        <w:t>s</w:t>
      </w:r>
      <w:r>
        <w:rPr>
          <w:szCs w:val="23"/>
        </w:rPr>
        <w:t xml:space="preserve"> populations sur les risques environnementaux et sociaux liés à l’utilisation des produits chimiques, notamment les pesticides ; </w:t>
      </w:r>
    </w:p>
    <w:p>
      <w:pPr>
        <w:pStyle w:val="style0"/>
        <w:numPr>
          <w:ilvl w:val="0"/>
          <w:numId w:val="108"/>
        </w:numPr>
        <w:spacing w:before="0" w:lineRule="auto" w:line="276"/>
        <w:ind w:left="714" w:hanging="357"/>
        <w:rPr>
          <w:szCs w:val="23"/>
        </w:rPr>
      </w:pPr>
      <w:r>
        <w:rPr>
          <w:szCs w:val="23"/>
        </w:rPr>
        <w:t>assurer la maîtrise des risques environnementaux et sociaux et le contrôle des pesticides utilisés ;</w:t>
      </w:r>
    </w:p>
    <w:p>
      <w:pPr>
        <w:pStyle w:val="style0"/>
        <w:numPr>
          <w:ilvl w:val="0"/>
          <w:numId w:val="108"/>
        </w:numPr>
        <w:spacing w:before="0" w:lineRule="auto" w:line="276"/>
        <w:ind w:left="714" w:hanging="357"/>
        <w:rPr>
          <w:szCs w:val="23"/>
        </w:rPr>
      </w:pPr>
      <w:r>
        <w:rPr>
          <w:szCs w:val="23"/>
        </w:rPr>
        <w:t xml:space="preserve">sensibiliser les populations sur l’utilisation sécurisée des pesticides et la connaissance des pestes ; </w:t>
      </w:r>
    </w:p>
    <w:p>
      <w:pPr>
        <w:pStyle w:val="style0"/>
        <w:numPr>
          <w:ilvl w:val="0"/>
          <w:numId w:val="108"/>
        </w:numPr>
        <w:spacing w:before="0" w:lineRule="auto" w:line="276"/>
        <w:ind w:left="714" w:hanging="357"/>
        <w:rPr>
          <w:szCs w:val="23"/>
        </w:rPr>
      </w:pPr>
      <w:r>
        <w:rPr>
          <w:szCs w:val="23"/>
        </w:rPr>
        <w:t>réprimer les contrevenants, notamment les vendeurs de produits ne disposant pas d’agréments ou de produits non homologués ;</w:t>
      </w:r>
    </w:p>
    <w:p>
      <w:pPr>
        <w:pStyle w:val="style0"/>
        <w:numPr>
          <w:ilvl w:val="0"/>
          <w:numId w:val="108"/>
        </w:numPr>
        <w:spacing w:before="0" w:lineRule="auto" w:line="276"/>
        <w:ind w:left="714" w:hanging="357"/>
        <w:rPr>
          <w:szCs w:val="23"/>
        </w:rPr>
      </w:pPr>
      <w:r>
        <w:rPr>
          <w:szCs w:val="23"/>
        </w:rPr>
        <w:t>améliorer le traitement des déchets pour réduire les impacts négatifs sur la santé ;</w:t>
      </w:r>
    </w:p>
    <w:p>
      <w:pPr>
        <w:pStyle w:val="style0"/>
        <w:numPr>
          <w:ilvl w:val="0"/>
          <w:numId w:val="108"/>
        </w:numPr>
        <w:spacing w:before="0" w:lineRule="auto" w:line="276"/>
        <w:ind w:left="714" w:hanging="357"/>
        <w:rPr>
          <w:szCs w:val="23"/>
        </w:rPr>
      </w:pPr>
      <w:r>
        <w:rPr>
          <w:szCs w:val="23"/>
        </w:rPr>
        <w:t xml:space="preserve">appuyer les  structures en charge de la lutte contre les nuisibles, notamment la DPVC et au niveau décentralisé ; </w:t>
      </w:r>
    </w:p>
    <w:p>
      <w:pPr>
        <w:pStyle w:val="style0"/>
        <w:numPr>
          <w:ilvl w:val="0"/>
          <w:numId w:val="108"/>
        </w:numPr>
        <w:spacing w:before="0" w:lineRule="auto" w:line="276"/>
        <w:ind w:left="714" w:hanging="357"/>
        <w:rPr>
          <w:szCs w:val="23"/>
        </w:rPr>
      </w:pPr>
      <w:r>
        <w:rPr>
          <w:szCs w:val="23"/>
        </w:rPr>
        <w:t>faciliter l’accès des centre</w:t>
      </w:r>
      <w:r>
        <w:rPr>
          <w:szCs w:val="23"/>
        </w:rPr>
        <w:t>s</w:t>
      </w:r>
      <w:r>
        <w:rPr>
          <w:szCs w:val="23"/>
        </w:rPr>
        <w:t xml:space="preserve"> de santé à des kits pour la prise en charge précoce des cas de contamination / intoxication au</w:t>
      </w:r>
      <w:r>
        <w:rPr>
          <w:szCs w:val="23"/>
        </w:rPr>
        <w:t>x</w:t>
      </w:r>
      <w:r>
        <w:rPr>
          <w:szCs w:val="23"/>
        </w:rPr>
        <w:t xml:space="preserve"> pesticides ; </w:t>
      </w:r>
    </w:p>
    <w:p>
      <w:pPr>
        <w:pStyle w:val="style0"/>
        <w:numPr>
          <w:ilvl w:val="0"/>
          <w:numId w:val="108"/>
        </w:numPr>
        <w:spacing w:before="0" w:lineRule="auto" w:line="276"/>
        <w:ind w:left="714" w:hanging="357"/>
        <w:rPr>
          <w:szCs w:val="23"/>
        </w:rPr>
      </w:pPr>
      <w:r>
        <w:rPr>
          <w:szCs w:val="23"/>
        </w:rPr>
        <w:t xml:space="preserve">renforcer </w:t>
      </w:r>
      <w:r>
        <w:rPr>
          <w:szCs w:val="23"/>
        </w:rPr>
        <w:t>la coordination et la synergie entre les différents acteurs intervenant dans le développement régional dans la mise en œuvre et le suivi des activités du Projet ;</w:t>
      </w:r>
    </w:p>
    <w:p>
      <w:pPr>
        <w:pStyle w:val="style0"/>
        <w:numPr>
          <w:ilvl w:val="0"/>
          <w:numId w:val="108"/>
        </w:numPr>
        <w:spacing w:before="0" w:lineRule="auto" w:line="276"/>
        <w:ind w:left="714" w:hanging="357"/>
        <w:rPr>
          <w:szCs w:val="23"/>
        </w:rPr>
      </w:pPr>
      <w:r>
        <w:rPr>
          <w:szCs w:val="23"/>
        </w:rPr>
        <w:t>a</w:t>
      </w:r>
      <w:r>
        <w:rPr>
          <w:szCs w:val="23"/>
        </w:rPr>
        <w:t xml:space="preserve">ssurer </w:t>
      </w:r>
      <w:r>
        <w:rPr>
          <w:szCs w:val="23"/>
        </w:rPr>
        <w:t>le suivi et le contrôle de l’utilisation des produits chimiques dans l’agriculture et l’élevage ;</w:t>
      </w:r>
    </w:p>
    <w:p>
      <w:pPr>
        <w:pStyle w:val="style0"/>
        <w:numPr>
          <w:ilvl w:val="0"/>
          <w:numId w:val="108"/>
        </w:numPr>
        <w:spacing w:before="0" w:lineRule="auto" w:line="276"/>
        <w:ind w:left="714" w:hanging="357"/>
        <w:rPr>
          <w:szCs w:val="23"/>
        </w:rPr>
      </w:pPr>
      <w:r>
        <w:rPr>
          <w:szCs w:val="23"/>
        </w:rPr>
        <w:t xml:space="preserve">intégrer la gestion durable de l’eau dans le programme. </w:t>
      </w:r>
    </w:p>
    <w:p>
      <w:pPr>
        <w:pStyle w:val="style0"/>
        <w:spacing w:lineRule="auto" w:line="276"/>
        <w:ind w:left="360"/>
        <w:rPr>
          <w:sz w:val="23"/>
          <w:szCs w:val="23"/>
        </w:rPr>
      </w:pPr>
    </w:p>
    <w:bookmarkStart w:id="1045" w:name="_Toc1832718"/>
    <w:bookmarkStart w:id="1046" w:name="_Toc1842895"/>
    <w:bookmarkStart w:id="1047" w:name="_Toc1843462"/>
    <w:bookmarkStart w:id="1048" w:name="_Toc1843621"/>
    <w:bookmarkStart w:id="1049" w:name="_Toc1845114"/>
    <w:bookmarkStart w:id="1050" w:name="_Toc1845566"/>
    <w:bookmarkStart w:id="1051" w:name="_Toc1899650"/>
    <w:bookmarkStart w:id="1052" w:name="_Toc1921570"/>
    <w:bookmarkStart w:id="1053" w:name="_Toc2195940"/>
    <w:bookmarkStart w:id="1054" w:name="_Toc2831252"/>
    <w:bookmarkStart w:id="1055" w:name="_Toc411895677"/>
    <w:bookmarkStart w:id="1056" w:name="_Toc412731914"/>
    <w:bookmarkStart w:id="1057" w:name="_Toc412732298"/>
    <w:bookmarkStart w:id="1058" w:name="_Toc514190198"/>
    <w:bookmarkEnd w:id="1045"/>
    <w:bookmarkEnd w:id="1046"/>
    <w:bookmarkEnd w:id="1047"/>
    <w:bookmarkEnd w:id="1048"/>
    <w:bookmarkEnd w:id="1049"/>
    <w:bookmarkEnd w:id="1050"/>
    <w:bookmarkEnd w:id="1051"/>
    <w:bookmarkEnd w:id="1052"/>
    <w:bookmarkEnd w:id="1053"/>
    <w:bookmarkEnd w:id="1054"/>
    <w:p>
      <w:pPr>
        <w:pStyle w:val="style179"/>
        <w:keepNext/>
        <w:numPr>
          <w:ilvl w:val="0"/>
          <w:numId w:val="34"/>
        </w:numPr>
        <w:spacing w:lineRule="auto" w:line="276"/>
        <w:outlineLvl w:val="2"/>
        <w:rPr>
          <w:b/>
          <w:bCs/>
          <w:vanish/>
          <w:sz w:val="23"/>
          <w:szCs w:val="23"/>
        </w:rPr>
      </w:pPr>
    </w:p>
    <w:bookmarkStart w:id="1059" w:name="_Toc1832719"/>
    <w:bookmarkStart w:id="1060" w:name="_Toc1842896"/>
    <w:bookmarkStart w:id="1061" w:name="_Toc1843463"/>
    <w:bookmarkStart w:id="1062" w:name="_Toc1843622"/>
    <w:bookmarkStart w:id="1063" w:name="_Toc1845115"/>
    <w:bookmarkStart w:id="1064" w:name="_Toc1845567"/>
    <w:bookmarkStart w:id="1065" w:name="_Toc1899651"/>
    <w:bookmarkStart w:id="1066" w:name="_Toc1921571"/>
    <w:bookmarkStart w:id="1067" w:name="_Toc2195941"/>
    <w:bookmarkStart w:id="1068" w:name="_Toc2831253"/>
    <w:bookmarkEnd w:id="1059"/>
    <w:bookmarkEnd w:id="1060"/>
    <w:bookmarkEnd w:id="1061"/>
    <w:bookmarkEnd w:id="1062"/>
    <w:bookmarkEnd w:id="1063"/>
    <w:bookmarkEnd w:id="1064"/>
    <w:bookmarkEnd w:id="1065"/>
    <w:bookmarkEnd w:id="1066"/>
    <w:bookmarkEnd w:id="1067"/>
    <w:bookmarkEnd w:id="1068"/>
    <w:p>
      <w:pPr>
        <w:pStyle w:val="style179"/>
        <w:keepNext/>
        <w:numPr>
          <w:ilvl w:val="1"/>
          <w:numId w:val="34"/>
        </w:numPr>
        <w:spacing w:lineRule="auto" w:line="276"/>
        <w:outlineLvl w:val="2"/>
        <w:rPr>
          <w:b/>
          <w:bCs/>
          <w:vanish/>
          <w:sz w:val="23"/>
          <w:szCs w:val="23"/>
        </w:rPr>
      </w:pPr>
    </w:p>
    <w:bookmarkStart w:id="1069" w:name="_Toc1832720"/>
    <w:bookmarkStart w:id="1070" w:name="_Toc1842897"/>
    <w:bookmarkStart w:id="1071" w:name="_Toc1843464"/>
    <w:bookmarkStart w:id="1072" w:name="_Toc1843623"/>
    <w:bookmarkStart w:id="1073" w:name="_Toc1845116"/>
    <w:bookmarkStart w:id="1074" w:name="_Toc1845568"/>
    <w:bookmarkStart w:id="1075" w:name="_Toc1899652"/>
    <w:bookmarkStart w:id="1076" w:name="_Toc1921572"/>
    <w:bookmarkStart w:id="1077" w:name="_Toc2195942"/>
    <w:bookmarkStart w:id="1078" w:name="_Toc2831254"/>
    <w:bookmarkEnd w:id="1069"/>
    <w:bookmarkEnd w:id="1070"/>
    <w:bookmarkEnd w:id="1071"/>
    <w:bookmarkEnd w:id="1072"/>
    <w:bookmarkEnd w:id="1073"/>
    <w:bookmarkEnd w:id="1074"/>
    <w:bookmarkEnd w:id="1075"/>
    <w:bookmarkEnd w:id="1076"/>
    <w:bookmarkEnd w:id="1077"/>
    <w:bookmarkEnd w:id="1078"/>
    <w:p>
      <w:pPr>
        <w:pStyle w:val="style179"/>
        <w:keepNext/>
        <w:numPr>
          <w:ilvl w:val="2"/>
          <w:numId w:val="34"/>
        </w:numPr>
        <w:spacing w:lineRule="auto" w:line="276"/>
        <w:outlineLvl w:val="2"/>
        <w:rPr>
          <w:b/>
          <w:bCs/>
          <w:vanish/>
          <w:sz w:val="23"/>
          <w:szCs w:val="23"/>
        </w:rPr>
      </w:pPr>
    </w:p>
    <w:p>
      <w:pPr>
        <w:pStyle w:val="style4"/>
        <w:numPr>
          <w:ilvl w:val="3"/>
          <w:numId w:val="85"/>
        </w:numPr>
        <w:rPr/>
      </w:pPr>
      <w:r>
        <w:t>Synthèse de la consultation publique</w:t>
      </w:r>
      <w:bookmarkEnd w:id="1055"/>
      <w:bookmarkEnd w:id="1056"/>
      <w:bookmarkEnd w:id="1057"/>
      <w:bookmarkEnd w:id="1058"/>
    </w:p>
    <w:p>
      <w:pPr>
        <w:pStyle w:val="style0"/>
        <w:rPr/>
      </w:pPr>
      <w:r>
        <w:t xml:space="preserve">Tout comme les acteurs institutionnels, les populations ont également été rencontrées lors des consultations publiques. Ces consultations publiques ont regroupé les organisations de producteurs et des professionnels exerçant dans les secteurs de la production agricole, de l’élevage et de la promotion de la santé. </w:t>
      </w:r>
    </w:p>
    <w:p>
      <w:pPr>
        <w:pStyle w:val="style0"/>
        <w:rPr/>
      </w:pPr>
      <w:r>
        <w:t xml:space="preserve">Au plan de la </w:t>
      </w:r>
      <w:r>
        <w:rPr>
          <w:b/>
          <w:i/>
        </w:rPr>
        <w:t>Perception</w:t>
      </w:r>
      <w:r>
        <w:t xml:space="preserve">, le </w:t>
      </w:r>
      <w:r>
        <w:t xml:space="preserve">programme </w:t>
      </w:r>
      <w:r>
        <w:t xml:space="preserve">est bien accueilli par les populations des zones </w:t>
      </w:r>
      <w:r>
        <w:t>concernées</w:t>
      </w:r>
      <w:r>
        <w:t xml:space="preserve">. Le projet suscite beaucoup d’espoir pour le développement de la production agricole. </w:t>
      </w:r>
    </w:p>
    <w:p>
      <w:pPr>
        <w:pStyle w:val="style0"/>
        <w:rPr/>
      </w:pPr>
      <w:r>
        <w:t xml:space="preserve">Toutefois, les populations ont exprimé leurs craintes et leurs préoccupations quant au processus de mise en œuvre du </w:t>
      </w:r>
      <w:r>
        <w:t xml:space="preserve">programme </w:t>
      </w:r>
      <w:r>
        <w:t xml:space="preserve">dans le domaine de la production agricole et de la lutte contre les ennemis des cultures, le manque de matériel et d’équipement appropriés pour l’application des pesticides, la méconnaissance des ennemis des cultures. </w:t>
      </w:r>
    </w:p>
    <w:p>
      <w:pPr>
        <w:pStyle w:val="style0"/>
        <w:rPr/>
      </w:pPr>
      <w:r>
        <w:t xml:space="preserve">Le </w:t>
      </w:r>
      <w:r>
        <w:rPr>
          <w:b/>
          <w:bCs/>
          <w:i/>
          <w:iCs/>
        </w:rPr>
        <w:t>risque de conflits</w:t>
      </w:r>
      <w:r>
        <w:t xml:space="preserve"> entre éleveurs et agriculteurs en rapport avec la mort d’animaux suite à des intoxications aux pesticides demeure une for</w:t>
      </w:r>
      <w:r>
        <w:t xml:space="preserve">te crainte pour les populations. Cela est lié à </w:t>
      </w:r>
      <w:r>
        <w:t xml:space="preserve">l’utilisation des herbicides </w:t>
      </w:r>
      <w:r>
        <w:t xml:space="preserve">qui </w:t>
      </w:r>
      <w:r>
        <w:t>entrainerait la mort du bétail, les ruminants notamment, avec la consommation d’herbes contaminé</w:t>
      </w:r>
      <w:r>
        <w:t>e</w:t>
      </w:r>
      <w:r>
        <w:t xml:space="preserve">s. </w:t>
      </w:r>
    </w:p>
    <w:p>
      <w:pPr>
        <w:pStyle w:val="style0"/>
        <w:rPr>
          <w:b/>
        </w:rPr>
      </w:pPr>
      <w:r>
        <w:t xml:space="preserve">Ainsi, les </w:t>
      </w:r>
      <w:r>
        <w:rPr>
          <w:b/>
        </w:rPr>
        <w:t xml:space="preserve">suggestions et recommandations </w:t>
      </w:r>
      <w:r>
        <w:t>fortes</w:t>
      </w:r>
      <w:r>
        <w:rPr>
          <w:b/>
        </w:rPr>
        <w:t xml:space="preserve"> </w:t>
      </w:r>
      <w:r>
        <w:t>formulées par les populations à l’issue des consultations comprennent les points suivants :</w:t>
      </w:r>
    </w:p>
    <w:p>
      <w:pPr>
        <w:pStyle w:val="style0"/>
        <w:numPr>
          <w:ilvl w:val="0"/>
          <w:numId w:val="108"/>
        </w:numPr>
        <w:spacing w:before="0"/>
        <w:ind w:left="714" w:hanging="357"/>
        <w:rPr>
          <w:szCs w:val="23"/>
        </w:rPr>
      </w:pPr>
      <w:r>
        <w:rPr>
          <w:szCs w:val="23"/>
        </w:rPr>
        <w:t>éviter</w:t>
      </w:r>
      <w:r>
        <w:rPr>
          <w:szCs w:val="23"/>
        </w:rPr>
        <w:t xml:space="preserve"> </w:t>
      </w:r>
      <w:r>
        <w:rPr>
          <w:szCs w:val="23"/>
        </w:rPr>
        <w:t xml:space="preserve">que ce soit un programme de plus ; </w:t>
      </w:r>
    </w:p>
    <w:p>
      <w:pPr>
        <w:pStyle w:val="style0"/>
        <w:numPr>
          <w:ilvl w:val="0"/>
          <w:numId w:val="108"/>
        </w:numPr>
        <w:spacing w:before="0"/>
        <w:ind w:left="714" w:hanging="357"/>
        <w:rPr>
          <w:szCs w:val="23"/>
        </w:rPr>
      </w:pPr>
      <w:r>
        <w:rPr>
          <w:szCs w:val="23"/>
        </w:rPr>
        <w:t>r</w:t>
      </w:r>
      <w:r>
        <w:rPr>
          <w:szCs w:val="23"/>
        </w:rPr>
        <w:t xml:space="preserve">enforcer </w:t>
      </w:r>
      <w:r>
        <w:rPr>
          <w:szCs w:val="23"/>
        </w:rPr>
        <w:t>les capacités d’intervention des services d’appui à l’agriculture</w:t>
      </w:r>
      <w:r>
        <w:rPr>
          <w:szCs w:val="23"/>
        </w:rPr>
        <w:t> ;</w:t>
      </w:r>
    </w:p>
    <w:p>
      <w:pPr>
        <w:pStyle w:val="style0"/>
        <w:numPr>
          <w:ilvl w:val="0"/>
          <w:numId w:val="108"/>
        </w:numPr>
        <w:spacing w:before="0"/>
        <w:ind w:left="714" w:hanging="357"/>
        <w:rPr>
          <w:szCs w:val="23"/>
        </w:rPr>
      </w:pPr>
      <w:r>
        <w:rPr>
          <w:szCs w:val="23"/>
        </w:rPr>
        <w:t xml:space="preserve">mener des activités de formation et de sensibilisation des agriculteurs et des éleveurs sur les composantes du </w:t>
      </w:r>
      <w:r>
        <w:rPr>
          <w:szCs w:val="23"/>
        </w:rPr>
        <w:t>pro</w:t>
      </w:r>
      <w:r>
        <w:rPr>
          <w:szCs w:val="23"/>
        </w:rPr>
        <w:t>gramme</w:t>
      </w:r>
      <w:r>
        <w:rPr>
          <w:szCs w:val="23"/>
        </w:rPr>
        <w:t> </w:t>
      </w:r>
      <w:r>
        <w:rPr>
          <w:szCs w:val="23"/>
        </w:rPr>
        <w:t>;</w:t>
      </w:r>
    </w:p>
    <w:p>
      <w:pPr>
        <w:pStyle w:val="style0"/>
        <w:numPr>
          <w:ilvl w:val="0"/>
          <w:numId w:val="108"/>
        </w:numPr>
        <w:spacing w:before="0"/>
        <w:ind w:left="714" w:hanging="357"/>
        <w:rPr>
          <w:szCs w:val="23"/>
        </w:rPr>
      </w:pPr>
      <w:r>
        <w:rPr>
          <w:szCs w:val="23"/>
        </w:rPr>
        <w:t xml:space="preserve">mener des activités de formation et de sensibilisation des producteurs sur les ravageurs des cultures ; </w:t>
      </w:r>
    </w:p>
    <w:p>
      <w:pPr>
        <w:pStyle w:val="style0"/>
        <w:numPr>
          <w:ilvl w:val="0"/>
          <w:numId w:val="108"/>
        </w:numPr>
        <w:spacing w:before="0"/>
        <w:ind w:left="714" w:hanging="357"/>
        <w:rPr>
          <w:szCs w:val="23"/>
        </w:rPr>
      </w:pPr>
      <w:r>
        <w:rPr>
          <w:szCs w:val="23"/>
        </w:rPr>
        <w:t xml:space="preserve">mettre en place des mécanismes de financement pour l’acquisition de pesticides de bonne qualité; </w:t>
      </w:r>
    </w:p>
    <w:p>
      <w:pPr>
        <w:pStyle w:val="style0"/>
        <w:numPr>
          <w:ilvl w:val="0"/>
          <w:numId w:val="108"/>
        </w:numPr>
        <w:spacing w:before="0"/>
        <w:ind w:left="714" w:hanging="357"/>
        <w:rPr>
          <w:szCs w:val="23"/>
        </w:rPr>
      </w:pPr>
      <w:r>
        <w:rPr>
          <w:szCs w:val="23"/>
        </w:rPr>
        <w:t>impliquer les organisations et mouvements de jeunes dans les activités de préservation de l’environnement (sensibilisation, reboisement, mobilisation sociale, etc.) et renforcer leurs capacités en matière de gestion environnementale et sociale</w:t>
      </w:r>
      <w:r>
        <w:rPr>
          <w:szCs w:val="23"/>
        </w:rPr>
        <w:t>, souhait émis</w:t>
      </w:r>
      <w:r>
        <w:rPr>
          <w:szCs w:val="23"/>
        </w:rPr>
        <w:t xml:space="preserve"> par la totalité des personnes interrogées. </w:t>
      </w:r>
    </w:p>
    <w:p>
      <w:pPr>
        <w:pStyle w:val="style0"/>
        <w:spacing w:lineRule="auto" w:line="276"/>
        <w:rPr>
          <w:noProof/>
          <w:sz w:val="23"/>
          <w:szCs w:val="23"/>
        </w:rPr>
      </w:pPr>
    </w:p>
    <w:bookmarkStart w:id="1079" w:name="_Toc412731916"/>
    <w:bookmarkStart w:id="1080" w:name="_Toc417653652"/>
    <w:bookmarkStart w:id="1081" w:name="_Toc458331378"/>
    <w:p>
      <w:pPr>
        <w:pStyle w:val="style0"/>
        <w:spacing w:lineRule="auto" w:line="276"/>
        <w:jc w:val="left"/>
        <w:rPr>
          <w:rFonts w:eastAsia="宋体"/>
          <w:b/>
          <w:bCs/>
          <w:color w:val="000000"/>
          <w:sz w:val="23"/>
          <w:szCs w:val="23"/>
        </w:rPr>
      </w:pPr>
      <w:r>
        <w:rPr>
          <w:sz w:val="23"/>
          <w:szCs w:val="23"/>
        </w:rPr>
        <w:br w:type="page"/>
      </w:r>
    </w:p>
    <w:bookmarkStart w:id="1082" w:name="_Toc514190199"/>
    <w:bookmarkStart w:id="1083" w:name="_Toc2831255"/>
    <w:p>
      <w:pPr>
        <w:pStyle w:val="style1"/>
        <w:numPr>
          <w:ilvl w:val="0"/>
          <w:numId w:val="74"/>
        </w:numPr>
        <w:spacing w:lineRule="auto" w:line="276"/>
        <w:rPr>
          <w:caps w:val="false"/>
          <w:sz w:val="23"/>
          <w:szCs w:val="23"/>
        </w:rPr>
      </w:pPr>
      <w:r>
        <w:rPr>
          <w:sz w:val="23"/>
          <w:szCs w:val="23"/>
        </w:rPr>
        <w:t>Conclusion</w:t>
      </w:r>
      <w:bookmarkEnd w:id="1079"/>
      <w:bookmarkEnd w:id="1080"/>
      <w:bookmarkEnd w:id="1081"/>
      <w:bookmarkEnd w:id="1082"/>
      <w:bookmarkEnd w:id="1083"/>
    </w:p>
    <w:p>
      <w:pPr>
        <w:pStyle w:val="style0"/>
        <w:rPr/>
      </w:pPr>
      <w:r>
        <w:rPr>
          <w:noProof/>
          <w:sz w:val="23"/>
          <w:szCs w:val="23"/>
        </w:rPr>
        <w:t xml:space="preserve">Le </w:t>
      </w:r>
      <w:r>
        <w:rPr>
          <w:sz w:val="23"/>
          <w:szCs w:val="23"/>
        </w:rPr>
        <w:t xml:space="preserve">PDCA </w:t>
      </w:r>
      <w:r>
        <w:t xml:space="preserve">a pour </w:t>
      </w:r>
      <w:r>
        <w:rPr>
          <w:b/>
        </w:rPr>
        <w:t>objectif global</w:t>
      </w:r>
      <w:r>
        <w:t xml:space="preserve"> de contribuer à la transformation structurelle du secteur agricole pour booster la croissance économique, améliorer la compétitivité des filières porteuses et assurer de façon durable la sécurité alimentaire et nutritionnelle. Le programme couvrira quatre</w:t>
      </w:r>
      <w:r>
        <w:t xml:space="preserve"> </w:t>
      </w:r>
      <w:r>
        <w:t>(0</w:t>
      </w:r>
      <w:r>
        <w:t>4)</w:t>
      </w:r>
      <w:r>
        <w:t xml:space="preserve"> régions ayant des fortes potentialités en terres aménageables et des retenues d’eau avec pour principales filières ciblées le riz, le maïs, la tomate, l’oignon, et l’arboriculture fruitière.  </w:t>
      </w:r>
    </w:p>
    <w:p>
      <w:pPr>
        <w:pStyle w:val="style0"/>
        <w:rPr/>
      </w:pPr>
      <w:r>
        <w:t xml:space="preserve">L’objectif de développement du PDCA est d’accroître la productivité agricole et l’accès au marché pour les petits producteurs et les petites et moyennes entreprises (PME) dans les chaines de valeur ciblées dans la zone d’intervention du Programme. Il a </w:t>
      </w:r>
      <w:r>
        <w:t>quatre</w:t>
      </w:r>
      <w:r>
        <w:t xml:space="preserve"> </w:t>
      </w:r>
      <w:r>
        <w:t>(0</w:t>
      </w:r>
      <w:r>
        <w:t>4</w:t>
      </w:r>
      <w:r>
        <w:t>)</w:t>
      </w:r>
      <w:r>
        <w:t xml:space="preserve"> </w:t>
      </w:r>
      <w:r>
        <w:t xml:space="preserve">composantes, à savoir : </w:t>
      </w:r>
    </w:p>
    <w:p>
      <w:pPr>
        <w:pStyle w:val="style0"/>
        <w:rPr/>
      </w:pPr>
      <w:r>
        <w:t xml:space="preserve">Composante 1 - appui à l’amélioration de la productivité agricole ; </w:t>
      </w:r>
    </w:p>
    <w:p>
      <w:pPr>
        <w:pStyle w:val="style0"/>
        <w:rPr/>
      </w:pPr>
      <w:r>
        <w:t xml:space="preserve">Composante 2 - amélioration de l’accès au marché </w:t>
      </w:r>
    </w:p>
    <w:p>
      <w:pPr>
        <w:pStyle w:val="style0"/>
        <w:rPr/>
      </w:pPr>
      <w:r>
        <w:t>Composante 3</w:t>
      </w:r>
      <w:r>
        <w:t xml:space="preserve">- </w:t>
      </w:r>
      <w:r>
        <w:t xml:space="preserve">appui aux investissements privés et </w:t>
      </w:r>
    </w:p>
    <w:p>
      <w:pPr>
        <w:pStyle w:val="style0"/>
        <w:rPr/>
      </w:pPr>
      <w:r>
        <w:t xml:space="preserve">Composante </w:t>
      </w:r>
      <w:r>
        <w:t>4</w:t>
      </w:r>
      <w:r>
        <w:t> - prévention et gestion des crises et coordination du Programme.</w:t>
      </w:r>
    </w:p>
    <w:p>
      <w:pPr>
        <w:pStyle w:val="style0"/>
        <w:rPr/>
      </w:pPr>
      <w:r>
        <w:t>La mise en œuvre de ce pro</w:t>
      </w:r>
      <w:r>
        <w:t>gramme</w:t>
      </w:r>
      <w:r>
        <w:t>, entrainera à cou</w:t>
      </w:r>
      <w:r>
        <w:t>p</w:t>
      </w:r>
      <w:r>
        <w:t xml:space="preserve"> sûr l’utilisation de pesticides pour le contrôle des ennemis des cultures.</w:t>
      </w:r>
      <w:r>
        <w:t xml:space="preserve"> C’est ce qui justifie </w:t>
      </w:r>
      <w:r>
        <w:t>la nécessité d’élaborer un PGP, en conformité avec la réglementation nationale et la politique opérationnelle P</w:t>
      </w:r>
      <w:r>
        <w:t>O</w:t>
      </w:r>
      <w:r>
        <w:t>4.09 de la B</w:t>
      </w:r>
      <w:r>
        <w:t>anque mondiale</w:t>
      </w:r>
      <w:r>
        <w:t xml:space="preserve">, partenaire dans la mise en œuvre du </w:t>
      </w:r>
      <w:r>
        <w:t>PDCA</w:t>
      </w:r>
      <w:r>
        <w:t xml:space="preserve">. </w:t>
      </w:r>
    </w:p>
    <w:p>
      <w:pPr>
        <w:pStyle w:val="style0"/>
        <w:rPr/>
      </w:pPr>
      <w:r>
        <w:t>L’analyse de l’état actuel de</w:t>
      </w:r>
      <w:r>
        <w:t xml:space="preserve"> la gestion des pestes et d’utilisation des pesticides </w:t>
      </w:r>
      <w:r>
        <w:t xml:space="preserve">par les producteurs fait ressortir les points suivants : une </w:t>
      </w:r>
      <w:r>
        <w:t xml:space="preserve">insuffisance dans la </w:t>
      </w:r>
      <w:r>
        <w:t xml:space="preserve">connaissance des </w:t>
      </w:r>
      <w:r>
        <w:t xml:space="preserve">ennemis des cultures en général ; une utilisation assez importante de produits non homologués et </w:t>
      </w:r>
      <w:r>
        <w:t>non contrôlée en particulier se traduisant par une application dans des conditions peu respectueuses des normes en la matière, avec un risque élevé pour la contamination des sols, des eaux</w:t>
      </w:r>
      <w:r>
        <w:t>, des animaux</w:t>
      </w:r>
      <w:r>
        <w:t xml:space="preserve"> et même de l’homme (consommateur et producteur). Pour minimiser ces risques, le P</w:t>
      </w:r>
      <w:r>
        <w:t xml:space="preserve">DCA </w:t>
      </w:r>
      <w:r>
        <w:t>devra soutenir l’organisation de séances de vulgarisation de technologies innovantes n’utilisant pas ou très peu de pesticides de synthèse, et ce, en étroite collaboration avec les structures s</w:t>
      </w:r>
      <w:r>
        <w:t>pécialisées des m</w:t>
      </w:r>
      <w:r>
        <w:t>inistères en charge de l’agriculture, de l’e</w:t>
      </w:r>
      <w:r>
        <w:t>nvironnement et de la recherche</w:t>
      </w:r>
      <w:r>
        <w:t xml:space="preserve">. </w:t>
      </w:r>
    </w:p>
    <w:p>
      <w:pPr>
        <w:pStyle w:val="style0"/>
        <w:rPr/>
      </w:pPr>
      <w:r>
        <w:t>Le circuit actuel d’approvisionnement et de distribution des pesticides, bien qu’ayant connu une certaine amélioration, reste pour l’essentiel anarchique et peu respectueux des règles de sécurité. Des produits sont disponibles, mais sont de qualité douteuse avec des origines incertaines. Les structures étatiques en charge du contrôle de l’utilisation des pesticides saisissent des produits contrefaits et non homologués aux frontières et sur les chemins d’entrées officiels. Cependant, et avec la porosité de</w:t>
      </w:r>
      <w:r>
        <w:t>s</w:t>
      </w:r>
      <w:r>
        <w:t xml:space="preserve"> frontières, </w:t>
      </w:r>
      <w:r>
        <w:t xml:space="preserve">dans un contexte d’insécurité, </w:t>
      </w:r>
      <w:r>
        <w:t xml:space="preserve">ces structures manquent de moyens techniques et de ressources humaines notamment en effectif pour couvrir l’ensemble du territoire. De plus, les produits saisis ne sont pas éliminés et viennent grossir la quantité de pesticides obsolètes. </w:t>
      </w:r>
      <w:r>
        <w:t>Q</w:t>
      </w:r>
      <w:r>
        <w:t>uelques vendeurs agréé</w:t>
      </w:r>
      <w:r>
        <w:t>s de pesticides affirment que les producteurs préfèrent acheter des produits non homologués car ils sont moins chers et c’est ce que la plupart des producteurs rencontrés eux-mêmes confirment.</w:t>
      </w:r>
      <w:r>
        <w:t xml:space="preserve"> Aussi, n’est</w:t>
      </w:r>
      <w:r>
        <w:t>-il</w:t>
      </w:r>
      <w:r>
        <w:t xml:space="preserve"> pas rare </w:t>
      </w:r>
      <w:r>
        <w:t>de rencontrer des vendeurs agréé</w:t>
      </w:r>
      <w:r>
        <w:t>s de pesticides, qui vendent des produits non homologués.</w:t>
      </w:r>
      <w:r>
        <w:t xml:space="preserve"> Les ventes se font quelques fois sur la place du marché. Le contrôle de la qualité des pesticides utilisés, et la quantification de leurs résidus dans l’environnement et dans les produits de la récolte ne sont pas systématiques. </w:t>
      </w:r>
      <w:r>
        <w:t>Si des mesures ne sont pas prise</w:t>
      </w:r>
      <w:r>
        <w:t>s</w:t>
      </w:r>
      <w:r>
        <w:t xml:space="preserve"> dans ce sens, cela pourrait compromettre l’accès au marché par le PME. De plus, des</w:t>
      </w:r>
      <w:r>
        <w:t xml:space="preserve"> risques énormes en matière d’achat, de transport et d’utilisation des pesticides existent. Aussi, est-il fortement recommandé que le P</w:t>
      </w:r>
      <w:r>
        <w:t>DCA</w:t>
      </w:r>
      <w:r>
        <w:t xml:space="preserve"> encourage l’implication effective des structures étatiques compétentes dans la gestion des pesticides par un bon suivi-appui des producteurs sur place à travers la signature de protocoles d’accords avec elles. En plus, il est fortement recommandé que le P</w:t>
      </w:r>
      <w:r>
        <w:t xml:space="preserve">DCA </w:t>
      </w:r>
      <w:r>
        <w:t xml:space="preserve">œuvre à la mutualisation des ressources, mais aussi à la planification des activités avec des projets et programmes existants et travaillant dans le même sens tel que le </w:t>
      </w:r>
      <w:r>
        <w:t xml:space="preserve">PTAAO, </w:t>
      </w:r>
      <w:r>
        <w:t>l’AMVS, PARIIS, PPCS et Bagré Pôle.</w:t>
      </w:r>
    </w:p>
    <w:p>
      <w:pPr>
        <w:pStyle w:val="style0"/>
        <w:rPr/>
      </w:pPr>
      <w:r>
        <w:t>L</w:t>
      </w:r>
      <w:r>
        <w:t xml:space="preserve">a lutte contre les ennemis des cultures </w:t>
      </w:r>
      <w:r>
        <w:t xml:space="preserve">reste </w:t>
      </w:r>
      <w:r>
        <w:t xml:space="preserve">une préoccupation pour l’Etat, qui s’évertue à mettre en place un mécanisme de gestion et d’utilisation des pesticides appropriés. Depuis un certain temps, des cliniques des plantes avec des brigadiers phytosanitaires sont installés au niveau des communes, ainsi que les centres régionaux de toxicovigilance des pesticides. Cependant, certains producteurs, mal formés, et ne connaissant pas, pour la plupart les pesticides appropriés appliquent eux-mêmes les produits, avec une utilisation de plus en plus fréquente d’herbicides. Cette </w:t>
      </w:r>
      <w:r>
        <w:t>pratique</w:t>
      </w:r>
      <w:r>
        <w:t xml:space="preserve"> </w:t>
      </w:r>
      <w:r>
        <w:t xml:space="preserve">présente un risque de contamination des sols, de l’air, des ressources en eaux et de la santé humaine. Pour cela, le renforcement des capacités techniques des agents de l’Etat, notamment de la Direction de la Protection des Végétaux et du Conditionnement (DPVC), et l’appui aux cliniques des plantes et aux CRTP pour une mise en œuvre du plan de gestion sécurisée s’avère nécessaire. </w:t>
      </w:r>
    </w:p>
    <w:p>
      <w:pPr>
        <w:pStyle w:val="style0"/>
        <w:rPr/>
      </w:pPr>
      <w:r>
        <w:t xml:space="preserve">Le renforcement des CRTP, système de veille pour la détermination précoce des attaques, et d’autres méthodes de lutte non chimique (utilisation de feuilles et de graines de </w:t>
      </w:r>
      <w:r>
        <w:rPr>
          <w:i/>
        </w:rPr>
        <w:t>Azadirachta indica</w:t>
      </w:r>
      <w:r>
        <w:t xml:space="preserve">) sont fortement recommandées. </w:t>
      </w:r>
    </w:p>
    <w:p>
      <w:pPr>
        <w:pStyle w:val="style0"/>
        <w:rPr/>
      </w:pPr>
      <w:r>
        <w:t>Au terme du présent travail et au regard de l’importance de tout ce qui précède, il s’avère que la mise en œuvre effective du présent plan de gestion des pes</w:t>
      </w:r>
      <w:r>
        <w:t xml:space="preserve">tes </w:t>
      </w:r>
      <w:r>
        <w:t xml:space="preserve">permettra de minimiser les dommages à causer tant à l’environnement biophysique qu’humain. </w:t>
      </w:r>
    </w:p>
    <w:p>
      <w:pPr>
        <w:pStyle w:val="style0"/>
        <w:rPr>
          <w:bCs/>
        </w:rPr>
      </w:pPr>
      <w:r>
        <w:t>Le coû</w:t>
      </w:r>
      <w:r>
        <w:t xml:space="preserve">t prévisionnel des mesures envisagées est estimé à </w:t>
      </w:r>
      <w:r>
        <w:rPr>
          <w:b/>
        </w:rPr>
        <w:t xml:space="preserve">deux cent </w:t>
      </w:r>
      <w:r>
        <w:rPr>
          <w:b/>
        </w:rPr>
        <w:t>quatre vingt</w:t>
      </w:r>
      <w:r>
        <w:rPr>
          <w:b/>
        </w:rPr>
        <w:t>-</w:t>
      </w:r>
      <w:r>
        <w:rPr>
          <w:b/>
        </w:rPr>
        <w:t>seize</w:t>
      </w:r>
      <w:r>
        <w:rPr>
          <w:b/>
        </w:rPr>
        <w:t xml:space="preserve"> </w:t>
      </w:r>
      <w:r>
        <w:rPr>
          <w:b/>
        </w:rPr>
        <w:t xml:space="preserve">millions cinq cent mille </w:t>
      </w:r>
      <w:r>
        <w:t>(</w:t>
      </w:r>
      <w:r>
        <w:t>29</w:t>
      </w:r>
      <w:r>
        <w:t>6</w:t>
      </w:r>
      <w:r>
        <w:t xml:space="preserve"> </w:t>
      </w:r>
      <w:r>
        <w:t>5</w:t>
      </w:r>
      <w:r>
        <w:t>00 000) FCFA</w:t>
      </w:r>
      <w:r>
        <w:rPr>
          <w:b/>
        </w:rPr>
        <w:t xml:space="preserve">. </w:t>
      </w:r>
      <w:r>
        <w:t>Ce budget couvre de gestion des pesticides, le renforcement des capacités des acteurs institutionnels, les besoins en renforcement des capacités des producteurs, l’amélioration des systèmes d’approvisionnement et prend en compte le suivi et l’évaluation de la mise en œuvre du plan.</w:t>
      </w:r>
    </w:p>
    <w:p>
      <w:pPr>
        <w:pStyle w:val="style0"/>
        <w:spacing w:lineRule="auto" w:line="276"/>
        <w:rPr>
          <w:noProof/>
          <w:sz w:val="23"/>
          <w:szCs w:val="23"/>
        </w:rPr>
      </w:pPr>
    </w:p>
    <w:p>
      <w:pPr>
        <w:pStyle w:val="style1"/>
        <w:numPr>
          <w:ilvl w:val="0"/>
          <w:numId w:val="0"/>
        </w:numPr>
        <w:suppressAutoHyphens w:val="false"/>
        <w:rPr>
          <w:sz w:val="24"/>
          <w:szCs w:val="24"/>
        </w:rPr>
      </w:pPr>
    </w:p>
    <w:p>
      <w:pPr>
        <w:pStyle w:val="style0"/>
        <w:rPr/>
      </w:pPr>
    </w:p>
    <w:p>
      <w:pPr>
        <w:pStyle w:val="style0"/>
        <w:rPr/>
      </w:pPr>
    </w:p>
    <w:p>
      <w:pPr>
        <w:pStyle w:val="style0"/>
        <w:rPr/>
      </w:pPr>
    </w:p>
    <w:bookmarkEnd w:id="1"/>
    <w:bookmarkEnd w:id="2"/>
    <w:bookmarkEnd w:id="111"/>
    <w:p>
      <w:pPr>
        <w:pStyle w:val="style0"/>
        <w:rPr/>
        <w:sectPr>
          <w:headerReference w:type="even" r:id="rId42"/>
          <w:headerReference w:type="default" r:id="rId43"/>
          <w:pgSz w:w="12240" w:h="15840" w:orient="portrait"/>
          <w:pgMar w:top="1152" w:right="1440" w:bottom="1152" w:left="1440" w:header="720" w:footer="720" w:gutter="0"/>
          <w:cols w:space="720"/>
          <w:docGrid w:linePitch="360"/>
        </w:sectPr>
      </w:pPr>
    </w:p>
    <w:bookmarkStart w:id="1084" w:name="_Toc2831256"/>
    <w:p>
      <w:pPr>
        <w:pStyle w:val="style1"/>
        <w:numPr>
          <w:ilvl w:val="0"/>
          <w:numId w:val="0"/>
        </w:numPr>
        <w:rPr/>
      </w:pPr>
      <w:r>
        <w:t>REFERENCES BIBLIOGRAPHIQUES</w:t>
      </w:r>
      <w:bookmarkEnd w:id="1084"/>
    </w:p>
    <w:p>
      <w:pPr>
        <w:pStyle w:val="style179"/>
        <w:numPr>
          <w:ilvl w:val="0"/>
          <w:numId w:val="33"/>
        </w:numPr>
        <w:ind w:left="57" w:hanging="357"/>
        <w:rPr/>
      </w:pPr>
      <w:r>
        <w:t>Agriculture et développement (AD), 1998. Numéro hors-série. 12 fiches techniques sur la matière organique en Afrique tropicale. CIRAD-CA. Montpelier France.</w:t>
      </w:r>
    </w:p>
    <w:p>
      <w:pPr>
        <w:pStyle w:val="style179"/>
        <w:numPr>
          <w:ilvl w:val="0"/>
          <w:numId w:val="33"/>
        </w:numPr>
        <w:ind w:left="57" w:hanging="357"/>
        <w:rPr/>
      </w:pPr>
      <w:r>
        <w:rPr>
          <w:bCs/>
        </w:rPr>
        <w:t>André Bélanger St Jean sur le Richelieu, Qué Juin 1990</w:t>
      </w:r>
      <w:r>
        <w:t xml:space="preserve"> - Le danger des pesticides (agriculture Canada station de recherches) </w:t>
      </w:r>
    </w:p>
    <w:p>
      <w:pPr>
        <w:pStyle w:val="style179"/>
        <w:numPr>
          <w:ilvl w:val="0"/>
          <w:numId w:val="33"/>
        </w:numPr>
        <w:ind w:left="57" w:hanging="357"/>
        <w:rPr/>
      </w:pPr>
      <w:r>
        <w:t xml:space="preserve">Appert,J. et Deuse,J.1982. Les ravageurs des cultures vivrières D-P, Maisonneuve et Larose, Paris, France. 420 pp </w:t>
      </w:r>
    </w:p>
    <w:p>
      <w:pPr>
        <w:pStyle w:val="style179"/>
        <w:numPr>
          <w:ilvl w:val="0"/>
          <w:numId w:val="33"/>
        </w:numPr>
        <w:ind w:left="57" w:hanging="357"/>
        <w:rPr/>
      </w:pPr>
      <w:r>
        <w:t>ARFA, 2004. Utilisation des pesticides dans la région est du Burkina Faso : Rapport d'enquête auprès des producteurs cotonniers de dix villages de la province du Gourma. Rapport provisoire, 28 pp.</w:t>
      </w:r>
    </w:p>
    <w:p>
      <w:pPr>
        <w:pStyle w:val="style179"/>
        <w:numPr>
          <w:ilvl w:val="0"/>
          <w:numId w:val="33"/>
        </w:numPr>
        <w:ind w:left="57" w:hanging="357"/>
        <w:rPr/>
      </w:pPr>
      <w:r>
        <w:t>CEDEAO, 2008. Règlement C/REG.3/05/2008 portant harmonisation des règles régissant l’homologation des pesticides dans l’espace CEDEAO ; Soixantième session ordinaire du conseil des ministres, Abuja 17 – 18 mai 2008</w:t>
      </w:r>
    </w:p>
    <w:p>
      <w:pPr>
        <w:pStyle w:val="style179"/>
        <w:numPr>
          <w:ilvl w:val="0"/>
          <w:numId w:val="33"/>
        </w:numPr>
        <w:ind w:left="57" w:hanging="357"/>
        <w:rPr/>
      </w:pPr>
      <w:r>
        <w:t>CEDEAO, 2012. Règlement d’exécution 02/06/12 relatif aux attributions, à l’organisation et au fonctionnement du comité Ouest Africain d’homologation des pesticides</w:t>
      </w:r>
    </w:p>
    <w:p>
      <w:pPr>
        <w:pStyle w:val="style179"/>
        <w:numPr>
          <w:ilvl w:val="0"/>
          <w:numId w:val="33"/>
        </w:numPr>
        <w:ind w:left="57" w:hanging="357"/>
        <w:rPr/>
      </w:pPr>
      <w:r>
        <w:t>CILSS, 1999. Réglementation commune aux Etats membres du CILSS sur l'homologation des pesticides, Version révisée décembre, 27 pp.</w:t>
      </w:r>
    </w:p>
    <w:p>
      <w:pPr>
        <w:pStyle w:val="style179"/>
        <w:numPr>
          <w:ilvl w:val="0"/>
          <w:numId w:val="33"/>
        </w:numPr>
        <w:ind w:left="57" w:hanging="357"/>
        <w:rPr/>
      </w:pPr>
      <w:r>
        <w:rPr>
          <w:bCs/>
        </w:rPr>
        <w:t>CILSS, décembre 1999</w:t>
      </w:r>
      <w:r>
        <w:t xml:space="preserve"> -Réglementation commune aux Etats membres du CILSS sur l’homologation des pesticides /Version révisée </w:t>
      </w:r>
    </w:p>
    <w:p>
      <w:pPr>
        <w:pStyle w:val="style179"/>
        <w:numPr>
          <w:ilvl w:val="0"/>
          <w:numId w:val="33"/>
        </w:numPr>
        <w:ind w:left="57" w:hanging="357"/>
        <w:rPr/>
      </w:pPr>
      <w:r>
        <w:t xml:space="preserve">CNRST, 2007. Gestion </w:t>
      </w:r>
      <w:r>
        <w:rPr>
          <w:bCs/>
        </w:rPr>
        <w:t xml:space="preserve">intégrée </w:t>
      </w:r>
      <w:r>
        <w:t>de la production et des déprédateurs des cultures. Bilan et perspectives au Burkina Faso. Eurêka spécial, n°49.</w:t>
      </w:r>
    </w:p>
    <w:p>
      <w:pPr>
        <w:pStyle w:val="style179"/>
        <w:numPr>
          <w:ilvl w:val="0"/>
          <w:numId w:val="33"/>
        </w:numPr>
        <w:ind w:left="57" w:hanging="357"/>
        <w:rPr/>
      </w:pPr>
      <w:r>
        <w:t xml:space="preserve">COLEACP, 2007. La lutte </w:t>
      </w:r>
      <w:r>
        <w:rPr>
          <w:bCs/>
        </w:rPr>
        <w:t xml:space="preserve">régionale </w:t>
      </w:r>
      <w:r>
        <w:t>contre les mouches des fruits et légumes en Afrique de l'Ouest</w:t>
      </w:r>
    </w:p>
    <w:p>
      <w:pPr>
        <w:pStyle w:val="style179"/>
        <w:numPr>
          <w:ilvl w:val="0"/>
          <w:numId w:val="33"/>
        </w:numPr>
        <w:ind w:left="57" w:hanging="357"/>
        <w:rPr/>
      </w:pPr>
      <w:r>
        <w:rPr>
          <w:bCs/>
          <w:iCs/>
        </w:rPr>
        <w:t>Déhou DAKUO</w:t>
      </w:r>
      <w:r>
        <w:rPr>
          <w:bCs/>
        </w:rPr>
        <w:t xml:space="preserve">, 2012. Un exemple de développement : la culture du coton Bt au Burkina Faso, </w:t>
      </w:r>
      <w:r>
        <w:t>2</w:t>
      </w:r>
      <w:r>
        <w:rPr>
          <w:vertAlign w:val="superscript"/>
        </w:rPr>
        <w:t>ième</w:t>
      </w:r>
      <w:r>
        <w:t xml:space="preserve"> colloque de l’Association Française des Biologies Végétales (AFBV), Paris, 4 octobre 2012</w:t>
      </w:r>
    </w:p>
    <w:p>
      <w:pPr>
        <w:pStyle w:val="style179"/>
        <w:numPr>
          <w:ilvl w:val="0"/>
          <w:numId w:val="33"/>
        </w:numPr>
        <w:ind w:left="57" w:hanging="357"/>
        <w:rPr/>
      </w:pPr>
      <w:r>
        <w:rPr>
          <w:bCs/>
        </w:rPr>
        <w:t>Direction de productions végétales- Service de la Protection des Végétaux et   du contrôle phytosanitaire) Octobre 2000</w:t>
      </w:r>
      <w:r>
        <w:t xml:space="preserve"> - Rapport de présentation des textes législatifs et Réglementaires sur le contrôle des pesticides au Burkina Faso </w:t>
      </w:r>
    </w:p>
    <w:p>
      <w:pPr>
        <w:pStyle w:val="style179"/>
        <w:numPr>
          <w:ilvl w:val="0"/>
          <w:numId w:val="33"/>
        </w:numPr>
        <w:ind w:left="57" w:hanging="357"/>
        <w:rPr>
          <w:lang w:eastAsia="fr-FR"/>
        </w:rPr>
      </w:pPr>
      <w:r>
        <w:t xml:space="preserve">FAO, 2004 : </w:t>
      </w:r>
      <w:r>
        <w:rPr>
          <w:color w:val="000000"/>
          <w:shd w:val="clear" w:color="auto" w:fill="ffffff"/>
          <w:lang w:eastAsia="fr-FR"/>
        </w:rPr>
        <w:t>étude de la situation et de l'évolution</w:t>
      </w:r>
      <w:r>
        <w:rPr>
          <w:color w:val="000000"/>
          <w:lang w:eastAsia="fr-FR"/>
        </w:rPr>
        <w:t xml:space="preserve"> </w:t>
      </w:r>
      <w:r>
        <w:rPr>
          <w:color w:val="000000"/>
          <w:shd w:val="clear" w:color="auto" w:fill="ffffff"/>
          <w:lang w:eastAsia="fr-FR"/>
        </w:rPr>
        <w:t>des systèmes de vulgarisation et d'animation</w:t>
      </w:r>
      <w:r>
        <w:rPr>
          <w:color w:val="000000"/>
          <w:lang w:eastAsia="fr-FR"/>
        </w:rPr>
        <w:t xml:space="preserve"> </w:t>
      </w:r>
      <w:r>
        <w:rPr>
          <w:color w:val="000000"/>
          <w:shd w:val="clear" w:color="auto" w:fill="ffffff"/>
          <w:lang w:eastAsia="fr-FR"/>
        </w:rPr>
        <w:t xml:space="preserve">forestière en Afrique sahélienne, </w:t>
      </w:r>
      <w:r>
        <w:rPr/>
        <w:fldChar w:fldCharType="begin"/>
      </w:r>
      <w:r>
        <w:instrText xml:space="preserve"> HYPERLINK "http://www.fao.org/docrep/009/j2623f/j2623f00.htm" </w:instrText>
      </w:r>
      <w:r>
        <w:rPr/>
        <w:fldChar w:fldCharType="separate"/>
      </w:r>
      <w:r>
        <w:rPr>
          <w:rStyle w:val="style85"/>
          <w:sz w:val="23"/>
          <w:szCs w:val="23"/>
          <w:shd w:val="clear" w:color="auto" w:fill="ffffff"/>
          <w:lang w:eastAsia="fr-FR"/>
        </w:rPr>
        <w:t>http://www.fao.org/docrep/009/j2623f/j2623f00.htm</w:t>
      </w:r>
      <w:r>
        <w:rPr/>
        <w:fldChar w:fldCharType="end"/>
      </w:r>
      <w:r>
        <w:rPr>
          <w:color w:val="000000"/>
          <w:shd w:val="clear" w:color="auto" w:fill="ffffff"/>
          <w:lang w:eastAsia="fr-FR"/>
        </w:rPr>
        <w:t xml:space="preserve"> accédé le 15/05/2018</w:t>
      </w:r>
    </w:p>
    <w:p>
      <w:pPr>
        <w:pStyle w:val="style179"/>
        <w:numPr>
          <w:ilvl w:val="0"/>
          <w:numId w:val="33"/>
        </w:numPr>
        <w:ind w:left="57" w:hanging="357"/>
        <w:rPr/>
      </w:pPr>
      <w:r>
        <w:t>Garba, M., 2011. Zoologie agricole : Généralité sur les oiseaux granivores, Cours de de protection des végétaux pour Ingénieurs, Centre Régional Agrhymet, Niamey, Niger. 38 pp</w:t>
      </w:r>
    </w:p>
    <w:p>
      <w:pPr>
        <w:pStyle w:val="style179"/>
        <w:numPr>
          <w:ilvl w:val="0"/>
          <w:numId w:val="33"/>
        </w:numPr>
        <w:ind w:left="57" w:hanging="357"/>
        <w:rPr/>
      </w:pPr>
      <w:r>
        <w:t>Hassoumiou Moukaïla-2008 “Plan de Gestion des Pestes et Pesticides” – Projet de développement des exportations et des Marchés agro-sylvo-pastoraux</w:t>
      </w:r>
    </w:p>
    <w:p>
      <w:pPr>
        <w:pStyle w:val="style179"/>
        <w:numPr>
          <w:ilvl w:val="0"/>
          <w:numId w:val="33"/>
        </w:numPr>
        <w:ind w:left="57" w:hanging="357"/>
        <w:rPr/>
      </w:pPr>
      <w:r>
        <w:t>Henri Y., 1918. Irrigation et cultures irriguées en Afrique Tropicale. éd. Larose, Paris, 296 p.</w:t>
      </w:r>
    </w:p>
    <w:p>
      <w:pPr>
        <w:pStyle w:val="style179"/>
        <w:numPr>
          <w:ilvl w:val="0"/>
          <w:numId w:val="33"/>
        </w:numPr>
        <w:ind w:left="57" w:hanging="357"/>
        <w:rPr/>
      </w:pPr>
      <w:r>
        <w:t>IFDC, 2011. Etude sur la qualité des pesticides mis sur le marché au Burkina Faso Avril – Mai 2010. Rapport final sous la direction de la consultation de Yacouba Sanou, Adama M. TOE. 2011</w:t>
      </w:r>
    </w:p>
    <w:p>
      <w:pPr>
        <w:pStyle w:val="style179"/>
        <w:numPr>
          <w:ilvl w:val="0"/>
          <w:numId w:val="33"/>
        </w:numPr>
        <w:ind w:left="57" w:hanging="357"/>
        <w:rPr/>
      </w:pPr>
      <w:r>
        <w:t>IPE/Burkina, 2013. Coût de l’inaction de la gestion des produits chimiques dans le secteur minier agricole, Rapport provisoire, Avril 2013</w:t>
      </w:r>
    </w:p>
    <w:p>
      <w:pPr>
        <w:pStyle w:val="style179"/>
        <w:numPr>
          <w:ilvl w:val="0"/>
          <w:numId w:val="33"/>
        </w:numPr>
        <w:ind w:left="57" w:hanging="357"/>
        <w:rPr/>
      </w:pPr>
      <w:r>
        <w:rPr>
          <w:bCs/>
        </w:rPr>
        <w:t>Ministère de l’Agriculture et des Ressources Animales 1996</w:t>
      </w:r>
      <w:r>
        <w:t xml:space="preserve"> - Lettre de politique de développement agricole durable. </w:t>
      </w:r>
    </w:p>
    <w:p>
      <w:pPr>
        <w:pStyle w:val="style179"/>
        <w:numPr>
          <w:ilvl w:val="0"/>
          <w:numId w:val="33"/>
        </w:numPr>
        <w:ind w:left="57" w:hanging="357"/>
        <w:rPr/>
      </w:pPr>
      <w:r>
        <w:t xml:space="preserve">MIR Plus, 2013. Etude d’identification des besoins en renforcement des capacités des Etats membres de la CEDEAO en matière d’homologation des pesticides : Cas spécifique du BURKINA FASO ; Projet conjoint de la CEDEA et de l’UEMOA, mis en œuvre par IFDC, </w:t>
      </w:r>
    </w:p>
    <w:p>
      <w:pPr>
        <w:pStyle w:val="style179"/>
        <w:numPr>
          <w:ilvl w:val="0"/>
          <w:numId w:val="33"/>
        </w:numPr>
        <w:ind w:left="57" w:hanging="357"/>
        <w:rPr/>
      </w:pPr>
      <w:r>
        <w:t>Pare S. 2013, Capacités nationales pour la gestion des pesticides dans certains pays d’Afrique de l’Ouest, Cas du Burkina Faso, Initiative 2012 de gestion des pesticides de la FAO/SFW</w:t>
      </w:r>
    </w:p>
    <w:p>
      <w:pPr>
        <w:pStyle w:val="style179"/>
        <w:numPr>
          <w:ilvl w:val="0"/>
          <w:numId w:val="33"/>
        </w:numPr>
        <w:ind w:left="57" w:hanging="357"/>
        <w:rPr/>
      </w:pPr>
      <w:r>
        <w:t>Pare S. 2014, Plan de Gestion des Pestes et Pesticides, Projet d’Amélioration de la Productivité et de la Sécurité Alimentaire (PAPSA), 65 pp</w:t>
      </w:r>
    </w:p>
    <w:p>
      <w:pPr>
        <w:pStyle w:val="style179"/>
        <w:numPr>
          <w:ilvl w:val="0"/>
          <w:numId w:val="33"/>
        </w:numPr>
        <w:ind w:left="57" w:hanging="357"/>
        <w:rPr/>
      </w:pPr>
      <w:r>
        <w:t>Paré S. et Toé A. M., 2011. Plan de lutte anti parasitaire et de gestion des pesticides ; Projet pole de croissance de Bagré (PPCB), Burkina Faso, 143 pp</w:t>
      </w:r>
    </w:p>
    <w:p>
      <w:pPr>
        <w:pStyle w:val="style179"/>
        <w:numPr>
          <w:ilvl w:val="0"/>
          <w:numId w:val="33"/>
        </w:numPr>
        <w:ind w:left="57" w:hanging="357"/>
        <w:rPr/>
      </w:pPr>
      <w:r>
        <w:t>PARE S., 2015. Plan de gestion des pestes et pesticides, Projet Pôle de Croissance du Sahel</w:t>
      </w:r>
    </w:p>
    <w:p>
      <w:pPr>
        <w:pStyle w:val="style179"/>
        <w:numPr>
          <w:ilvl w:val="0"/>
          <w:numId w:val="33"/>
        </w:numPr>
        <w:ind w:left="57" w:hanging="357"/>
        <w:rPr/>
      </w:pPr>
      <w:r>
        <w:t>PARE S., 2016. Projet Régional d’Appui à l’Initiative pour l’Irrigation au Sahel (PARIIS), 85 pp</w:t>
      </w:r>
    </w:p>
    <w:p>
      <w:pPr>
        <w:pStyle w:val="style179"/>
        <w:numPr>
          <w:ilvl w:val="0"/>
          <w:numId w:val="33"/>
        </w:numPr>
        <w:ind w:left="57" w:hanging="357"/>
        <w:rPr/>
      </w:pPr>
      <w:r>
        <w:t>Peter TON, 2006. Promouvoir la production plus durable de coton : Possibilités au Burkina Faso et au Mali ; Rapport final ; Initiative conjointe FAO-PNUE ; "Accroître les bénéfices environnementaux et le volume de la production durable de coton en Afrique de l’Ouest : une approche de marché", 70 pp</w:t>
      </w:r>
    </w:p>
    <w:p>
      <w:pPr>
        <w:pStyle w:val="style179"/>
        <w:numPr>
          <w:ilvl w:val="0"/>
          <w:numId w:val="33"/>
        </w:numPr>
        <w:ind w:left="57" w:hanging="357"/>
        <w:rPr/>
      </w:pPr>
      <w:r>
        <w:t>Projet BKF / 03 / G31, 2005. Plan national de mise en œuvre de la convention de Stockholm sur les polluants organiques persistants (PoPs) ; Rapport d’inventaire des pesticides POPs au Burkina Faso, 75 pp</w:t>
      </w:r>
    </w:p>
    <w:p>
      <w:pPr>
        <w:pStyle w:val="style179"/>
        <w:numPr>
          <w:ilvl w:val="0"/>
          <w:numId w:val="33"/>
        </w:numPr>
        <w:ind w:left="57" w:hanging="357"/>
        <w:rPr/>
      </w:pPr>
      <w:r>
        <w:rPr>
          <w:bCs/>
        </w:rPr>
        <w:t>Sanou Yacouba, 1996- DPVC /</w:t>
      </w:r>
      <w:r>
        <w:t xml:space="preserve"> La législation sur les pesticides au Burkina Faso </w:t>
      </w:r>
    </w:p>
    <w:p>
      <w:pPr>
        <w:pStyle w:val="style179"/>
        <w:numPr>
          <w:ilvl w:val="0"/>
          <w:numId w:val="33"/>
        </w:numPr>
        <w:ind w:left="57" w:hanging="357"/>
        <w:rPr/>
      </w:pPr>
      <w:r>
        <w:rPr>
          <w:bCs/>
          <w:color w:val="000000"/>
        </w:rPr>
        <w:t xml:space="preserve">Toé </w:t>
      </w:r>
      <w:r>
        <w:rPr>
          <w:bCs/>
        </w:rPr>
        <w:t xml:space="preserve">A.M, </w:t>
      </w:r>
      <w:r>
        <w:t>Kinané M.L., Koné S., Sanfo – Boyam E</w:t>
      </w:r>
      <w:r>
        <w:rPr>
          <w:bCs/>
        </w:rPr>
        <w:t>.</w:t>
      </w:r>
      <w:r>
        <w:rPr>
          <w:b/>
          <w:bCs/>
        </w:rPr>
        <w:t xml:space="preserve"> </w:t>
      </w:r>
      <w:r>
        <w:t xml:space="preserve">Le non-respect des bonnes pratiques agricoles dans l’utilisation de l’endosulfan comme insecticide en culture cotonnière au Burkina Faso : quelques conséquences pour la santé humaine et l’environnement. </w:t>
      </w:r>
      <w:r>
        <w:rPr>
          <w:i/>
          <w:iCs/>
        </w:rPr>
        <w:t>RASPA</w:t>
      </w:r>
      <w:r>
        <w:t>, 2004, vol. 2, N°3-4, 275-280p.</w:t>
      </w:r>
    </w:p>
    <w:p>
      <w:pPr>
        <w:pStyle w:val="style179"/>
        <w:numPr>
          <w:ilvl w:val="0"/>
          <w:numId w:val="33"/>
        </w:numPr>
        <w:ind w:left="57" w:hanging="357"/>
        <w:rPr>
          <w:iCs/>
          <w:color w:val="000000"/>
        </w:rPr>
      </w:pPr>
      <w:r>
        <w:rPr>
          <w:bCs/>
          <w:color w:val="000000"/>
        </w:rPr>
        <w:t>TOE A.M</w:t>
      </w:r>
      <w:r>
        <w:rPr>
          <w:color w:val="000000"/>
        </w:rPr>
        <w:t>. Rapport de consultation : </w:t>
      </w:r>
      <w:r>
        <w:t xml:space="preserve">Évaluation de l’impact environnemental de la lutte antiacridienne de 2004 et proposition de plan d’action pour 2005. Ministère de l’Agriculture, de l’Hydraulique et des Ressources Halieutiques/Banque Mondiale. </w:t>
      </w:r>
      <w:r>
        <w:rPr>
          <w:iCs/>
          <w:color w:val="000000"/>
        </w:rPr>
        <w:t>Ouagadougou Juin-Août 2005, 39 pages sans les annexes.</w:t>
      </w:r>
    </w:p>
    <w:p>
      <w:pPr>
        <w:pStyle w:val="style179"/>
        <w:numPr>
          <w:ilvl w:val="0"/>
          <w:numId w:val="33"/>
        </w:numPr>
        <w:ind w:left="57" w:hanging="357"/>
        <w:rPr>
          <w:bCs/>
          <w:vertAlign w:val="superscript"/>
        </w:rPr>
      </w:pPr>
      <w:r>
        <w:rPr>
          <w:bCs/>
          <w:color w:val="000000"/>
        </w:rPr>
        <w:t>Toé A.M.</w:t>
      </w:r>
      <w:r>
        <w:rPr>
          <w:bCs/>
        </w:rPr>
        <w:t xml:space="preserve">, Coulibaly M. </w:t>
      </w:r>
      <w:r>
        <w:t>Évaluation des effets des pesticides en lutte antiacridienne sur la santé des populations et sur l’environnement au Burkina Faso</w:t>
      </w:r>
      <w:r>
        <w:rPr>
          <w:color w:val="000000"/>
        </w:rPr>
        <w:t>. Études et Recherches Sahéliennes, numéro 13 Juillet-Décembre 2006, 7-20.</w:t>
      </w:r>
    </w:p>
    <w:p>
      <w:pPr>
        <w:pStyle w:val="style179"/>
        <w:numPr>
          <w:ilvl w:val="0"/>
          <w:numId w:val="33"/>
        </w:numPr>
        <w:ind w:left="57" w:hanging="357"/>
        <w:rPr/>
      </w:pPr>
      <w:r>
        <w:t>Toé A.M., Guissou I.P, Ouédraogo J.B., Zongo I, Ouédraogo M., Traoré S. et Ilboudo S., 2010. Rapport final de l'étude du risque toxique lié à l'utilisation des pesticides en lutte antiacridienne dans la région du sahel au Burkina Faso. Janvier 2010. 66p.</w:t>
      </w:r>
    </w:p>
    <w:p>
      <w:pPr>
        <w:pStyle w:val="style179"/>
        <w:numPr>
          <w:ilvl w:val="0"/>
          <w:numId w:val="33"/>
        </w:numPr>
        <w:ind w:left="57" w:hanging="357"/>
        <w:rPr>
          <w:lang w:val="en-US"/>
        </w:rPr>
      </w:pPr>
      <w:r>
        <w:t xml:space="preserve">Toé A.M., Guissou I.P, Ouédraogo M., et Ilboudo S., 2011. Protocole de suivi sanitaire des applicateurs des insecticides de lutte antiacridienne. </w:t>
      </w:r>
      <w:r>
        <w:rPr>
          <w:lang w:val="en-US"/>
        </w:rPr>
        <w:t>Mars 2011</w:t>
      </w:r>
    </w:p>
    <w:p>
      <w:pPr>
        <w:pStyle w:val="style179"/>
        <w:numPr>
          <w:ilvl w:val="0"/>
          <w:numId w:val="33"/>
        </w:numPr>
        <w:ind w:left="57" w:hanging="357"/>
        <w:rPr/>
      </w:pPr>
      <w:r>
        <w:rPr>
          <w:lang w:val="en-US"/>
        </w:rPr>
        <w:t xml:space="preserve">Toé A.M., M.L. Kinane, S. Kone, E. Sanfo-Boyarm, 2004. </w:t>
      </w:r>
      <w:r>
        <w:t>Le non-respect des bonnes pratiques agricoles dans l'utilisation de l'endosulfan comme insecticide en culture cotonnière au Burkina Faso : quelques conséquences pour la santé humaine et l'environnement. Revue Africaine de Santé et de Productions Animales, vol. 2, N°3-4, 275-280p</w:t>
      </w:r>
    </w:p>
    <w:p>
      <w:pPr>
        <w:pStyle w:val="style179"/>
        <w:numPr>
          <w:ilvl w:val="0"/>
          <w:numId w:val="33"/>
        </w:numPr>
        <w:ind w:left="57" w:hanging="357"/>
        <w:rPr/>
      </w:pPr>
      <w:r>
        <w:t>Traoré K., Ouédraogo S. N., 2012. Inventaire et analyse des technologies et d'innovations dans le domaine de la Gestion Intégrée de la Production et des Déprédateurs (GIPD), Programme d'adoption accélérée de technologies et innovations agricoles et agro-alimentaires (PAATIAA), TCP/BKF/3303 BABY02, Juin 2012, 158pp</w:t>
      </w:r>
    </w:p>
    <w:p>
      <w:pPr>
        <w:pStyle w:val="style179"/>
        <w:numPr>
          <w:ilvl w:val="0"/>
          <w:numId w:val="33"/>
        </w:numPr>
        <w:ind w:left="57" w:hanging="357"/>
        <w:rPr/>
      </w:pPr>
      <w:r>
        <w:rPr>
          <w:lang w:val="fr-CA"/>
        </w:rPr>
        <w:t xml:space="preserve">Treca, B., Ndiaye, A.B., Manikowski, S. 1997. </w:t>
      </w:r>
      <w:r>
        <w:t>Oiseaux déprédateurs des cultures au sahel, Institut du Sahel- CTA, Paris France. 45 pp</w:t>
      </w:r>
    </w:p>
    <w:p>
      <w:pPr>
        <w:pStyle w:val="style179"/>
        <w:numPr>
          <w:ilvl w:val="0"/>
          <w:numId w:val="33"/>
        </w:numPr>
        <w:ind w:left="57" w:hanging="357"/>
        <w:rPr>
          <w:lang w:eastAsia="fr-FR"/>
        </w:rPr>
      </w:pPr>
      <w:r>
        <w:t>UICN, 2O1O. Evaluation juridique et institutionnelle pour la mise en place des conditions d’améliorations de la gestion des aires protégées de l’Afrique de l’Ouest</w:t>
      </w:r>
    </w:p>
    <w:p>
      <w:pPr>
        <w:pStyle w:val="style179"/>
        <w:numPr>
          <w:ilvl w:val="0"/>
          <w:numId w:val="33"/>
        </w:numPr>
        <w:ind w:left="57" w:hanging="357"/>
        <w:rPr/>
      </w:pPr>
      <w:r>
        <w:rPr>
          <w:lang w:val="en-US"/>
        </w:rPr>
        <w:t>V</w:t>
      </w:r>
      <w:r>
        <w:rPr>
          <w:lang w:val="en-US"/>
        </w:rPr>
        <w:t xml:space="preserve">an Der Valk H., Diarra A., 2000. Pesticide use and management in the African Sahel-An overview. </w:t>
      </w:r>
      <w:r>
        <w:t>Etudes et Recherches Sahéliennes numéro 4-5 Janvier-Décembre 2000, p13-27. Numéro spécial. Les pesticides au Sahel. Utilisation, Impact et Alternatives</w:t>
      </w:r>
    </w:p>
    <w:p>
      <w:pPr>
        <w:pStyle w:val="style0"/>
        <w:ind w:left="57"/>
        <w:rPr/>
      </w:pPr>
    </w:p>
    <w:p>
      <w:pPr>
        <w:pStyle w:val="style0"/>
        <w:rPr/>
      </w:pPr>
    </w:p>
    <w:p>
      <w:pPr>
        <w:pStyle w:val="style0"/>
        <w:spacing w:before="0"/>
        <w:jc w:val="left"/>
        <w:rPr/>
        <w:sectPr>
          <w:pgSz w:w="12240" w:h="15840" w:orient="portrait"/>
          <w:pgMar w:top="1152" w:right="1440" w:bottom="1152" w:left="1440" w:header="720" w:footer="720" w:gutter="0"/>
          <w:cols w:space="720"/>
          <w:docGrid w:linePitch="360"/>
        </w:sectPr>
      </w:pPr>
    </w:p>
    <w:bookmarkStart w:id="1085" w:name="_Toc2831257"/>
    <w:p>
      <w:pPr>
        <w:pStyle w:val="style1"/>
        <w:numPr>
          <w:ilvl w:val="0"/>
          <w:numId w:val="0"/>
        </w:numPr>
        <w:rPr/>
      </w:pPr>
      <w:r>
        <w:t>Annexes</w:t>
      </w:r>
      <w:bookmarkEnd w:id="1085"/>
    </w:p>
    <w:bookmarkStart w:id="1086" w:name="_Toc2831258"/>
    <w:p>
      <w:pPr>
        <w:pStyle w:val="style2"/>
        <w:numPr>
          <w:ilvl w:val="0"/>
          <w:numId w:val="0"/>
        </w:numPr>
        <w:ind w:left="699"/>
        <w:rPr/>
      </w:pPr>
      <w:r>
        <w:t>Annexe 1 : Liste des pesticides approuvés pour l’importation et l’utilisation dans le pays</w:t>
      </w:r>
      <w:bookmarkEnd w:id="1086"/>
    </w:p>
    <w:p>
      <w:pPr>
        <w:pStyle w:val="style0"/>
        <w:rPr/>
      </w:pPr>
      <w:r>
        <w:t xml:space="preserve">Extrait </w:t>
      </w:r>
      <w:r>
        <w:t>des listes autorisées</w:t>
      </w:r>
      <w:r>
        <w:t xml:space="preserve"> par le CSP, version mai 2018</w:t>
      </w:r>
    </w:p>
    <w:p>
      <w:pPr>
        <w:pStyle w:val="style0"/>
        <w:rPr/>
      </w:pPr>
      <w:r>
        <w:rPr>
          <w:noProof/>
          <w:lang w:eastAsia="fr-FR"/>
        </w:rPr>
        <w:drawing>
          <wp:inline distT="0" distR="0" distL="0" distB="0">
            <wp:extent cx="8678089" cy="4932000"/>
            <wp:effectExtent l="0" t="0" r="8890" b="0"/>
            <wp:docPr id="1061" name="Imag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Image 25"/>
                    <pic:cNvPicPr/>
                  </pic:nvPicPr>
                  <pic:blipFill>
                    <a:blip r:embed="rId44" cstate="print"/>
                    <a:srcRect l="0" t="0" r="0" b="0"/>
                    <a:stretch/>
                  </pic:blipFill>
                  <pic:spPr>
                    <a:xfrm rot="0">
                      <a:off x="0" y="0"/>
                      <a:ext cx="8678089" cy="4932000"/>
                    </a:xfrm>
                    <a:prstGeom prst="rect"/>
                  </pic:spPr>
                </pic:pic>
              </a:graphicData>
            </a:graphic>
          </wp:inline>
        </w:drawing>
      </w:r>
    </w:p>
    <w:p>
      <w:pPr>
        <w:pStyle w:val="style0"/>
        <w:rPr/>
      </w:pPr>
    </w:p>
    <w:p>
      <w:pPr>
        <w:pStyle w:val="style0"/>
        <w:rPr/>
      </w:pPr>
      <w:r>
        <w:rPr>
          <w:noProof/>
          <w:lang w:eastAsia="fr-FR"/>
        </w:rPr>
        <w:drawing>
          <wp:inline distT="0" distR="0" distL="0" distB="0">
            <wp:extent cx="8893810" cy="5114925"/>
            <wp:effectExtent l="0" t="0" r="0" b="0"/>
            <wp:docPr id="1062" name="Image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Image 26"/>
                    <pic:cNvPicPr/>
                  </pic:nvPicPr>
                  <pic:blipFill>
                    <a:blip r:embed="rId45" cstate="print"/>
                    <a:srcRect l="0" t="0" r="0" b="0"/>
                    <a:stretch/>
                  </pic:blipFill>
                  <pic:spPr>
                    <a:xfrm rot="0">
                      <a:off x="0" y="0"/>
                      <a:ext cx="8893810" cy="5114925"/>
                    </a:xfrm>
                    <a:prstGeom prst="rect"/>
                  </pic:spPr>
                </pic:pic>
              </a:graphicData>
            </a:graphic>
          </wp:inline>
        </w:drawing>
      </w:r>
    </w:p>
    <w:p>
      <w:pPr>
        <w:pStyle w:val="style0"/>
        <w:rPr/>
        <w:sectPr>
          <w:pgSz w:w="15840" w:h="12240" w:orient="landscape"/>
          <w:pgMar w:top="1440" w:right="1152" w:bottom="1440" w:left="1152" w:header="720" w:footer="720" w:gutter="0"/>
          <w:cols w:space="720"/>
          <w:docGrid w:linePitch="360"/>
        </w:sectPr>
      </w:pPr>
    </w:p>
    <w:bookmarkStart w:id="1087" w:name="_Toc2831259"/>
    <w:p>
      <w:pPr>
        <w:pStyle w:val="style2"/>
        <w:numPr>
          <w:ilvl w:val="0"/>
          <w:numId w:val="0"/>
        </w:numPr>
        <w:rPr/>
      </w:pPr>
      <w:r>
        <w:t xml:space="preserve">Annexe 2 : </w:t>
      </w:r>
      <w:r>
        <w:t>P</w:t>
      </w:r>
      <w:r>
        <w:t>r</w:t>
      </w:r>
      <w:r>
        <w:t>incipes de base pour la gestion intégrée des pestes</w:t>
      </w:r>
      <w:bookmarkEnd w:id="1087"/>
    </w:p>
    <w:p>
      <w:pPr>
        <w:pStyle w:val="style0"/>
        <w:rPr>
          <w:sz w:val="23"/>
          <w:szCs w:val="23"/>
        </w:rPr>
      </w:pPr>
    </w:p>
    <w:tbl>
      <w:tblPr>
        <w:tblW w:w="10232" w:type="dxa"/>
        <w:jc w:val="center"/>
        <w:tblLook w:val="04A0" w:firstRow="1" w:lastRow="0" w:firstColumn="1" w:lastColumn="0" w:noHBand="0" w:noVBand="1"/>
      </w:tblPr>
      <w:tblGrid>
        <w:gridCol w:w="1597"/>
        <w:gridCol w:w="4795"/>
        <w:gridCol w:w="3840"/>
      </w:tblGrid>
      <w:tr>
        <w:trPr>
          <w:tblHeader/>
          <w:jc w:val="center"/>
        </w:trPr>
        <w:tc>
          <w:tcPr>
            <w:tcW w:w="1597" w:type="dxa"/>
            <w:tcBorders/>
          </w:tcPr>
          <w:p>
            <w:pPr>
              <w:pStyle w:val="style0"/>
              <w:autoSpaceDE w:val="false"/>
              <w:autoSpaceDN w:val="false"/>
              <w:adjustRightInd w:val="false"/>
              <w:spacing w:before="0"/>
              <w:jc w:val="center"/>
              <w:rPr>
                <w:color w:val="000000"/>
                <w:sz w:val="22"/>
                <w:szCs w:val="22"/>
                <w:lang w:val="en-US"/>
              </w:rPr>
            </w:pPr>
            <w:r>
              <w:rPr>
                <w:b/>
                <w:bCs/>
                <w:color w:val="000000"/>
                <w:sz w:val="22"/>
                <w:szCs w:val="22"/>
                <w:lang w:val="en-US"/>
              </w:rPr>
              <w:t>PRINCIPES</w:t>
            </w:r>
          </w:p>
        </w:tc>
        <w:tc>
          <w:tcPr>
            <w:tcW w:w="4795" w:type="dxa"/>
            <w:tcBorders/>
          </w:tcPr>
          <w:p>
            <w:pPr>
              <w:pStyle w:val="style0"/>
              <w:autoSpaceDE w:val="false"/>
              <w:autoSpaceDN w:val="false"/>
              <w:adjustRightInd w:val="false"/>
              <w:spacing w:before="0"/>
              <w:jc w:val="center"/>
              <w:rPr>
                <w:color w:val="000000"/>
                <w:sz w:val="22"/>
                <w:szCs w:val="22"/>
                <w:lang w:val="en-US"/>
              </w:rPr>
            </w:pPr>
            <w:r>
              <w:rPr>
                <w:b/>
                <w:bCs/>
                <w:color w:val="000000"/>
                <w:sz w:val="22"/>
                <w:szCs w:val="22"/>
                <w:lang w:val="en-US"/>
              </w:rPr>
              <w:t>MISE EN OEUVRE</w:t>
            </w:r>
          </w:p>
        </w:tc>
        <w:tc>
          <w:tcPr>
            <w:tcW w:w="3840" w:type="dxa"/>
            <w:tcBorders/>
          </w:tcPr>
          <w:p>
            <w:pPr>
              <w:pStyle w:val="style0"/>
              <w:autoSpaceDE w:val="false"/>
              <w:autoSpaceDN w:val="false"/>
              <w:adjustRightInd w:val="false"/>
              <w:spacing w:before="0"/>
              <w:jc w:val="center"/>
              <w:rPr>
                <w:color w:val="000000"/>
                <w:sz w:val="22"/>
                <w:szCs w:val="22"/>
                <w:lang w:val="en-US"/>
              </w:rPr>
            </w:pPr>
            <w:r>
              <w:rPr>
                <w:b/>
                <w:bCs/>
                <w:color w:val="000000"/>
                <w:sz w:val="22"/>
                <w:szCs w:val="22"/>
                <w:lang w:val="en-US"/>
              </w:rPr>
              <w:t>RESULTATS</w:t>
            </w:r>
          </w:p>
        </w:tc>
      </w:tr>
      <w:tr>
        <w:tblPrEx/>
        <w:trPr>
          <w:jc w:val="center"/>
        </w:trPr>
        <w:tc>
          <w:tcPr>
            <w:tcW w:w="1597" w:type="dxa"/>
            <w:tcBorders/>
          </w:tcPr>
          <w:p>
            <w:pPr>
              <w:pStyle w:val="style0"/>
              <w:autoSpaceDE w:val="false"/>
              <w:autoSpaceDN w:val="false"/>
              <w:adjustRightInd w:val="false"/>
              <w:spacing w:before="0"/>
              <w:rPr>
                <w:color w:val="000000"/>
                <w:sz w:val="22"/>
                <w:szCs w:val="22"/>
              </w:rPr>
            </w:pPr>
            <w:r>
              <w:rPr>
                <w:b/>
                <w:bCs/>
                <w:color w:val="000000"/>
                <w:sz w:val="22"/>
                <w:szCs w:val="22"/>
              </w:rPr>
              <w:t>PRINCIPE 1</w:t>
            </w:r>
          </w:p>
          <w:p>
            <w:pPr>
              <w:pStyle w:val="style0"/>
              <w:autoSpaceDE w:val="false"/>
              <w:autoSpaceDN w:val="false"/>
              <w:adjustRightInd w:val="false"/>
              <w:spacing w:before="0"/>
              <w:rPr>
                <w:color w:val="000000"/>
                <w:sz w:val="22"/>
                <w:szCs w:val="22"/>
              </w:rPr>
            </w:pPr>
            <w:r>
              <w:rPr>
                <w:color w:val="000000"/>
                <w:sz w:val="22"/>
                <w:szCs w:val="22"/>
              </w:rPr>
              <w:t>Obtenir et planter du matériel de plantation de qualité</w:t>
            </w:r>
          </w:p>
        </w:tc>
        <w:tc>
          <w:tcPr>
            <w:tcW w:w="4795" w:type="dxa"/>
            <w:tcBorders/>
          </w:tcPr>
          <w:p>
            <w:pPr>
              <w:pStyle w:val="style0"/>
              <w:autoSpaceDE w:val="false"/>
              <w:autoSpaceDN w:val="false"/>
              <w:adjustRightInd w:val="false"/>
              <w:spacing w:before="0"/>
              <w:rPr>
                <w:color w:val="000000"/>
                <w:sz w:val="22"/>
                <w:szCs w:val="22"/>
                <w:lang w:val="en-US"/>
              </w:rPr>
            </w:pPr>
            <w:r>
              <w:rPr>
                <w:color w:val="000000"/>
                <w:sz w:val="22"/>
                <w:szCs w:val="22"/>
              </w:rPr>
              <w:t xml:space="preserve">Choisissez des semences, des boutures, des tubercules, ou des rejets provenant de variétés très productives, saines et résistantes aux ravageurs/maladies. Pour obtenir les semences certifiées, adressez- vous à des semenciers homologués ou à des centres nationaux de recherche. Les agriculteurs pourront planter du matériel prélevé sur des plants sains, issus de la campagne précédente. Ne stockez pas le matériel de plantation plus d’une saison. </w:t>
            </w:r>
            <w:r>
              <w:rPr>
                <w:color w:val="000000"/>
                <w:sz w:val="22"/>
                <w:szCs w:val="22"/>
                <w:lang w:val="en-US"/>
              </w:rPr>
              <w:t xml:space="preserve">Effectuez des tests sommaires de germination. </w:t>
            </w:r>
          </w:p>
        </w:tc>
        <w:tc>
          <w:tcPr>
            <w:tcW w:w="3840" w:type="dxa"/>
            <w:tcBorders/>
          </w:tcPr>
          <w:p>
            <w:pPr>
              <w:pStyle w:val="style0"/>
              <w:autoSpaceDE w:val="false"/>
              <w:autoSpaceDN w:val="false"/>
              <w:adjustRightInd w:val="false"/>
              <w:spacing w:before="0"/>
              <w:rPr>
                <w:color w:val="000000"/>
                <w:sz w:val="22"/>
                <w:szCs w:val="22"/>
              </w:rPr>
            </w:pPr>
            <w:r>
              <w:rPr>
                <w:color w:val="000000"/>
                <w:sz w:val="22"/>
                <w:szCs w:val="22"/>
              </w:rPr>
              <w:t xml:space="preserve">L’utilisation de matériel de plantation de qualité permettra d’obtenir une culture saine et productive et, par conséquent, une récolte de qualité. Les variétés certifiées sont souvent résistantes à plusieurs ravageurs et maladies. Rappelez-vous l’adage populaire selon lequel les bonnes semences font les bonnes récoltes. </w:t>
            </w:r>
          </w:p>
        </w:tc>
      </w:tr>
      <w:tr>
        <w:tblPrEx/>
        <w:trPr>
          <w:jc w:val="center"/>
        </w:trPr>
        <w:tc>
          <w:tcPr>
            <w:tcW w:w="1597" w:type="dxa"/>
            <w:tcBorders/>
          </w:tcPr>
          <w:p>
            <w:pPr>
              <w:pStyle w:val="style0"/>
              <w:autoSpaceDE w:val="false"/>
              <w:autoSpaceDN w:val="false"/>
              <w:adjustRightInd w:val="false"/>
              <w:spacing w:before="0"/>
              <w:rPr>
                <w:color w:val="000000"/>
                <w:sz w:val="22"/>
                <w:szCs w:val="22"/>
              </w:rPr>
            </w:pPr>
            <w:r>
              <w:rPr>
                <w:b/>
                <w:bCs/>
                <w:color w:val="000000"/>
                <w:sz w:val="22"/>
                <w:szCs w:val="22"/>
              </w:rPr>
              <w:t>PRINCIPE 2</w:t>
            </w:r>
          </w:p>
          <w:p>
            <w:pPr>
              <w:pStyle w:val="style0"/>
              <w:autoSpaceDE w:val="false"/>
              <w:autoSpaceDN w:val="false"/>
              <w:adjustRightInd w:val="false"/>
              <w:spacing w:before="0"/>
              <w:rPr>
                <w:color w:val="000000"/>
                <w:sz w:val="22"/>
                <w:szCs w:val="22"/>
              </w:rPr>
            </w:pPr>
            <w:r>
              <w:rPr>
                <w:color w:val="000000"/>
                <w:sz w:val="22"/>
                <w:szCs w:val="22"/>
              </w:rPr>
              <w:t>Choisir des sols fertiles et des lieux adaptés à la plantation</w:t>
            </w:r>
          </w:p>
        </w:tc>
        <w:tc>
          <w:tcPr>
            <w:tcW w:w="4795" w:type="dxa"/>
            <w:tcBorders/>
          </w:tcPr>
          <w:p>
            <w:pPr>
              <w:pStyle w:val="style0"/>
              <w:autoSpaceDE w:val="false"/>
              <w:autoSpaceDN w:val="false"/>
              <w:adjustRightInd w:val="false"/>
              <w:spacing w:before="0"/>
              <w:rPr>
                <w:color w:val="000000"/>
                <w:sz w:val="22"/>
                <w:szCs w:val="22"/>
              </w:rPr>
            </w:pPr>
            <w:r>
              <w:rPr>
                <w:color w:val="000000"/>
                <w:sz w:val="22"/>
                <w:szCs w:val="22"/>
              </w:rPr>
              <w:t xml:space="preserve">Sélectionnez des sols à bon drainage naturel, adaptés à la culture. </w:t>
            </w:r>
          </w:p>
          <w:p>
            <w:pPr>
              <w:pStyle w:val="style0"/>
              <w:autoSpaceDE w:val="false"/>
              <w:autoSpaceDN w:val="false"/>
              <w:adjustRightInd w:val="false"/>
              <w:spacing w:before="0"/>
              <w:rPr>
                <w:color w:val="000000"/>
                <w:sz w:val="22"/>
                <w:szCs w:val="22"/>
              </w:rPr>
            </w:pPr>
            <w:r>
              <w:rPr>
                <w:color w:val="000000"/>
                <w:sz w:val="22"/>
                <w:szCs w:val="22"/>
              </w:rPr>
              <w:t xml:space="preserve">Certaines cultures (le riz de bas-fond ou le riz irrigués, par exemple) préfèrent les sols submergés. </w:t>
            </w:r>
          </w:p>
          <w:p>
            <w:pPr>
              <w:pStyle w:val="style0"/>
              <w:autoSpaceDE w:val="false"/>
              <w:autoSpaceDN w:val="false"/>
              <w:adjustRightInd w:val="false"/>
              <w:spacing w:before="0"/>
              <w:rPr>
                <w:color w:val="000000"/>
                <w:sz w:val="22"/>
                <w:szCs w:val="22"/>
              </w:rPr>
            </w:pPr>
            <w:r>
              <w:rPr>
                <w:color w:val="000000"/>
                <w:sz w:val="22"/>
                <w:szCs w:val="22"/>
              </w:rPr>
              <w:t xml:space="preserve">Effectuez toujours la plantation dans des champs exempts de mauvaises herbes. </w:t>
            </w:r>
          </w:p>
        </w:tc>
        <w:tc>
          <w:tcPr>
            <w:tcW w:w="3840" w:type="dxa"/>
            <w:tcBorders/>
          </w:tcPr>
          <w:p>
            <w:pPr>
              <w:pStyle w:val="style0"/>
              <w:autoSpaceDE w:val="false"/>
              <w:autoSpaceDN w:val="false"/>
              <w:adjustRightInd w:val="false"/>
              <w:spacing w:before="0"/>
              <w:rPr>
                <w:color w:val="000000"/>
                <w:sz w:val="22"/>
                <w:szCs w:val="22"/>
              </w:rPr>
            </w:pPr>
            <w:r>
              <w:rPr>
                <w:color w:val="000000"/>
                <w:sz w:val="22"/>
                <w:szCs w:val="22"/>
              </w:rPr>
              <w:t xml:space="preserve">Les cultures ont besoin d’un maximum de gestion du sol et de l’eau pour se développer et rivaliser efficacement avec les adventices. </w:t>
            </w:r>
          </w:p>
        </w:tc>
      </w:tr>
      <w:tr>
        <w:tblPrEx/>
        <w:trPr>
          <w:jc w:val="center"/>
        </w:trPr>
        <w:tc>
          <w:tcPr>
            <w:tcW w:w="1597" w:type="dxa"/>
            <w:tcBorders/>
          </w:tcPr>
          <w:p>
            <w:pPr>
              <w:pStyle w:val="style0"/>
              <w:autoSpaceDE w:val="false"/>
              <w:autoSpaceDN w:val="false"/>
              <w:adjustRightInd w:val="false"/>
              <w:spacing w:before="0"/>
              <w:rPr>
                <w:color w:val="000000"/>
                <w:sz w:val="22"/>
                <w:szCs w:val="22"/>
              </w:rPr>
            </w:pPr>
            <w:r>
              <w:rPr>
                <w:b/>
                <w:bCs/>
                <w:color w:val="000000"/>
                <w:sz w:val="22"/>
                <w:szCs w:val="22"/>
              </w:rPr>
              <w:t>PRINCIPE 3</w:t>
            </w:r>
          </w:p>
          <w:p>
            <w:pPr>
              <w:pStyle w:val="style0"/>
              <w:autoSpaceDE w:val="false"/>
              <w:autoSpaceDN w:val="false"/>
              <w:adjustRightInd w:val="false"/>
              <w:spacing w:before="0"/>
              <w:rPr>
                <w:color w:val="000000"/>
                <w:sz w:val="22"/>
                <w:szCs w:val="22"/>
              </w:rPr>
            </w:pPr>
            <w:r>
              <w:rPr>
                <w:color w:val="000000"/>
                <w:sz w:val="22"/>
                <w:szCs w:val="22"/>
              </w:rPr>
              <w:t>Adopter de bonnes pratiques en pépinière</w:t>
            </w:r>
          </w:p>
        </w:tc>
        <w:tc>
          <w:tcPr>
            <w:tcW w:w="4795" w:type="dxa"/>
            <w:tcBorders/>
          </w:tcPr>
          <w:p>
            <w:pPr>
              <w:pStyle w:val="style0"/>
              <w:autoSpaceDE w:val="false"/>
              <w:autoSpaceDN w:val="false"/>
              <w:adjustRightInd w:val="false"/>
              <w:spacing w:before="0"/>
              <w:rPr>
                <w:color w:val="000000"/>
                <w:sz w:val="22"/>
                <w:szCs w:val="22"/>
              </w:rPr>
            </w:pPr>
            <w:r>
              <w:rPr>
                <w:color w:val="000000"/>
                <w:sz w:val="22"/>
                <w:szCs w:val="22"/>
              </w:rPr>
              <w:t xml:space="preserve">Établissez les pépinières sur un sol exempt de maladies pour favoriser le développement des plantules. </w:t>
            </w:r>
          </w:p>
          <w:p>
            <w:pPr>
              <w:pStyle w:val="style0"/>
              <w:autoSpaceDE w:val="false"/>
              <w:autoSpaceDN w:val="false"/>
              <w:adjustRightInd w:val="false"/>
              <w:spacing w:before="0"/>
              <w:rPr>
                <w:color w:val="000000"/>
                <w:sz w:val="22"/>
                <w:szCs w:val="22"/>
              </w:rPr>
            </w:pPr>
            <w:r>
              <w:rPr>
                <w:color w:val="000000"/>
                <w:sz w:val="22"/>
                <w:szCs w:val="22"/>
              </w:rPr>
              <w:t xml:space="preserve">Recouvrez le sol avec un paillis de feuilles de neem ou d’herbe sèche. Bouturer uniquement le matériel sélectionné et exempt de ravageurs /maladies. </w:t>
            </w:r>
          </w:p>
        </w:tc>
        <w:tc>
          <w:tcPr>
            <w:tcW w:w="3840" w:type="dxa"/>
            <w:tcBorders/>
          </w:tcPr>
          <w:p>
            <w:pPr>
              <w:pStyle w:val="style0"/>
              <w:autoSpaceDE w:val="false"/>
              <w:autoSpaceDN w:val="false"/>
              <w:adjustRightInd w:val="false"/>
              <w:spacing w:before="0"/>
              <w:rPr>
                <w:color w:val="000000"/>
                <w:sz w:val="22"/>
                <w:szCs w:val="22"/>
              </w:rPr>
            </w:pPr>
            <w:r>
              <w:rPr>
                <w:color w:val="000000"/>
                <w:sz w:val="22"/>
                <w:szCs w:val="22"/>
              </w:rPr>
              <w:t xml:space="preserve">Après repiquage au champ, les plantules rigoureuses ainsi obtenues produiront des plants robustes. </w:t>
            </w:r>
          </w:p>
        </w:tc>
      </w:tr>
      <w:tr>
        <w:tblPrEx/>
        <w:trPr>
          <w:jc w:val="center"/>
        </w:trPr>
        <w:tc>
          <w:tcPr>
            <w:tcW w:w="1597" w:type="dxa"/>
            <w:tcBorders/>
          </w:tcPr>
          <w:p>
            <w:pPr>
              <w:pStyle w:val="style0"/>
              <w:autoSpaceDE w:val="false"/>
              <w:autoSpaceDN w:val="false"/>
              <w:adjustRightInd w:val="false"/>
              <w:spacing w:before="0"/>
              <w:rPr>
                <w:color w:val="000000"/>
                <w:sz w:val="22"/>
                <w:szCs w:val="22"/>
              </w:rPr>
            </w:pPr>
            <w:r>
              <w:rPr>
                <w:b/>
                <w:bCs/>
                <w:color w:val="000000"/>
                <w:sz w:val="22"/>
                <w:szCs w:val="22"/>
              </w:rPr>
              <w:t>PRINCIPE 4</w:t>
            </w:r>
          </w:p>
          <w:p>
            <w:pPr>
              <w:pStyle w:val="style0"/>
              <w:autoSpaceDE w:val="false"/>
              <w:autoSpaceDN w:val="false"/>
              <w:adjustRightInd w:val="false"/>
              <w:spacing w:before="0"/>
              <w:rPr>
                <w:color w:val="000000"/>
                <w:sz w:val="22"/>
                <w:szCs w:val="22"/>
              </w:rPr>
            </w:pPr>
            <w:r>
              <w:rPr>
                <w:color w:val="000000"/>
                <w:sz w:val="22"/>
                <w:szCs w:val="22"/>
              </w:rPr>
              <w:t>Adopter les dispositifs et les dispositifs adéquats de plantation</w:t>
            </w:r>
          </w:p>
        </w:tc>
        <w:tc>
          <w:tcPr>
            <w:tcW w:w="4795" w:type="dxa"/>
            <w:tcBorders/>
          </w:tcPr>
          <w:p>
            <w:pPr>
              <w:pStyle w:val="style0"/>
              <w:autoSpaceDE w:val="false"/>
              <w:autoSpaceDN w:val="false"/>
              <w:adjustRightInd w:val="false"/>
              <w:spacing w:before="0"/>
              <w:rPr>
                <w:color w:val="000000"/>
                <w:sz w:val="22"/>
                <w:szCs w:val="22"/>
              </w:rPr>
            </w:pPr>
            <w:r>
              <w:rPr>
                <w:color w:val="000000"/>
                <w:sz w:val="22"/>
                <w:szCs w:val="22"/>
              </w:rPr>
              <w:t xml:space="preserve">Plantez en ligne, avec un écartement approprié, pour éviter une densité de peuplement excessive. La culture intercalaire se pratique généralement en lignes, en lignes alternées ou en bandes. </w:t>
            </w:r>
          </w:p>
        </w:tc>
        <w:tc>
          <w:tcPr>
            <w:tcW w:w="3840" w:type="dxa"/>
            <w:tcBorders/>
          </w:tcPr>
          <w:p>
            <w:pPr>
              <w:pStyle w:val="style0"/>
              <w:autoSpaceDE w:val="false"/>
              <w:autoSpaceDN w:val="false"/>
              <w:adjustRightInd w:val="false"/>
              <w:spacing w:before="0"/>
              <w:rPr>
                <w:color w:val="000000"/>
                <w:sz w:val="22"/>
                <w:szCs w:val="22"/>
              </w:rPr>
            </w:pPr>
            <w:r>
              <w:rPr>
                <w:color w:val="000000"/>
                <w:sz w:val="22"/>
                <w:szCs w:val="22"/>
              </w:rPr>
              <w:t xml:space="preserve">Une densité trop élevé entrave le développement de la culture et, en créant un environnement humide, favorise l’apparition des maladies. La plantation en ligne permet d’épargner des semences et de réaliser plus facilement les </w:t>
            </w:r>
          </w:p>
          <w:p>
            <w:pPr>
              <w:pStyle w:val="style0"/>
              <w:autoSpaceDE w:val="false"/>
              <w:autoSpaceDN w:val="false"/>
              <w:adjustRightInd w:val="false"/>
              <w:spacing w:before="0"/>
              <w:rPr>
                <w:color w:val="000000"/>
                <w:sz w:val="22"/>
                <w:szCs w:val="22"/>
              </w:rPr>
            </w:pPr>
            <w:r>
              <w:rPr>
                <w:color w:val="000000"/>
                <w:sz w:val="22"/>
                <w:szCs w:val="22"/>
              </w:rPr>
              <w:t xml:space="preserve">opérations agricoles comme le désherbage et la récolte. La culture intercalaire réduit la pression des insectes et garantit les rendements </w:t>
            </w:r>
          </w:p>
          <w:p>
            <w:pPr>
              <w:pStyle w:val="style0"/>
              <w:autoSpaceDE w:val="false"/>
              <w:autoSpaceDN w:val="false"/>
              <w:adjustRightInd w:val="false"/>
              <w:spacing w:before="0"/>
              <w:rPr>
                <w:color w:val="000000"/>
                <w:sz w:val="22"/>
                <w:szCs w:val="22"/>
              </w:rPr>
            </w:pPr>
          </w:p>
        </w:tc>
      </w:tr>
      <w:tr>
        <w:tblPrEx/>
        <w:trPr>
          <w:jc w:val="center"/>
        </w:trPr>
        <w:tc>
          <w:tcPr>
            <w:tcW w:w="1597" w:type="dxa"/>
            <w:tcBorders/>
          </w:tcPr>
          <w:p>
            <w:pPr>
              <w:pStyle w:val="style0"/>
              <w:autoSpaceDE w:val="false"/>
              <w:autoSpaceDN w:val="false"/>
              <w:adjustRightInd w:val="false"/>
              <w:spacing w:before="0"/>
              <w:rPr>
                <w:color w:val="000000"/>
                <w:sz w:val="22"/>
                <w:szCs w:val="22"/>
              </w:rPr>
            </w:pPr>
            <w:r>
              <w:rPr>
                <w:b/>
                <w:bCs/>
                <w:color w:val="000000"/>
                <w:sz w:val="22"/>
                <w:szCs w:val="22"/>
              </w:rPr>
              <w:t>PRINCIPE 5</w:t>
            </w:r>
          </w:p>
          <w:p>
            <w:pPr>
              <w:pStyle w:val="style0"/>
              <w:autoSpaceDE w:val="false"/>
              <w:autoSpaceDN w:val="false"/>
              <w:adjustRightInd w:val="false"/>
              <w:spacing w:before="0"/>
              <w:rPr>
                <w:color w:val="000000"/>
                <w:sz w:val="22"/>
                <w:szCs w:val="22"/>
              </w:rPr>
            </w:pPr>
            <w:r>
              <w:rPr>
                <w:color w:val="000000"/>
                <w:sz w:val="22"/>
                <w:szCs w:val="22"/>
              </w:rPr>
              <w:t>Planter les cultures au moment opportun pour faire coïncider leur période de croissance avec une faible incidence des ravageurs et des maladies</w:t>
            </w:r>
          </w:p>
        </w:tc>
        <w:tc>
          <w:tcPr>
            <w:tcW w:w="4795" w:type="dxa"/>
            <w:tcBorders/>
          </w:tcPr>
          <w:p>
            <w:pPr>
              <w:pStyle w:val="style0"/>
              <w:autoSpaceDE w:val="false"/>
              <w:autoSpaceDN w:val="false"/>
              <w:adjustRightInd w:val="false"/>
              <w:spacing w:before="0"/>
              <w:rPr>
                <w:color w:val="000000"/>
                <w:sz w:val="22"/>
                <w:szCs w:val="22"/>
              </w:rPr>
            </w:pPr>
            <w:r>
              <w:rPr>
                <w:color w:val="000000"/>
                <w:sz w:val="22"/>
                <w:szCs w:val="22"/>
              </w:rPr>
              <w:t xml:space="preserve">Planifiez la plantation de manière à éviter les périodes de prévalence des ravageurs et des maladies dans les champs. Coordonnez les dates de plantation au niveau de la région pour empêcher le passage des ravageurs entre les cultures et pour préserver une période de repos saisonnier. </w:t>
            </w:r>
          </w:p>
        </w:tc>
        <w:tc>
          <w:tcPr>
            <w:tcW w:w="3840" w:type="dxa"/>
            <w:tcBorders/>
          </w:tcPr>
          <w:p>
            <w:pPr>
              <w:pStyle w:val="style0"/>
              <w:autoSpaceDE w:val="false"/>
              <w:autoSpaceDN w:val="false"/>
              <w:adjustRightInd w:val="false"/>
              <w:spacing w:before="0"/>
              <w:rPr>
                <w:color w:val="000000"/>
                <w:sz w:val="22"/>
                <w:szCs w:val="22"/>
              </w:rPr>
            </w:pPr>
            <w:r>
              <w:rPr>
                <w:color w:val="000000"/>
                <w:sz w:val="22"/>
                <w:szCs w:val="22"/>
              </w:rPr>
              <w:t xml:space="preserve">La culture échappe aux périodes de fortes incidences des ravageurs et des maladies durant leur croissance et leur développement. Le cycle de développement des ravageurs est interrompu. Les populations de ravageurs ne disposent pas du temps nécessaire pour se reproduire massivement. </w:t>
            </w:r>
          </w:p>
        </w:tc>
      </w:tr>
      <w:tr>
        <w:tblPrEx/>
        <w:trPr>
          <w:jc w:val="center"/>
        </w:trPr>
        <w:tc>
          <w:tcPr>
            <w:tcW w:w="1597" w:type="dxa"/>
            <w:tcBorders/>
          </w:tcPr>
          <w:p>
            <w:pPr>
              <w:pStyle w:val="style0"/>
              <w:autoSpaceDE w:val="false"/>
              <w:autoSpaceDN w:val="false"/>
              <w:adjustRightInd w:val="false"/>
              <w:spacing w:before="0"/>
              <w:rPr>
                <w:color w:val="000000"/>
                <w:sz w:val="22"/>
                <w:szCs w:val="22"/>
              </w:rPr>
            </w:pPr>
            <w:r>
              <w:rPr>
                <w:b/>
                <w:bCs/>
                <w:color w:val="000000"/>
                <w:sz w:val="22"/>
                <w:szCs w:val="22"/>
              </w:rPr>
              <w:t>PRINCIPE 6</w:t>
            </w:r>
          </w:p>
          <w:p>
            <w:pPr>
              <w:pStyle w:val="style0"/>
              <w:autoSpaceDE w:val="false"/>
              <w:autoSpaceDN w:val="false"/>
              <w:adjustRightInd w:val="false"/>
              <w:spacing w:before="0"/>
              <w:rPr>
                <w:color w:val="000000"/>
                <w:sz w:val="22"/>
                <w:szCs w:val="22"/>
              </w:rPr>
            </w:pPr>
            <w:r>
              <w:rPr>
                <w:color w:val="000000"/>
                <w:sz w:val="22"/>
                <w:szCs w:val="22"/>
              </w:rPr>
              <w:t>Pratiquer la rotation des cultures</w:t>
            </w:r>
          </w:p>
        </w:tc>
        <w:tc>
          <w:tcPr>
            <w:tcW w:w="4795" w:type="dxa"/>
            <w:tcBorders/>
          </w:tcPr>
          <w:p>
            <w:pPr>
              <w:pStyle w:val="style0"/>
              <w:autoSpaceDE w:val="false"/>
              <w:autoSpaceDN w:val="false"/>
              <w:adjustRightInd w:val="false"/>
              <w:spacing w:before="0"/>
              <w:rPr>
                <w:color w:val="000000"/>
                <w:sz w:val="22"/>
                <w:szCs w:val="22"/>
              </w:rPr>
            </w:pPr>
            <w:r>
              <w:rPr>
                <w:color w:val="000000"/>
                <w:sz w:val="22"/>
                <w:szCs w:val="22"/>
              </w:rPr>
              <w:t xml:space="preserve">Plantez successivement des cultures ne possédant pas des ravageurs en commun (rotation de céréales et de plantes à racines et tubercules avec des légumes ou des légumineuses par exemple). </w:t>
            </w:r>
          </w:p>
          <w:p>
            <w:pPr>
              <w:pStyle w:val="style0"/>
              <w:autoSpaceDE w:val="false"/>
              <w:autoSpaceDN w:val="false"/>
              <w:adjustRightInd w:val="false"/>
              <w:spacing w:before="0"/>
              <w:rPr>
                <w:color w:val="000000"/>
                <w:sz w:val="22"/>
                <w:szCs w:val="22"/>
              </w:rPr>
            </w:pPr>
            <w:r>
              <w:rPr>
                <w:color w:val="000000"/>
                <w:sz w:val="22"/>
                <w:szCs w:val="22"/>
              </w:rPr>
              <w:t xml:space="preserve">Plantez des plantes de couverture durant la période de jachère </w:t>
            </w:r>
          </w:p>
        </w:tc>
        <w:tc>
          <w:tcPr>
            <w:tcW w:w="3840" w:type="dxa"/>
            <w:tcBorders/>
          </w:tcPr>
          <w:p>
            <w:pPr>
              <w:pStyle w:val="style0"/>
              <w:autoSpaceDE w:val="false"/>
              <w:autoSpaceDN w:val="false"/>
              <w:adjustRightInd w:val="false"/>
              <w:spacing w:before="0"/>
              <w:rPr>
                <w:color w:val="000000"/>
                <w:sz w:val="22"/>
                <w:szCs w:val="22"/>
              </w:rPr>
            </w:pPr>
            <w:r>
              <w:rPr>
                <w:color w:val="000000"/>
                <w:sz w:val="22"/>
                <w:szCs w:val="22"/>
              </w:rPr>
              <w:t xml:space="preserve">La rotation des cultures empêche la prolifération des maladies et des ravageurs terricoles (nématodes ou agents pathogènes par exemple). Les plantes de couverture enrichissent les sols et étouffent les mauvaises herbes. </w:t>
            </w:r>
          </w:p>
        </w:tc>
      </w:tr>
      <w:tr>
        <w:tblPrEx/>
        <w:trPr>
          <w:jc w:val="center"/>
        </w:trPr>
        <w:tc>
          <w:tcPr>
            <w:tcW w:w="1597" w:type="dxa"/>
            <w:tcBorders/>
          </w:tcPr>
          <w:p>
            <w:pPr>
              <w:pStyle w:val="style0"/>
              <w:autoSpaceDE w:val="false"/>
              <w:autoSpaceDN w:val="false"/>
              <w:adjustRightInd w:val="false"/>
              <w:spacing w:before="0"/>
              <w:rPr>
                <w:color w:val="000000"/>
                <w:sz w:val="22"/>
                <w:szCs w:val="22"/>
              </w:rPr>
            </w:pPr>
            <w:r>
              <w:rPr>
                <w:b/>
                <w:bCs/>
                <w:color w:val="000000"/>
                <w:sz w:val="22"/>
                <w:szCs w:val="22"/>
              </w:rPr>
              <w:t>PRINCIPE 7</w:t>
            </w:r>
          </w:p>
          <w:p>
            <w:pPr>
              <w:pStyle w:val="style0"/>
              <w:autoSpaceDE w:val="false"/>
              <w:autoSpaceDN w:val="false"/>
              <w:adjustRightInd w:val="false"/>
              <w:spacing w:before="0"/>
              <w:rPr>
                <w:color w:val="000000"/>
                <w:sz w:val="22"/>
                <w:szCs w:val="22"/>
              </w:rPr>
            </w:pPr>
            <w:r>
              <w:rPr>
                <w:color w:val="000000"/>
                <w:sz w:val="22"/>
                <w:szCs w:val="22"/>
              </w:rPr>
              <w:t>Adopter de bonnes pratiques de conservation du sol</w:t>
            </w:r>
          </w:p>
        </w:tc>
        <w:tc>
          <w:tcPr>
            <w:tcW w:w="4795" w:type="dxa"/>
            <w:tcBorders/>
          </w:tcPr>
          <w:p>
            <w:pPr>
              <w:pStyle w:val="style0"/>
              <w:autoSpaceDE w:val="false"/>
              <w:autoSpaceDN w:val="false"/>
              <w:adjustRightInd w:val="false"/>
              <w:spacing w:before="0"/>
              <w:rPr>
                <w:color w:val="000000"/>
                <w:sz w:val="22"/>
                <w:szCs w:val="22"/>
              </w:rPr>
            </w:pPr>
            <w:r>
              <w:rPr>
                <w:color w:val="000000"/>
                <w:sz w:val="22"/>
                <w:szCs w:val="22"/>
              </w:rPr>
              <w:t xml:space="preserve">Recouvrez le sol avec du paillis, amendez la terre avec un compost ou un engrais organique et, si nécessaire, rectifier le bilan nutritif avec les engrais minéraux pour enrichir les sols peu fertiles. </w:t>
            </w:r>
          </w:p>
          <w:p>
            <w:pPr>
              <w:pStyle w:val="style0"/>
              <w:autoSpaceDE w:val="false"/>
              <w:autoSpaceDN w:val="false"/>
              <w:adjustRightInd w:val="false"/>
              <w:spacing w:before="0"/>
              <w:rPr>
                <w:color w:val="000000"/>
                <w:sz w:val="22"/>
                <w:szCs w:val="22"/>
              </w:rPr>
            </w:pPr>
            <w:r>
              <w:rPr>
                <w:color w:val="000000"/>
                <w:sz w:val="22"/>
                <w:szCs w:val="22"/>
              </w:rPr>
              <w:t xml:space="preserve">Fractionnez les apports d’engrais, notamment azotés, pour mieux répondre aux besoins de la culture. </w:t>
            </w:r>
          </w:p>
        </w:tc>
        <w:tc>
          <w:tcPr>
            <w:tcW w:w="3840" w:type="dxa"/>
            <w:tcBorders/>
          </w:tcPr>
          <w:p>
            <w:pPr>
              <w:pStyle w:val="style0"/>
              <w:autoSpaceDE w:val="false"/>
              <w:autoSpaceDN w:val="false"/>
              <w:adjustRightInd w:val="false"/>
              <w:spacing w:before="0"/>
              <w:rPr>
                <w:color w:val="000000"/>
                <w:sz w:val="22"/>
                <w:szCs w:val="22"/>
                <w:lang w:val="en-US"/>
              </w:rPr>
            </w:pPr>
            <w:r>
              <w:rPr>
                <w:color w:val="000000"/>
                <w:sz w:val="22"/>
                <w:szCs w:val="22"/>
              </w:rPr>
              <w:t xml:space="preserve">Les sols pauvres sont enrichis à peu de frais pour stimuler la croissance et le développement des cultures saines et obtenir des rendements élevés. </w:t>
            </w:r>
            <w:r>
              <w:rPr>
                <w:color w:val="000000"/>
                <w:sz w:val="22"/>
                <w:szCs w:val="22"/>
                <w:lang w:val="en-US"/>
              </w:rPr>
              <w:t xml:space="preserve">L'engrais est utilisé de manière économique. </w:t>
            </w:r>
          </w:p>
        </w:tc>
      </w:tr>
      <w:tr>
        <w:tblPrEx/>
        <w:trPr>
          <w:jc w:val="center"/>
        </w:trPr>
        <w:tc>
          <w:tcPr>
            <w:tcW w:w="1597" w:type="dxa"/>
            <w:tcBorders/>
          </w:tcPr>
          <w:p>
            <w:pPr>
              <w:pStyle w:val="style0"/>
              <w:autoSpaceDE w:val="false"/>
              <w:autoSpaceDN w:val="false"/>
              <w:adjustRightInd w:val="false"/>
              <w:spacing w:before="0"/>
              <w:rPr>
                <w:color w:val="000000"/>
                <w:sz w:val="22"/>
                <w:szCs w:val="22"/>
              </w:rPr>
            </w:pPr>
            <w:r>
              <w:rPr>
                <w:b/>
                <w:bCs/>
                <w:color w:val="000000"/>
                <w:sz w:val="22"/>
                <w:szCs w:val="22"/>
              </w:rPr>
              <w:t>PRINCIPE 8</w:t>
            </w:r>
          </w:p>
          <w:p>
            <w:pPr>
              <w:pStyle w:val="style0"/>
              <w:autoSpaceDE w:val="false"/>
              <w:autoSpaceDN w:val="false"/>
              <w:adjustRightInd w:val="false"/>
              <w:spacing w:before="0"/>
              <w:rPr>
                <w:color w:val="000000"/>
                <w:sz w:val="22"/>
                <w:szCs w:val="22"/>
              </w:rPr>
            </w:pPr>
            <w:r>
              <w:rPr>
                <w:color w:val="000000"/>
                <w:sz w:val="22"/>
                <w:szCs w:val="22"/>
              </w:rPr>
              <w:t>Adopter les pratiques adéquates de gestion hydrique</w:t>
            </w:r>
          </w:p>
          <w:p>
            <w:pPr>
              <w:pStyle w:val="style0"/>
              <w:autoSpaceDE w:val="false"/>
              <w:autoSpaceDN w:val="false"/>
              <w:adjustRightInd w:val="false"/>
              <w:spacing w:before="0"/>
              <w:rPr>
                <w:color w:val="000000"/>
                <w:sz w:val="22"/>
                <w:szCs w:val="22"/>
              </w:rPr>
            </w:pPr>
          </w:p>
        </w:tc>
        <w:tc>
          <w:tcPr>
            <w:tcW w:w="4795" w:type="dxa"/>
            <w:tcBorders/>
          </w:tcPr>
          <w:p>
            <w:pPr>
              <w:pStyle w:val="style0"/>
              <w:autoSpaceDE w:val="false"/>
              <w:autoSpaceDN w:val="false"/>
              <w:adjustRightInd w:val="false"/>
              <w:spacing w:before="0"/>
              <w:rPr>
                <w:color w:val="000000"/>
                <w:sz w:val="22"/>
                <w:szCs w:val="22"/>
              </w:rPr>
            </w:pPr>
            <w:r>
              <w:rPr>
                <w:color w:val="000000"/>
                <w:sz w:val="22"/>
                <w:szCs w:val="22"/>
              </w:rPr>
              <w:t xml:space="preserve">Plantez dans des sols à bon drainage naturel (excepté pour le riz). Le cas échéant, construisez des canaux de drainage pour éliminer l’excès d’eau ; préparer les canaux de collecte d’eau (dans les plantations de bananiers plantains, par exemple) pour disposer d’une réserve d’eau </w:t>
            </w:r>
          </w:p>
          <w:p>
            <w:pPr>
              <w:pStyle w:val="style0"/>
              <w:autoSpaceDE w:val="false"/>
              <w:autoSpaceDN w:val="false"/>
              <w:adjustRightInd w:val="false"/>
              <w:spacing w:before="0"/>
              <w:rPr>
                <w:color w:val="000000"/>
                <w:sz w:val="22"/>
                <w:szCs w:val="22"/>
              </w:rPr>
            </w:pPr>
            <w:r>
              <w:rPr>
                <w:color w:val="000000"/>
                <w:sz w:val="22"/>
                <w:szCs w:val="22"/>
              </w:rPr>
              <w:t xml:space="preserve">suffisante. En condition irriguée, irriguez régulièrement les plantes selon les besoins </w:t>
            </w:r>
          </w:p>
          <w:p>
            <w:pPr>
              <w:pStyle w:val="style0"/>
              <w:autoSpaceDE w:val="false"/>
              <w:autoSpaceDN w:val="false"/>
              <w:adjustRightInd w:val="false"/>
              <w:spacing w:before="0"/>
              <w:rPr>
                <w:color w:val="000000"/>
                <w:sz w:val="22"/>
                <w:szCs w:val="22"/>
              </w:rPr>
            </w:pPr>
          </w:p>
        </w:tc>
        <w:tc>
          <w:tcPr>
            <w:tcW w:w="3840" w:type="dxa"/>
            <w:tcBorders/>
          </w:tcPr>
          <w:p>
            <w:pPr>
              <w:pStyle w:val="style0"/>
              <w:autoSpaceDE w:val="false"/>
              <w:autoSpaceDN w:val="false"/>
              <w:adjustRightInd w:val="false"/>
              <w:spacing w:before="0"/>
              <w:rPr>
                <w:color w:val="000000"/>
                <w:sz w:val="22"/>
                <w:szCs w:val="22"/>
              </w:rPr>
            </w:pPr>
            <w:r>
              <w:rPr>
                <w:color w:val="000000"/>
                <w:sz w:val="22"/>
                <w:szCs w:val="22"/>
              </w:rPr>
              <w:t xml:space="preserve">La croissance et le développement de la culture ne sont pas compromis par le manque d’eau ; en outre, les plants ne souffrent pas d’engorgement. </w:t>
            </w:r>
          </w:p>
        </w:tc>
      </w:tr>
      <w:tr>
        <w:tblPrEx/>
        <w:trPr>
          <w:jc w:val="center"/>
        </w:trPr>
        <w:tc>
          <w:tcPr>
            <w:tcW w:w="1597" w:type="dxa"/>
            <w:tcBorders/>
          </w:tcPr>
          <w:p>
            <w:pPr>
              <w:pStyle w:val="style0"/>
              <w:autoSpaceDE w:val="false"/>
              <w:autoSpaceDN w:val="false"/>
              <w:adjustRightInd w:val="false"/>
              <w:spacing w:before="0"/>
              <w:rPr>
                <w:color w:val="000000"/>
                <w:sz w:val="22"/>
                <w:szCs w:val="22"/>
                <w:lang w:val="en-US"/>
              </w:rPr>
            </w:pPr>
            <w:r>
              <w:rPr>
                <w:b/>
                <w:bCs/>
                <w:color w:val="000000"/>
                <w:sz w:val="22"/>
                <w:szCs w:val="22"/>
                <w:lang w:val="en-US"/>
              </w:rPr>
              <w:t>PRINCIPE 9</w:t>
            </w:r>
          </w:p>
          <w:p>
            <w:pPr>
              <w:pStyle w:val="style0"/>
              <w:autoSpaceDE w:val="false"/>
              <w:autoSpaceDN w:val="false"/>
              <w:adjustRightInd w:val="false"/>
              <w:spacing w:before="0"/>
              <w:rPr>
                <w:color w:val="000000"/>
                <w:sz w:val="22"/>
                <w:szCs w:val="22"/>
                <w:lang w:val="en-US"/>
              </w:rPr>
            </w:pPr>
            <w:r>
              <w:rPr>
                <w:color w:val="000000"/>
                <w:sz w:val="22"/>
                <w:szCs w:val="22"/>
                <w:lang w:val="en-US"/>
              </w:rPr>
              <w:t>Désherber régulièrement</w:t>
            </w:r>
          </w:p>
        </w:tc>
        <w:tc>
          <w:tcPr>
            <w:tcW w:w="4795" w:type="dxa"/>
            <w:tcBorders/>
          </w:tcPr>
          <w:p>
            <w:pPr>
              <w:pStyle w:val="style0"/>
              <w:autoSpaceDE w:val="false"/>
              <w:autoSpaceDN w:val="false"/>
              <w:adjustRightInd w:val="false"/>
              <w:spacing w:before="0"/>
              <w:rPr>
                <w:color w:val="000000"/>
                <w:sz w:val="22"/>
                <w:szCs w:val="22"/>
              </w:rPr>
            </w:pPr>
            <w:r>
              <w:rPr>
                <w:color w:val="000000"/>
                <w:sz w:val="22"/>
                <w:szCs w:val="22"/>
              </w:rPr>
              <w:t xml:space="preserve">Installez les cultures dans des champs exempts de mauvaises herbes. Pour empêcher la production de semences de mauvaises herbes, binez dans les trois semaines après la plantation et sarclez superficiellement à la main jusqu'à la fermeture du couvert de la culture. </w:t>
            </w:r>
          </w:p>
          <w:p>
            <w:pPr>
              <w:pStyle w:val="style0"/>
              <w:autoSpaceDE w:val="false"/>
              <w:autoSpaceDN w:val="false"/>
              <w:adjustRightInd w:val="false"/>
              <w:spacing w:before="0"/>
              <w:rPr>
                <w:color w:val="000000"/>
                <w:sz w:val="22"/>
                <w:szCs w:val="22"/>
              </w:rPr>
            </w:pPr>
            <w:r>
              <w:rPr>
                <w:color w:val="000000"/>
                <w:sz w:val="22"/>
                <w:szCs w:val="22"/>
              </w:rPr>
              <w:t xml:space="preserve">Arrachez les premiers plants des mauvaises herbes avant leur floraison et leur monté engraines. </w:t>
            </w:r>
          </w:p>
        </w:tc>
        <w:tc>
          <w:tcPr>
            <w:tcW w:w="3840" w:type="dxa"/>
            <w:tcBorders/>
          </w:tcPr>
          <w:p>
            <w:pPr>
              <w:pStyle w:val="style0"/>
              <w:autoSpaceDE w:val="false"/>
              <w:autoSpaceDN w:val="false"/>
              <w:adjustRightInd w:val="false"/>
              <w:spacing w:before="0"/>
              <w:rPr>
                <w:color w:val="000000"/>
                <w:sz w:val="22"/>
                <w:szCs w:val="22"/>
              </w:rPr>
            </w:pPr>
            <w:r>
              <w:rPr>
                <w:color w:val="000000"/>
                <w:sz w:val="22"/>
                <w:szCs w:val="22"/>
              </w:rPr>
              <w:t xml:space="preserve">Cette mesure permet d’épargner </w:t>
            </w:r>
          </w:p>
          <w:p>
            <w:pPr>
              <w:pStyle w:val="style0"/>
              <w:autoSpaceDE w:val="false"/>
              <w:autoSpaceDN w:val="false"/>
              <w:adjustRightInd w:val="false"/>
              <w:spacing w:before="0"/>
              <w:rPr>
                <w:color w:val="000000"/>
                <w:sz w:val="22"/>
                <w:szCs w:val="22"/>
              </w:rPr>
            </w:pPr>
            <w:r>
              <w:rPr>
                <w:color w:val="000000"/>
                <w:sz w:val="22"/>
                <w:szCs w:val="22"/>
              </w:rPr>
              <w:t xml:space="preserve">la main-d'œuvre et d’éviter de blesser les racines de la culture. La concurrence entre les cultures et les mauvaises herbes est éliminée ; ces derniers ne parviennent pas à produire des graines. Les mauvaises herbes parasites ne peuvent s’établir dans les champs </w:t>
            </w:r>
          </w:p>
        </w:tc>
      </w:tr>
      <w:tr>
        <w:tblPrEx/>
        <w:trPr>
          <w:jc w:val="center"/>
        </w:trPr>
        <w:tc>
          <w:tcPr>
            <w:tcW w:w="1597" w:type="dxa"/>
            <w:tcBorders/>
          </w:tcPr>
          <w:p>
            <w:pPr>
              <w:pStyle w:val="style0"/>
              <w:autoSpaceDE w:val="false"/>
              <w:autoSpaceDN w:val="false"/>
              <w:adjustRightInd w:val="false"/>
              <w:spacing w:before="0"/>
              <w:rPr>
                <w:color w:val="000000"/>
                <w:sz w:val="22"/>
                <w:szCs w:val="22"/>
              </w:rPr>
            </w:pPr>
            <w:r>
              <w:rPr>
                <w:b/>
                <w:bCs/>
                <w:color w:val="000000"/>
                <w:sz w:val="22"/>
                <w:szCs w:val="22"/>
              </w:rPr>
              <w:t>PRINCIPE 10</w:t>
            </w:r>
          </w:p>
          <w:p>
            <w:pPr>
              <w:pStyle w:val="style0"/>
              <w:autoSpaceDE w:val="false"/>
              <w:autoSpaceDN w:val="false"/>
              <w:adjustRightInd w:val="false"/>
              <w:spacing w:before="0"/>
              <w:rPr>
                <w:color w:val="000000"/>
                <w:sz w:val="22"/>
                <w:szCs w:val="22"/>
              </w:rPr>
            </w:pPr>
            <w:r>
              <w:rPr>
                <w:color w:val="000000"/>
                <w:sz w:val="22"/>
                <w:szCs w:val="22"/>
              </w:rPr>
              <w:t>Inspecter régulièrement les champs</w:t>
            </w:r>
          </w:p>
        </w:tc>
        <w:tc>
          <w:tcPr>
            <w:tcW w:w="4795" w:type="dxa"/>
            <w:tcBorders/>
          </w:tcPr>
          <w:p>
            <w:pPr>
              <w:pStyle w:val="style0"/>
              <w:autoSpaceDE w:val="false"/>
              <w:autoSpaceDN w:val="false"/>
              <w:adjustRightInd w:val="false"/>
              <w:spacing w:before="0"/>
              <w:rPr>
                <w:color w:val="000000"/>
                <w:sz w:val="22"/>
                <w:szCs w:val="22"/>
              </w:rPr>
            </w:pPr>
            <w:r>
              <w:rPr>
                <w:color w:val="000000"/>
                <w:sz w:val="22"/>
                <w:szCs w:val="22"/>
              </w:rPr>
              <w:t xml:space="preserve">Inspectez les champs chaque semaine pour surveiller la croissance et le développement des cultures, suivre l’évolution des populations d’auxiliaire et détecter rapidement l’arrivé des ravageurs, les maladies et adventices ; effectuez une analyse de l’agro- écosystème et prenez une décision sur les opérations culturales à réaliser. </w:t>
            </w:r>
          </w:p>
        </w:tc>
        <w:tc>
          <w:tcPr>
            <w:tcW w:w="3840" w:type="dxa"/>
            <w:tcBorders/>
          </w:tcPr>
          <w:p>
            <w:pPr>
              <w:pStyle w:val="style0"/>
              <w:autoSpaceDE w:val="false"/>
              <w:autoSpaceDN w:val="false"/>
              <w:adjustRightInd w:val="false"/>
              <w:spacing w:before="0"/>
              <w:rPr>
                <w:color w:val="000000"/>
                <w:sz w:val="22"/>
                <w:szCs w:val="22"/>
              </w:rPr>
            </w:pPr>
            <w:r>
              <w:rPr>
                <w:color w:val="000000"/>
                <w:sz w:val="22"/>
                <w:szCs w:val="22"/>
              </w:rPr>
              <w:t xml:space="preserve">L’inspection régulière des champs permet aux cultivateurs de détecter les problèmes et de mettre en œuvre les mesures de lutte intégrée nécessaire pour éviter une aggravation des dégâts et, par conséquent, des pertes importantes de rendement. </w:t>
            </w:r>
          </w:p>
        </w:tc>
      </w:tr>
      <w:tr>
        <w:tblPrEx/>
        <w:trPr>
          <w:jc w:val="center"/>
        </w:trPr>
        <w:tc>
          <w:tcPr>
            <w:tcW w:w="1597" w:type="dxa"/>
            <w:tcBorders/>
          </w:tcPr>
          <w:p>
            <w:pPr>
              <w:pStyle w:val="style0"/>
              <w:autoSpaceDE w:val="false"/>
              <w:autoSpaceDN w:val="false"/>
              <w:adjustRightInd w:val="false"/>
              <w:spacing w:before="0"/>
              <w:rPr>
                <w:color w:val="000000"/>
                <w:sz w:val="22"/>
                <w:szCs w:val="22"/>
              </w:rPr>
            </w:pPr>
            <w:r>
              <w:rPr>
                <w:b/>
                <w:bCs/>
                <w:color w:val="000000"/>
                <w:sz w:val="22"/>
                <w:szCs w:val="22"/>
              </w:rPr>
              <w:t>PRINCIPE 11</w:t>
            </w:r>
          </w:p>
          <w:p>
            <w:pPr>
              <w:pStyle w:val="style0"/>
              <w:autoSpaceDE w:val="false"/>
              <w:autoSpaceDN w:val="false"/>
              <w:adjustRightInd w:val="false"/>
              <w:spacing w:before="0"/>
              <w:rPr>
                <w:color w:val="000000"/>
                <w:sz w:val="22"/>
                <w:szCs w:val="22"/>
              </w:rPr>
            </w:pPr>
            <w:r>
              <w:rPr>
                <w:color w:val="000000"/>
                <w:sz w:val="22"/>
                <w:szCs w:val="22"/>
              </w:rPr>
              <w:t>Maintenir les champs parfaitement propres</w:t>
            </w:r>
          </w:p>
        </w:tc>
        <w:tc>
          <w:tcPr>
            <w:tcW w:w="4795" w:type="dxa"/>
            <w:tcBorders/>
          </w:tcPr>
          <w:p>
            <w:pPr>
              <w:pStyle w:val="style0"/>
              <w:autoSpaceDE w:val="false"/>
              <w:autoSpaceDN w:val="false"/>
              <w:adjustRightInd w:val="false"/>
              <w:spacing w:before="0"/>
              <w:rPr>
                <w:color w:val="000000"/>
                <w:sz w:val="22"/>
                <w:szCs w:val="22"/>
              </w:rPr>
            </w:pPr>
            <w:r>
              <w:rPr>
                <w:color w:val="000000"/>
                <w:sz w:val="22"/>
                <w:szCs w:val="22"/>
              </w:rPr>
              <w:t xml:space="preserve">Conservez toujours les champs dans un état de grande propreté. Éliminez tous les résidus (plantes de la campagne précédentes et résidus végétaux, par exemple) ; la plupart des résidus sont employés comme fourrage pour le bétail. Arrachez et détruisez les cultures présentant des symptômes de maladie en début de cycle végétatif. A l’issue de la récolte, éliminez les résidus de culture (fauchez-les et utilisez-les comme fourrage pour le bétail ou enfouissez-les) </w:t>
            </w:r>
          </w:p>
        </w:tc>
        <w:tc>
          <w:tcPr>
            <w:tcW w:w="3840" w:type="dxa"/>
            <w:tcBorders/>
          </w:tcPr>
          <w:p>
            <w:pPr>
              <w:pStyle w:val="style0"/>
              <w:autoSpaceDE w:val="false"/>
              <w:autoSpaceDN w:val="false"/>
              <w:adjustRightInd w:val="false"/>
              <w:spacing w:before="0"/>
              <w:rPr>
                <w:color w:val="000000"/>
                <w:sz w:val="22"/>
                <w:szCs w:val="22"/>
              </w:rPr>
            </w:pPr>
            <w:r>
              <w:rPr>
                <w:color w:val="000000"/>
                <w:sz w:val="22"/>
                <w:szCs w:val="22"/>
              </w:rPr>
              <w:t xml:space="preserve">Ces résultats empêchent la prolifération des ravageurs et les maladies et leur passage d’une compagne à l’autre. Les ravageurs et les maladies ne peuvent se propager à l’ensemble de l’exploitation. </w:t>
            </w:r>
          </w:p>
        </w:tc>
      </w:tr>
      <w:tr>
        <w:tblPrEx/>
        <w:trPr>
          <w:jc w:val="center"/>
        </w:trPr>
        <w:tc>
          <w:tcPr>
            <w:tcW w:w="1597" w:type="dxa"/>
            <w:tcBorders/>
          </w:tcPr>
          <w:p>
            <w:pPr>
              <w:pStyle w:val="style0"/>
              <w:autoSpaceDE w:val="false"/>
              <w:autoSpaceDN w:val="false"/>
              <w:adjustRightInd w:val="false"/>
              <w:spacing w:before="0"/>
              <w:rPr>
                <w:color w:val="000000"/>
                <w:sz w:val="22"/>
                <w:szCs w:val="22"/>
              </w:rPr>
            </w:pPr>
            <w:r>
              <w:rPr>
                <w:b/>
                <w:bCs/>
                <w:color w:val="000000"/>
                <w:sz w:val="22"/>
                <w:szCs w:val="22"/>
              </w:rPr>
              <w:t>PRINCIPE 12</w:t>
            </w:r>
          </w:p>
          <w:p>
            <w:pPr>
              <w:pStyle w:val="style0"/>
              <w:autoSpaceDE w:val="false"/>
              <w:autoSpaceDN w:val="false"/>
              <w:adjustRightInd w:val="false"/>
              <w:spacing w:before="0"/>
              <w:rPr>
                <w:color w:val="000000"/>
                <w:sz w:val="22"/>
                <w:szCs w:val="22"/>
              </w:rPr>
            </w:pPr>
            <w:r>
              <w:rPr>
                <w:color w:val="000000"/>
                <w:sz w:val="22"/>
                <w:szCs w:val="22"/>
              </w:rPr>
              <w:t>Lutter efficacement contre les ravageurs et les maladies</w:t>
            </w:r>
          </w:p>
        </w:tc>
        <w:tc>
          <w:tcPr>
            <w:tcW w:w="4795" w:type="dxa"/>
            <w:tcBorders/>
          </w:tcPr>
          <w:p>
            <w:pPr>
              <w:pStyle w:val="style0"/>
              <w:autoSpaceDE w:val="false"/>
              <w:autoSpaceDN w:val="false"/>
              <w:adjustRightInd w:val="false"/>
              <w:spacing w:before="0"/>
              <w:rPr>
                <w:color w:val="000000"/>
                <w:sz w:val="22"/>
                <w:szCs w:val="22"/>
              </w:rPr>
            </w:pPr>
            <w:r>
              <w:rPr>
                <w:color w:val="000000"/>
                <w:sz w:val="22"/>
                <w:szCs w:val="22"/>
              </w:rPr>
              <w:t xml:space="preserve">Adopte une stratégie sur la prévention et l’accroissement des populations auxiliaires. Évitez les moyens de lutte nocifs pour l’homme ou la culture ainsi que ceux qui dégradent l’environnement ; privilégier les méthodes mécaniques ou naturelles (extrait de graines/feuilles de neem, solution savonneuse </w:t>
            </w:r>
          </w:p>
          <w:p>
            <w:pPr>
              <w:pStyle w:val="style0"/>
              <w:autoSpaceDE w:val="false"/>
              <w:autoSpaceDN w:val="false"/>
              <w:adjustRightInd w:val="false"/>
              <w:spacing w:before="0"/>
              <w:rPr>
                <w:color w:val="000000"/>
                <w:sz w:val="22"/>
                <w:szCs w:val="22"/>
              </w:rPr>
            </w:pPr>
            <w:r>
              <w:rPr>
                <w:color w:val="000000"/>
                <w:sz w:val="22"/>
                <w:szCs w:val="22"/>
              </w:rPr>
              <w:t xml:space="preserve">par exemple). Si le recours aux pesticides chimiques s’avères inévitable, (par exemple cas de forêts infestation de ravageurs, appliquer le produit adéquat aux zones recommandées, selon la technique requise en respectant les mesures de précaution. </w:t>
            </w:r>
          </w:p>
        </w:tc>
        <w:tc>
          <w:tcPr>
            <w:tcW w:w="3840" w:type="dxa"/>
            <w:tcBorders/>
          </w:tcPr>
          <w:p>
            <w:pPr>
              <w:pStyle w:val="style0"/>
              <w:autoSpaceDE w:val="false"/>
              <w:autoSpaceDN w:val="false"/>
              <w:adjustRightInd w:val="false"/>
              <w:spacing w:before="0"/>
              <w:rPr>
                <w:color w:val="000000"/>
                <w:sz w:val="22"/>
                <w:szCs w:val="22"/>
              </w:rPr>
            </w:pPr>
            <w:r>
              <w:rPr>
                <w:color w:val="000000"/>
                <w:sz w:val="22"/>
                <w:szCs w:val="22"/>
              </w:rPr>
              <w:t xml:space="preserve">Les problèmes de ravageurs et les maladies sont circonscrits, autorisant une production élevée et durable, avec un minimum d’intrant coûteux. Les produits naturels sont moins onéreux et moins nocifs pour l’homme et </w:t>
            </w:r>
          </w:p>
        </w:tc>
      </w:tr>
      <w:tr>
        <w:tblPrEx/>
        <w:trPr>
          <w:jc w:val="center"/>
        </w:trPr>
        <w:tc>
          <w:tcPr>
            <w:tcW w:w="1597" w:type="dxa"/>
            <w:tcBorders/>
          </w:tcPr>
          <w:p>
            <w:pPr>
              <w:pStyle w:val="style0"/>
              <w:autoSpaceDE w:val="false"/>
              <w:autoSpaceDN w:val="false"/>
              <w:adjustRightInd w:val="false"/>
              <w:spacing w:before="0"/>
              <w:rPr>
                <w:color w:val="000000"/>
                <w:sz w:val="22"/>
                <w:szCs w:val="22"/>
              </w:rPr>
            </w:pPr>
            <w:r>
              <w:rPr>
                <w:b/>
                <w:bCs/>
                <w:color w:val="000000"/>
                <w:sz w:val="22"/>
                <w:szCs w:val="22"/>
              </w:rPr>
              <w:t xml:space="preserve">PRINCIPE </w:t>
            </w:r>
            <w:r>
              <w:rPr>
                <w:b/>
                <w:bCs/>
                <w:color w:val="000000"/>
                <w:sz w:val="22"/>
                <w:szCs w:val="22"/>
              </w:rPr>
              <w:t>13</w:t>
            </w:r>
          </w:p>
          <w:p>
            <w:pPr>
              <w:pStyle w:val="style0"/>
              <w:autoSpaceDE w:val="false"/>
              <w:autoSpaceDN w:val="false"/>
              <w:adjustRightInd w:val="false"/>
              <w:spacing w:before="0"/>
              <w:rPr>
                <w:color w:val="000000"/>
                <w:sz w:val="22"/>
                <w:szCs w:val="22"/>
              </w:rPr>
            </w:pPr>
            <w:r>
              <w:rPr>
                <w:color w:val="000000"/>
                <w:sz w:val="22"/>
                <w:szCs w:val="22"/>
              </w:rPr>
              <w:t>Favoriser l’accroissement des populations d’ennemis naturels (auxiliaires)</w:t>
            </w:r>
          </w:p>
        </w:tc>
        <w:tc>
          <w:tcPr>
            <w:tcW w:w="4795" w:type="dxa"/>
            <w:tcBorders/>
          </w:tcPr>
          <w:p>
            <w:pPr>
              <w:pStyle w:val="style0"/>
              <w:autoSpaceDE w:val="false"/>
              <w:autoSpaceDN w:val="false"/>
              <w:adjustRightInd w:val="false"/>
              <w:spacing w:before="0"/>
              <w:rPr>
                <w:color w:val="000000"/>
                <w:sz w:val="22"/>
                <w:szCs w:val="22"/>
              </w:rPr>
            </w:pPr>
            <w:r>
              <w:rPr>
                <w:color w:val="000000"/>
                <w:sz w:val="22"/>
                <w:szCs w:val="22"/>
              </w:rPr>
              <w:t xml:space="preserve">Adopter des pratiques qui créent des conditions environnementales favorables à la reproduction des ennemis (utilisation minimale de pesticide de synthèse, emploie de producteurs d’origine végétale comme les extraits de neem et paillage pour stimuler la reproduction des ennemis naturels comme les fourmis prédatrices, les araignées, les carabes, les syrphides et les coccinelles). </w:t>
            </w:r>
          </w:p>
        </w:tc>
        <w:tc>
          <w:tcPr>
            <w:tcW w:w="3840" w:type="dxa"/>
            <w:tcBorders/>
          </w:tcPr>
          <w:p>
            <w:pPr>
              <w:pStyle w:val="style0"/>
              <w:autoSpaceDE w:val="false"/>
              <w:autoSpaceDN w:val="false"/>
              <w:adjustRightInd w:val="false"/>
              <w:spacing w:before="0"/>
              <w:rPr>
                <w:color w:val="000000"/>
                <w:sz w:val="22"/>
                <w:szCs w:val="22"/>
              </w:rPr>
            </w:pPr>
            <w:r>
              <w:rPr>
                <w:color w:val="000000"/>
                <w:sz w:val="22"/>
                <w:szCs w:val="22"/>
              </w:rPr>
              <w:t xml:space="preserve">Les populations de ravageurs sont maitrisées efficacement et naturellement par les importantes populations d’ennemis naturels. La maitrise naturelle des ravageurs ne nuit ni à l’homme ni à l’environnement. </w:t>
            </w:r>
          </w:p>
        </w:tc>
      </w:tr>
      <w:tr>
        <w:tblPrEx/>
        <w:trPr>
          <w:jc w:val="center"/>
        </w:trPr>
        <w:tc>
          <w:tcPr>
            <w:tcW w:w="1597" w:type="dxa"/>
            <w:tcBorders/>
          </w:tcPr>
          <w:p>
            <w:pPr>
              <w:pStyle w:val="style0"/>
              <w:autoSpaceDE w:val="false"/>
              <w:autoSpaceDN w:val="false"/>
              <w:adjustRightInd w:val="false"/>
              <w:spacing w:before="0"/>
              <w:rPr>
                <w:color w:val="000000"/>
                <w:sz w:val="22"/>
                <w:szCs w:val="22"/>
              </w:rPr>
            </w:pPr>
            <w:r>
              <w:rPr>
                <w:b/>
                <w:bCs/>
                <w:color w:val="000000"/>
                <w:sz w:val="22"/>
                <w:szCs w:val="22"/>
              </w:rPr>
              <w:t>PRINCIPE 14</w:t>
            </w:r>
          </w:p>
          <w:p>
            <w:pPr>
              <w:pStyle w:val="style0"/>
              <w:autoSpaceDE w:val="false"/>
              <w:autoSpaceDN w:val="false"/>
              <w:adjustRightInd w:val="false"/>
              <w:spacing w:before="0"/>
              <w:rPr>
                <w:color w:val="000000"/>
                <w:sz w:val="22"/>
                <w:szCs w:val="22"/>
              </w:rPr>
            </w:pPr>
            <w:r>
              <w:rPr>
                <w:color w:val="000000"/>
                <w:sz w:val="22"/>
                <w:szCs w:val="22"/>
              </w:rPr>
              <w:t>Réduire au minimum l’application de pesticides chimiques</w:t>
            </w:r>
          </w:p>
        </w:tc>
        <w:tc>
          <w:tcPr>
            <w:tcW w:w="4795" w:type="dxa"/>
            <w:tcBorders/>
          </w:tcPr>
          <w:p>
            <w:pPr>
              <w:pStyle w:val="style0"/>
              <w:autoSpaceDE w:val="false"/>
              <w:autoSpaceDN w:val="false"/>
              <w:adjustRightInd w:val="false"/>
              <w:spacing w:before="0"/>
              <w:rPr>
                <w:color w:val="000000"/>
                <w:sz w:val="22"/>
                <w:szCs w:val="22"/>
              </w:rPr>
            </w:pPr>
            <w:r>
              <w:rPr>
                <w:color w:val="000000"/>
                <w:sz w:val="22"/>
                <w:szCs w:val="22"/>
              </w:rPr>
              <w:t xml:space="preserve">Éviter l’application systématique et régulière des pesticides. En cas de besoin réel, traitez uniquement avec des pesticides sélectifs. Privilégiez les produits d’origine végétale. Abstenez-vous de traiter avec des produits phytopharmaceutiques dès l’apparition des premiers ravageurs ou des premiers symptômes. Analysez toujours l’agro-système avant toute décision de traitement. En cas de pullulation des ravageurs et de dégâts importants, traitez avec des produits naturels (extraits de graines/feuilles de neem ou solution savonneuse). </w:t>
            </w:r>
          </w:p>
        </w:tc>
        <w:tc>
          <w:tcPr>
            <w:tcW w:w="3840" w:type="dxa"/>
            <w:tcBorders/>
          </w:tcPr>
          <w:p>
            <w:pPr>
              <w:pStyle w:val="style0"/>
              <w:autoSpaceDE w:val="false"/>
              <w:autoSpaceDN w:val="false"/>
              <w:adjustRightInd w:val="false"/>
              <w:spacing w:before="0"/>
              <w:rPr>
                <w:color w:val="000000"/>
                <w:sz w:val="22"/>
                <w:szCs w:val="22"/>
              </w:rPr>
            </w:pPr>
            <w:r>
              <w:rPr>
                <w:color w:val="000000"/>
                <w:sz w:val="22"/>
                <w:szCs w:val="22"/>
              </w:rPr>
              <w:t xml:space="preserve">L’utilisation parcimonieuse de pesticides chimiques sélectifs permet aux populations d’auxiliaire (fourmis, prédatrices, araignées, mantes et coccinelles, par exemple) de se développer au détriment des ravageurs. Il s’agit d’une méthode naturelle de lutte contre les ravageurs </w:t>
            </w:r>
          </w:p>
        </w:tc>
      </w:tr>
      <w:tr>
        <w:tblPrEx/>
        <w:trPr>
          <w:jc w:val="center"/>
        </w:trPr>
        <w:tc>
          <w:tcPr>
            <w:tcW w:w="1597" w:type="dxa"/>
            <w:tcBorders/>
          </w:tcPr>
          <w:p>
            <w:pPr>
              <w:pStyle w:val="style0"/>
              <w:autoSpaceDE w:val="false"/>
              <w:autoSpaceDN w:val="false"/>
              <w:adjustRightInd w:val="false"/>
              <w:spacing w:before="0"/>
              <w:rPr>
                <w:color w:val="000000"/>
                <w:sz w:val="22"/>
                <w:szCs w:val="22"/>
              </w:rPr>
            </w:pPr>
            <w:r>
              <w:rPr>
                <w:b/>
                <w:bCs/>
                <w:color w:val="000000"/>
                <w:sz w:val="22"/>
                <w:szCs w:val="22"/>
              </w:rPr>
              <w:t>PRINCIPE 15</w:t>
            </w:r>
          </w:p>
          <w:p>
            <w:pPr>
              <w:pStyle w:val="style0"/>
              <w:autoSpaceDE w:val="false"/>
              <w:autoSpaceDN w:val="false"/>
              <w:adjustRightInd w:val="false"/>
              <w:spacing w:before="0"/>
              <w:rPr>
                <w:color w:val="000000"/>
                <w:sz w:val="22"/>
                <w:szCs w:val="22"/>
              </w:rPr>
            </w:pPr>
            <w:r>
              <w:rPr>
                <w:color w:val="000000"/>
                <w:sz w:val="22"/>
                <w:szCs w:val="22"/>
              </w:rPr>
              <w:t>Adopter de bonnes pratiques de récolte</w:t>
            </w:r>
          </w:p>
        </w:tc>
        <w:tc>
          <w:tcPr>
            <w:tcW w:w="4795" w:type="dxa"/>
            <w:tcBorders/>
          </w:tcPr>
          <w:p>
            <w:pPr>
              <w:pStyle w:val="style0"/>
              <w:autoSpaceDE w:val="false"/>
              <w:autoSpaceDN w:val="false"/>
              <w:adjustRightInd w:val="false"/>
              <w:spacing w:before="0"/>
              <w:rPr>
                <w:color w:val="000000"/>
                <w:sz w:val="22"/>
                <w:szCs w:val="22"/>
              </w:rPr>
            </w:pPr>
            <w:r>
              <w:rPr>
                <w:color w:val="000000"/>
                <w:sz w:val="22"/>
                <w:szCs w:val="22"/>
              </w:rPr>
              <w:t xml:space="preserve">Récoltez les cultures dès leur maturité ; soyez prudent pur éviter de blesser, de déchirer, de casser ou de causer d’autres dégâts aux produits récoltés. Évitez de récolter ou de stocker des fruits et légumes en plein soleil. </w:t>
            </w:r>
          </w:p>
        </w:tc>
        <w:tc>
          <w:tcPr>
            <w:tcW w:w="3840" w:type="dxa"/>
            <w:tcBorders/>
          </w:tcPr>
          <w:p>
            <w:pPr>
              <w:pStyle w:val="style0"/>
              <w:autoSpaceDE w:val="false"/>
              <w:autoSpaceDN w:val="false"/>
              <w:adjustRightInd w:val="false"/>
              <w:spacing w:before="0"/>
              <w:rPr>
                <w:color w:val="000000"/>
                <w:sz w:val="22"/>
                <w:szCs w:val="22"/>
              </w:rPr>
            </w:pPr>
            <w:r>
              <w:rPr>
                <w:color w:val="000000"/>
                <w:sz w:val="22"/>
                <w:szCs w:val="22"/>
              </w:rPr>
              <w:t xml:space="preserve">Les cultivateurs obtiennent de meilleurs prix pur des produits propres et indemnes. Les produits indemnes se conservent plus facilement car ils ne présentent aucun point d’entré aux ravageurs et aux agents pathogènes. Les produits fraîchement récoltés et maintenus à basse température se conservent plus longtemps. </w:t>
            </w:r>
          </w:p>
        </w:tc>
      </w:tr>
      <w:tr>
        <w:tblPrEx/>
        <w:trPr>
          <w:jc w:val="center"/>
        </w:trPr>
        <w:tc>
          <w:tcPr>
            <w:tcW w:w="1597" w:type="dxa"/>
            <w:tcBorders/>
          </w:tcPr>
          <w:p>
            <w:pPr>
              <w:pStyle w:val="style0"/>
              <w:autoSpaceDE w:val="false"/>
              <w:autoSpaceDN w:val="false"/>
              <w:adjustRightInd w:val="false"/>
              <w:spacing w:before="0"/>
              <w:rPr>
                <w:color w:val="000000"/>
                <w:sz w:val="22"/>
                <w:szCs w:val="22"/>
              </w:rPr>
            </w:pPr>
            <w:r>
              <w:rPr>
                <w:b/>
                <w:bCs/>
                <w:color w:val="000000"/>
                <w:sz w:val="22"/>
                <w:szCs w:val="22"/>
              </w:rPr>
              <w:t>PRINCIPE 16</w:t>
            </w:r>
          </w:p>
          <w:p>
            <w:pPr>
              <w:pStyle w:val="style0"/>
              <w:autoSpaceDE w:val="false"/>
              <w:autoSpaceDN w:val="false"/>
              <w:adjustRightInd w:val="false"/>
              <w:spacing w:before="0"/>
              <w:rPr>
                <w:color w:val="000000"/>
                <w:sz w:val="22"/>
                <w:szCs w:val="22"/>
              </w:rPr>
            </w:pPr>
            <w:r>
              <w:rPr>
                <w:color w:val="000000"/>
                <w:sz w:val="22"/>
                <w:szCs w:val="22"/>
              </w:rPr>
              <w:t>Adopter des dispositifs de stockage propres et de qualité.</w:t>
            </w:r>
          </w:p>
        </w:tc>
        <w:tc>
          <w:tcPr>
            <w:tcW w:w="4795" w:type="dxa"/>
            <w:tcBorders/>
          </w:tcPr>
          <w:p>
            <w:pPr>
              <w:pStyle w:val="style0"/>
              <w:autoSpaceDE w:val="false"/>
              <w:autoSpaceDN w:val="false"/>
              <w:adjustRightInd w:val="false"/>
              <w:spacing w:before="0"/>
              <w:rPr>
                <w:color w:val="000000"/>
                <w:sz w:val="22"/>
                <w:szCs w:val="22"/>
              </w:rPr>
            </w:pPr>
            <w:r>
              <w:rPr>
                <w:color w:val="000000"/>
                <w:sz w:val="22"/>
                <w:szCs w:val="22"/>
              </w:rPr>
              <w:t xml:space="preserve">Les magasins sont toujours propres, sec et bien ventilés. Stockez uniquement des produits entiers. Conservez les récoltes dans des conteneurs hermétiques pour les protéger contre les ravageurs des greniers. En général, les dégâts causés par les ravageurs des stocks s’aggravent fortement après trois mois de stockage ; par conséquent, répartissez les récoltes en plusieurs lots selon la durée de conservation. Traitez uniquement les lots destinés à une conservation de longue durée (avec des produits adéquats comme de l’huile de neem ou des pesticides recommandés pour les produits stockés). </w:t>
            </w:r>
          </w:p>
        </w:tc>
        <w:tc>
          <w:tcPr>
            <w:tcW w:w="3840" w:type="dxa"/>
            <w:tcBorders/>
          </w:tcPr>
          <w:p>
            <w:pPr>
              <w:pStyle w:val="style0"/>
              <w:autoSpaceDE w:val="false"/>
              <w:autoSpaceDN w:val="false"/>
              <w:adjustRightInd w:val="false"/>
              <w:spacing w:before="0"/>
              <w:rPr>
                <w:color w:val="000000"/>
                <w:sz w:val="22"/>
                <w:szCs w:val="22"/>
              </w:rPr>
            </w:pPr>
            <w:r>
              <w:rPr>
                <w:color w:val="000000"/>
                <w:sz w:val="22"/>
                <w:szCs w:val="22"/>
              </w:rPr>
              <w:t xml:space="preserve">La qualité des produits stockés est conservée pendant l’entreposage. Les produits stockés sont peu exposés aux attaques des ravageurs et des agents pathogènes. Les grains stockés restent secs. Les pesticides recommandés pour le traitement des stocks sont utilisés économiquement. </w:t>
            </w:r>
          </w:p>
        </w:tc>
      </w:tr>
    </w:tbl>
    <w:p>
      <w:pPr>
        <w:pStyle w:val="style0"/>
        <w:rPr>
          <w:sz w:val="23"/>
          <w:szCs w:val="23"/>
        </w:rPr>
      </w:pPr>
      <w:r>
        <w:br w:type="page"/>
      </w:r>
    </w:p>
    <w:bookmarkStart w:id="1088" w:name="_Toc2831260"/>
    <w:p>
      <w:pPr>
        <w:pStyle w:val="style2"/>
        <w:numPr>
          <w:ilvl w:val="0"/>
          <w:numId w:val="0"/>
        </w:numPr>
        <w:ind w:left="699"/>
        <w:rPr/>
      </w:pPr>
      <w:r>
        <w:t xml:space="preserve">Annexe 3 : </w:t>
      </w:r>
      <w:r>
        <w:t>Guide de bonnes pratiques de Gestion des pesticides</w:t>
      </w:r>
      <w:bookmarkEnd w:id="1088"/>
    </w:p>
    <w:p>
      <w:pPr>
        <w:pStyle w:val="style0"/>
        <w:autoSpaceDE w:val="false"/>
        <w:autoSpaceDN w:val="false"/>
        <w:adjustRightInd w:val="false"/>
        <w:spacing w:before="0"/>
        <w:rPr>
          <w:rFonts w:eastAsia="Calibri"/>
          <w:color w:val="000000"/>
        </w:rPr>
      </w:pPr>
      <w:r>
        <w:rPr>
          <w:rFonts w:eastAsia="Calibri"/>
          <w:b/>
          <w:bCs/>
          <w:color w:val="000000"/>
        </w:rPr>
        <w:t xml:space="preserve">Mesures requises pour la réduction des risques liés aux pesticides </w:t>
      </w:r>
    </w:p>
    <w:p>
      <w:pPr>
        <w:pStyle w:val="style0"/>
        <w:autoSpaceDE w:val="false"/>
        <w:autoSpaceDN w:val="false"/>
        <w:adjustRightInd w:val="false"/>
        <w:spacing w:before="0"/>
        <w:rPr>
          <w:rFonts w:eastAsia="Calibri"/>
          <w:b/>
          <w:bCs/>
          <w:i/>
          <w:iCs/>
          <w:color w:val="000000"/>
        </w:rPr>
      </w:pPr>
    </w:p>
    <w:p>
      <w:pPr>
        <w:pStyle w:val="style0"/>
        <w:autoSpaceDE w:val="false"/>
        <w:autoSpaceDN w:val="false"/>
        <w:adjustRightInd w:val="false"/>
        <w:spacing w:before="0"/>
        <w:rPr>
          <w:rFonts w:eastAsia="Calibri"/>
          <w:color w:val="000000"/>
        </w:rPr>
      </w:pPr>
      <w:r>
        <w:rPr>
          <w:rFonts w:eastAsia="Calibri"/>
          <w:b/>
          <w:bCs/>
          <w:i/>
          <w:iCs/>
          <w:color w:val="000000"/>
        </w:rPr>
        <w:t xml:space="preserve">Sécurité d’emploi des pesticides </w:t>
      </w:r>
    </w:p>
    <w:p>
      <w:pPr>
        <w:pStyle w:val="style0"/>
        <w:autoSpaceDE w:val="false"/>
        <w:autoSpaceDN w:val="false"/>
        <w:adjustRightInd w:val="false"/>
        <w:spacing w:before="0"/>
        <w:rPr>
          <w:rFonts w:eastAsia="Calibri"/>
          <w:color w:val="000000"/>
        </w:rPr>
      </w:pPr>
      <w:r>
        <w:rPr>
          <w:rFonts w:eastAsia="Calibri"/>
          <w:color w:val="000000"/>
        </w:rPr>
        <w:t xml:space="preserve">Les pesticides sont toxiques pour les vermines mais aussi pour l’Homme. Cependant, si l’on prend des précautions suffisantes, ils ne devraient constituer une menace ni pour la population, ni pour les espèces animales non visées. La plupart d’entre eux peuvent avoir des effets nocifs si on les avale ou s’ils restent en contact prolongé avec la peau. Lorsqu’on pulvérise un pesticide sous forme de fines particules, on risque d’en absorber avec l’air que l’on respire. Il existe en outre un risque de contamination de l’eau, de la nourriture et du sol. Des précautions particulières doivent être prises pendant le transport, le stockage et la manipulation des pesticides. Il faut nettoyer régulièrement le matériel d’épandage et bien l’entretenir pour éviter les fuites. Les personnes qui se servent de pesticides doivent apprendre à les utiliser en toute sécurité. </w:t>
      </w:r>
    </w:p>
    <w:p>
      <w:pPr>
        <w:pStyle w:val="style0"/>
        <w:autoSpaceDE w:val="false"/>
        <w:autoSpaceDN w:val="false"/>
        <w:adjustRightInd w:val="false"/>
        <w:spacing w:before="0"/>
        <w:rPr>
          <w:rFonts w:eastAsia="Calibri"/>
          <w:b/>
          <w:bCs/>
          <w:i/>
          <w:iCs/>
          <w:color w:val="000000"/>
        </w:rPr>
      </w:pPr>
    </w:p>
    <w:p>
      <w:pPr>
        <w:pStyle w:val="style0"/>
        <w:autoSpaceDE w:val="false"/>
        <w:autoSpaceDN w:val="false"/>
        <w:adjustRightInd w:val="false"/>
        <w:spacing w:before="0"/>
        <w:rPr>
          <w:rFonts w:eastAsia="Calibri"/>
          <w:color w:val="000000"/>
        </w:rPr>
      </w:pPr>
      <w:r>
        <w:rPr>
          <w:rFonts w:eastAsia="Calibri"/>
          <w:b/>
          <w:bCs/>
          <w:i/>
          <w:iCs/>
          <w:color w:val="000000"/>
        </w:rPr>
        <w:t xml:space="preserve">Homologation des insecticides </w:t>
      </w:r>
    </w:p>
    <w:p>
      <w:pPr>
        <w:pStyle w:val="style0"/>
        <w:autoSpaceDE w:val="false"/>
        <w:autoSpaceDN w:val="false"/>
        <w:adjustRightInd w:val="false"/>
        <w:spacing w:before="0"/>
        <w:rPr>
          <w:rFonts w:eastAsia="Calibri"/>
          <w:color w:val="000000"/>
        </w:rPr>
      </w:pPr>
      <w:r>
        <w:rPr>
          <w:rFonts w:eastAsia="Calibri"/>
          <w:color w:val="000000"/>
        </w:rPr>
        <w:t xml:space="preserve">Renforcer la procédure d’homologation des insecticides en veillant sur : </w:t>
      </w:r>
    </w:p>
    <w:p>
      <w:pPr>
        <w:pStyle w:val="style0"/>
        <w:numPr>
          <w:ilvl w:val="0"/>
          <w:numId w:val="5"/>
        </w:numPr>
        <w:autoSpaceDE w:val="false"/>
        <w:autoSpaceDN w:val="false"/>
        <w:adjustRightInd w:val="false"/>
        <w:spacing w:before="0"/>
        <w:jc w:val="left"/>
        <w:rPr>
          <w:rFonts w:eastAsia="Calibri"/>
          <w:color w:val="000000"/>
        </w:rPr>
      </w:pPr>
      <w:r>
        <w:rPr>
          <w:rFonts w:eastAsia="Calibri"/>
          <w:color w:val="000000"/>
        </w:rPr>
        <w:t xml:space="preserve">l’harmonisation, entre le système national d’homologation des pesticides et autres produits utilisés en santé publique ; </w:t>
      </w:r>
    </w:p>
    <w:p>
      <w:pPr>
        <w:pStyle w:val="style0"/>
        <w:numPr>
          <w:ilvl w:val="0"/>
          <w:numId w:val="5"/>
        </w:numPr>
        <w:autoSpaceDE w:val="false"/>
        <w:autoSpaceDN w:val="false"/>
        <w:adjustRightInd w:val="false"/>
        <w:spacing w:before="0"/>
        <w:jc w:val="left"/>
        <w:rPr>
          <w:rFonts w:eastAsia="Calibri"/>
          <w:color w:val="000000"/>
        </w:rPr>
      </w:pPr>
      <w:r>
        <w:rPr>
          <w:rFonts w:eastAsia="Calibri"/>
          <w:color w:val="000000"/>
        </w:rPr>
        <w:t xml:space="preserve">l’adoption des spécifications de l’OMS applicables aux pesticides aux fins de la procédure nationale d’homologation ; </w:t>
      </w:r>
    </w:p>
    <w:p>
      <w:pPr>
        <w:pStyle w:val="style0"/>
        <w:numPr>
          <w:ilvl w:val="0"/>
          <w:numId w:val="5"/>
        </w:numPr>
        <w:autoSpaceDE w:val="false"/>
        <w:autoSpaceDN w:val="false"/>
        <w:adjustRightInd w:val="false"/>
        <w:spacing w:before="0"/>
        <w:jc w:val="left"/>
        <w:rPr>
          <w:rFonts w:eastAsia="Calibri"/>
          <w:color w:val="000000"/>
        </w:rPr>
      </w:pPr>
      <w:r>
        <w:rPr>
          <w:rFonts w:eastAsia="Calibri"/>
          <w:color w:val="000000"/>
        </w:rPr>
        <w:t xml:space="preserve">le renforcement de l’organisme pilote en matière de réglementation ; </w:t>
      </w:r>
    </w:p>
    <w:p>
      <w:pPr>
        <w:pStyle w:val="style0"/>
        <w:numPr>
          <w:ilvl w:val="0"/>
          <w:numId w:val="5"/>
        </w:numPr>
        <w:autoSpaceDE w:val="false"/>
        <w:autoSpaceDN w:val="false"/>
        <w:adjustRightInd w:val="false"/>
        <w:spacing w:before="0"/>
        <w:jc w:val="left"/>
        <w:rPr>
          <w:rFonts w:eastAsia="Calibri"/>
          <w:color w:val="000000"/>
        </w:rPr>
      </w:pPr>
      <w:r>
        <w:rPr>
          <w:rFonts w:eastAsia="Calibri"/>
          <w:color w:val="000000"/>
        </w:rPr>
        <w:t xml:space="preserve">la collecte et la publication des données relatives aux produits importés et manufacturés ; </w:t>
      </w:r>
    </w:p>
    <w:p>
      <w:pPr>
        <w:pStyle w:val="style0"/>
        <w:numPr>
          <w:ilvl w:val="0"/>
          <w:numId w:val="5"/>
        </w:numPr>
        <w:autoSpaceDE w:val="false"/>
        <w:autoSpaceDN w:val="false"/>
        <w:adjustRightInd w:val="false"/>
        <w:spacing w:before="0"/>
        <w:jc w:val="left"/>
        <w:rPr>
          <w:rFonts w:eastAsia="Calibri"/>
          <w:color w:val="000000"/>
        </w:rPr>
      </w:pPr>
      <w:r>
        <w:rPr>
          <w:rFonts w:eastAsia="Calibri"/>
          <w:color w:val="000000"/>
        </w:rPr>
        <w:t xml:space="preserve">la revue périodique de l’homologation. </w:t>
      </w:r>
    </w:p>
    <w:p>
      <w:pPr>
        <w:pStyle w:val="style0"/>
        <w:autoSpaceDE w:val="false"/>
        <w:autoSpaceDN w:val="false"/>
        <w:adjustRightInd w:val="false"/>
        <w:spacing w:before="0"/>
        <w:rPr>
          <w:rFonts w:eastAsia="Calibri"/>
          <w:color w:val="000000"/>
        </w:rPr>
      </w:pPr>
    </w:p>
    <w:p>
      <w:pPr>
        <w:pStyle w:val="style0"/>
        <w:autoSpaceDE w:val="false"/>
        <w:autoSpaceDN w:val="false"/>
        <w:adjustRightInd w:val="false"/>
        <w:spacing w:before="0"/>
        <w:rPr>
          <w:rFonts w:eastAsia="Calibri"/>
          <w:color w:val="000000"/>
        </w:rPr>
      </w:pPr>
      <w:r>
        <w:rPr>
          <w:rFonts w:eastAsia="Calibri"/>
          <w:color w:val="000000"/>
        </w:rPr>
        <w:t xml:space="preserve">Il est également recommandé, lorsque des achats de pesticides sont envisagés pour combattre des vecteurs, de s’inspirer des principes directeurs énoncés par l’OMS. Pour l’acquisition des insecticides destinés à la santé publique les lignes de conduite suivantes sont préconisées : </w:t>
      </w:r>
    </w:p>
    <w:p>
      <w:pPr>
        <w:pStyle w:val="style0"/>
        <w:numPr>
          <w:ilvl w:val="0"/>
          <w:numId w:val="104"/>
        </w:numPr>
        <w:autoSpaceDE w:val="false"/>
        <w:autoSpaceDN w:val="false"/>
        <w:adjustRightInd w:val="false"/>
        <w:spacing w:before="0"/>
        <w:jc w:val="left"/>
        <w:rPr>
          <w:rFonts w:eastAsia="Calibri"/>
          <w:color w:val="000000"/>
        </w:rPr>
      </w:pPr>
      <w:r>
        <w:rPr>
          <w:rFonts w:eastAsia="Calibri"/>
          <w:color w:val="000000"/>
        </w:rPr>
        <w:t xml:space="preserve">élaborer des directives nationales applicables aux achats de produits destinés à la lutte anti- vectorielle et veiller à ce que tous les organismes acheteurs les respectent scrupuleusement ; </w:t>
      </w:r>
    </w:p>
    <w:p>
      <w:pPr>
        <w:pStyle w:val="style0"/>
        <w:numPr>
          <w:ilvl w:val="0"/>
          <w:numId w:val="104"/>
        </w:numPr>
        <w:autoSpaceDE w:val="false"/>
        <w:autoSpaceDN w:val="false"/>
        <w:adjustRightInd w:val="false"/>
        <w:spacing w:before="0"/>
        <w:jc w:val="left"/>
        <w:rPr>
          <w:rFonts w:eastAsia="Calibri"/>
          <w:color w:val="000000"/>
        </w:rPr>
      </w:pPr>
      <w:r>
        <w:rPr>
          <w:rFonts w:eastAsia="Calibri"/>
          <w:color w:val="000000"/>
        </w:rPr>
        <w:t xml:space="preserve">se référer aux principes directeurs énoncés par l’OMS ou la FAO au sujet des appels d’offres, aux recommandations de la FAO pour l’étiquetage et aux recommandations de l’OMS concernant les produits (pour les pulvérisations intra domiciliaires); </w:t>
      </w:r>
    </w:p>
    <w:p>
      <w:pPr>
        <w:pStyle w:val="style0"/>
        <w:numPr>
          <w:ilvl w:val="0"/>
          <w:numId w:val="104"/>
        </w:numPr>
        <w:autoSpaceDE w:val="false"/>
        <w:autoSpaceDN w:val="false"/>
        <w:adjustRightInd w:val="false"/>
        <w:spacing w:before="0"/>
        <w:jc w:val="left"/>
        <w:rPr>
          <w:rFonts w:eastAsia="Calibri"/>
          <w:color w:val="000000"/>
        </w:rPr>
      </w:pPr>
      <w:r>
        <w:rPr>
          <w:rFonts w:eastAsia="Calibri"/>
          <w:color w:val="000000"/>
        </w:rPr>
        <w:t xml:space="preserve">faire figurer dans les appels d’offres les détails de l’appui technique, de la maintenance, de la formation et du recyclage des produits qui feront partie du service après-vente engageant les fabricants; appliquer le principe du retour à l’envoyeur ; </w:t>
      </w:r>
    </w:p>
    <w:p>
      <w:pPr>
        <w:pStyle w:val="style0"/>
        <w:numPr>
          <w:ilvl w:val="0"/>
          <w:numId w:val="104"/>
        </w:numPr>
        <w:autoSpaceDE w:val="false"/>
        <w:autoSpaceDN w:val="false"/>
        <w:adjustRightInd w:val="false"/>
        <w:spacing w:before="0"/>
        <w:jc w:val="left"/>
        <w:rPr>
          <w:rFonts w:eastAsia="Calibri"/>
          <w:color w:val="000000"/>
        </w:rPr>
      </w:pPr>
      <w:r>
        <w:rPr>
          <w:rFonts w:eastAsia="Calibri"/>
          <w:color w:val="000000"/>
        </w:rPr>
        <w:t xml:space="preserve">contrôler la qualité et la quantité de chaque lot d’insecticides et supports imprégnés avant la réception des commandes ; </w:t>
      </w:r>
    </w:p>
    <w:p>
      <w:pPr>
        <w:pStyle w:val="style0"/>
        <w:numPr>
          <w:ilvl w:val="0"/>
          <w:numId w:val="104"/>
        </w:numPr>
        <w:autoSpaceDE w:val="false"/>
        <w:autoSpaceDN w:val="false"/>
        <w:adjustRightInd w:val="false"/>
        <w:spacing w:before="0"/>
        <w:jc w:val="left"/>
        <w:rPr>
          <w:rFonts w:eastAsia="Calibri"/>
          <w:color w:val="000000"/>
        </w:rPr>
      </w:pPr>
      <w:r>
        <w:rPr>
          <w:rFonts w:eastAsia="Calibri"/>
          <w:color w:val="000000"/>
        </w:rPr>
        <w:t xml:space="preserve">veiller à ce que les produits soient clairement étiquetés en français et si possible en langue locale et dans le respect scrupuleux des exigences nationales ; </w:t>
      </w:r>
    </w:p>
    <w:p>
      <w:pPr>
        <w:pStyle w:val="style0"/>
        <w:numPr>
          <w:ilvl w:val="0"/>
          <w:numId w:val="104"/>
        </w:numPr>
        <w:autoSpaceDE w:val="false"/>
        <w:autoSpaceDN w:val="false"/>
        <w:adjustRightInd w:val="false"/>
        <w:spacing w:before="0"/>
        <w:jc w:val="left"/>
        <w:rPr>
          <w:rFonts w:eastAsia="Calibri"/>
          <w:color w:val="000000"/>
        </w:rPr>
      </w:pPr>
      <w:r>
        <w:rPr>
          <w:rFonts w:eastAsia="Calibri"/>
          <w:color w:val="000000"/>
        </w:rPr>
        <w:t xml:space="preserve">préciser quel type d’emballage permettra de garantir l’efficacité, la durée de conservation ainsi que la sécurité humaine et environnementale lors de la manipulation des produits conditionnés, dans le respect rigoureux des exigences nationales ; </w:t>
      </w:r>
    </w:p>
    <w:p>
      <w:pPr>
        <w:pStyle w:val="style0"/>
        <w:numPr>
          <w:ilvl w:val="0"/>
          <w:numId w:val="104"/>
        </w:numPr>
        <w:autoSpaceDE w:val="false"/>
        <w:autoSpaceDN w:val="false"/>
        <w:adjustRightInd w:val="false"/>
        <w:spacing w:before="0"/>
        <w:jc w:val="left"/>
        <w:rPr>
          <w:rFonts w:eastAsia="Calibri"/>
          <w:color w:val="000000"/>
        </w:rPr>
      </w:pPr>
      <w:r>
        <w:rPr>
          <w:rFonts w:eastAsia="Calibri"/>
          <w:color w:val="000000"/>
        </w:rPr>
        <w:t xml:space="preserve">veiller à ce que les dons de pesticides destinés à la santé publique respectent les prescriptions de la procédure d’homologation du Mali (CSP) et puissent être utilisés avant leur date de péremption ; </w:t>
      </w:r>
    </w:p>
    <w:p>
      <w:pPr>
        <w:pStyle w:val="style0"/>
        <w:numPr>
          <w:ilvl w:val="0"/>
          <w:numId w:val="104"/>
        </w:numPr>
        <w:autoSpaceDE w:val="false"/>
        <w:autoSpaceDN w:val="false"/>
        <w:adjustRightInd w:val="false"/>
        <w:spacing w:before="0"/>
        <w:jc w:val="left"/>
        <w:rPr>
          <w:rFonts w:eastAsia="Calibri"/>
          <w:color w:val="000000"/>
        </w:rPr>
      </w:pPr>
      <w:r>
        <w:rPr>
          <w:rFonts w:eastAsia="Calibri"/>
          <w:color w:val="000000"/>
        </w:rPr>
        <w:t xml:space="preserve">instaurer une consultation, avant la réception d’un don, entre les ministères, structures concernées et les donateurs pour une utilisation rationnelle du produit ; </w:t>
      </w:r>
    </w:p>
    <w:p>
      <w:pPr>
        <w:pStyle w:val="style0"/>
        <w:numPr>
          <w:ilvl w:val="0"/>
          <w:numId w:val="104"/>
        </w:numPr>
        <w:autoSpaceDE w:val="false"/>
        <w:autoSpaceDN w:val="false"/>
        <w:adjustRightInd w:val="false"/>
        <w:spacing w:before="0"/>
        <w:jc w:val="left"/>
        <w:rPr>
          <w:rFonts w:eastAsia="Calibri"/>
          <w:color w:val="000000"/>
        </w:rPr>
      </w:pPr>
      <w:r>
        <w:rPr>
          <w:rFonts w:eastAsia="Calibri"/>
          <w:color w:val="000000"/>
        </w:rPr>
        <w:t xml:space="preserve">exiger des utilisateurs le port de vêtements et équipements de protection recommandés afin de réduire au minimum leur exposition aux insecticides ; </w:t>
      </w:r>
    </w:p>
    <w:p>
      <w:pPr>
        <w:pStyle w:val="style0"/>
        <w:numPr>
          <w:ilvl w:val="0"/>
          <w:numId w:val="104"/>
        </w:numPr>
        <w:autoSpaceDE w:val="false"/>
        <w:autoSpaceDN w:val="false"/>
        <w:adjustRightInd w:val="false"/>
        <w:spacing w:before="0"/>
        <w:jc w:val="left"/>
        <w:rPr>
          <w:rFonts w:eastAsia="Calibri"/>
          <w:color w:val="000000"/>
        </w:rPr>
      </w:pPr>
      <w:r>
        <w:rPr>
          <w:rFonts w:eastAsia="Calibri"/>
          <w:color w:val="000000"/>
        </w:rPr>
        <w:t xml:space="preserve">obtenir du fabricant un rapport d’analyse physico-chimique et la certification de l’acceptabilité du produit ; </w:t>
      </w:r>
    </w:p>
    <w:p>
      <w:pPr>
        <w:pStyle w:val="style0"/>
        <w:numPr>
          <w:ilvl w:val="0"/>
          <w:numId w:val="104"/>
        </w:numPr>
        <w:autoSpaceDE w:val="false"/>
        <w:autoSpaceDN w:val="false"/>
        <w:adjustRightInd w:val="false"/>
        <w:spacing w:before="0"/>
        <w:jc w:val="left"/>
        <w:rPr>
          <w:rFonts w:eastAsia="Calibri"/>
          <w:color w:val="000000"/>
        </w:rPr>
      </w:pPr>
      <w:r>
        <w:rPr>
          <w:rFonts w:eastAsia="Calibri"/>
          <w:color w:val="000000"/>
        </w:rPr>
        <w:t xml:space="preserve">exiger du fabricant un rapport d’analyse du produit et de sa formulation avec indication de conduite à tenir en cas d’intoxication ; </w:t>
      </w:r>
    </w:p>
    <w:p>
      <w:pPr>
        <w:pStyle w:val="style0"/>
        <w:numPr>
          <w:ilvl w:val="0"/>
          <w:numId w:val="104"/>
        </w:numPr>
        <w:autoSpaceDE w:val="false"/>
        <w:autoSpaceDN w:val="false"/>
        <w:adjustRightInd w:val="false"/>
        <w:spacing w:before="0"/>
        <w:jc w:val="left"/>
        <w:rPr>
          <w:rFonts w:eastAsia="Calibri"/>
          <w:color w:val="000000"/>
        </w:rPr>
      </w:pPr>
      <w:r>
        <w:rPr>
          <w:rFonts w:eastAsia="Calibri"/>
          <w:color w:val="000000"/>
        </w:rPr>
        <w:t xml:space="preserve">faire procéder à une analyse physico-chimique du produit par l’organisme acheteur avant expédition et à l’arrivée sur les lieux. </w:t>
      </w:r>
    </w:p>
    <w:p>
      <w:pPr>
        <w:pStyle w:val="style0"/>
        <w:autoSpaceDE w:val="false"/>
        <w:autoSpaceDN w:val="false"/>
        <w:adjustRightInd w:val="false"/>
        <w:spacing w:before="0"/>
        <w:rPr>
          <w:rFonts w:eastAsia="Calibri"/>
          <w:b/>
          <w:bCs/>
          <w:i/>
          <w:iCs/>
          <w:color w:val="000000"/>
        </w:rPr>
      </w:pPr>
    </w:p>
    <w:p>
      <w:pPr>
        <w:pStyle w:val="style0"/>
        <w:autoSpaceDE w:val="false"/>
        <w:autoSpaceDN w:val="false"/>
        <w:adjustRightInd w:val="false"/>
        <w:spacing w:before="0"/>
        <w:rPr>
          <w:rFonts w:eastAsia="Calibri"/>
          <w:color w:val="000000"/>
        </w:rPr>
      </w:pPr>
      <w:r>
        <w:rPr>
          <w:rFonts w:eastAsia="Calibri"/>
          <w:b/>
          <w:bCs/>
          <w:i/>
          <w:iCs/>
          <w:color w:val="000000"/>
        </w:rPr>
        <w:t xml:space="preserve">Précautions </w:t>
      </w:r>
    </w:p>
    <w:p>
      <w:pPr>
        <w:pStyle w:val="style0"/>
        <w:autoSpaceDE w:val="false"/>
        <w:autoSpaceDN w:val="false"/>
        <w:adjustRightInd w:val="false"/>
        <w:spacing w:before="0"/>
        <w:rPr>
          <w:rFonts w:eastAsia="Calibri"/>
          <w:color w:val="000000"/>
        </w:rPr>
      </w:pPr>
      <w:r>
        <w:rPr>
          <w:rFonts w:eastAsia="Calibri"/>
          <w:color w:val="000000"/>
        </w:rPr>
        <w:t xml:space="preserve">Etiquetage </w:t>
      </w:r>
    </w:p>
    <w:p>
      <w:pPr>
        <w:pStyle w:val="style0"/>
        <w:autoSpaceDE w:val="false"/>
        <w:autoSpaceDN w:val="false"/>
        <w:adjustRightInd w:val="false"/>
        <w:spacing w:before="0"/>
        <w:rPr>
          <w:rFonts w:eastAsia="Calibri"/>
          <w:color w:val="000000"/>
        </w:rPr>
      </w:pPr>
      <w:r>
        <w:rPr>
          <w:rFonts w:eastAsia="Calibri"/>
          <w:color w:val="000000"/>
        </w:rPr>
        <w:t xml:space="preserve">Les pesticides doivent être emballés et étiquetés conformément aux normes de l’OMS. L’étiquette doit être rédigée en anglais et en français et dans la langue du lieu; elle doit indiquer le contenu, les consignes de sécurité (mise en garde) et toutes dispositions à prendre en cas d’ingestion ou de contamination accidentelle. Le produit doit toujours rester dans son récipient d’origine. Prendre les mesures de précaution voulues et porter les vêtements de protection conformément aux recommandations. </w:t>
      </w:r>
    </w:p>
    <w:p>
      <w:pPr>
        <w:pStyle w:val="style0"/>
        <w:autoSpaceDE w:val="false"/>
        <w:autoSpaceDN w:val="false"/>
        <w:adjustRightInd w:val="false"/>
        <w:spacing w:before="0"/>
        <w:rPr>
          <w:rFonts w:eastAsia="Calibri"/>
          <w:color w:val="000000"/>
        </w:rPr>
      </w:pPr>
      <w:r>
        <w:rPr>
          <w:rFonts w:eastAsia="Calibri"/>
          <w:color w:val="000000"/>
        </w:rPr>
        <w:t xml:space="preserve">Stockage et transport </w:t>
      </w:r>
    </w:p>
    <w:p>
      <w:pPr>
        <w:pStyle w:val="style0"/>
        <w:autoSpaceDE w:val="false"/>
        <w:autoSpaceDN w:val="false"/>
        <w:adjustRightInd w:val="false"/>
        <w:spacing w:before="0"/>
        <w:rPr>
          <w:rFonts w:eastAsia="Calibri"/>
          <w:color w:val="000000"/>
        </w:rPr>
      </w:pPr>
      <w:r>
        <w:rPr>
          <w:rFonts w:eastAsia="Calibri"/>
          <w:color w:val="000000"/>
        </w:rPr>
        <w:t xml:space="preserve">Les pesticides doivent être conservés dans un endroit dont on puisse verrouiller l’entrée et qui ne soit pas accessible aux personnes non autorisées ou aux enfants. En aucun cas les pesticides ne doivent être conservés en un lieu où l’on risquerait de les prendre pour de la nourriture ou de la boisson. Il faut les tenir au sec et à l’abri du soleil. On évitera de les transporter dans un véhicule servant aussi au transport de denrées alimentaires. </w:t>
      </w:r>
    </w:p>
    <w:p>
      <w:pPr>
        <w:pStyle w:val="style0"/>
        <w:autoSpaceDE w:val="false"/>
        <w:autoSpaceDN w:val="false"/>
        <w:adjustRightInd w:val="false"/>
        <w:spacing w:before="0"/>
        <w:rPr>
          <w:rFonts w:eastAsia="Calibri"/>
          <w:color w:val="000000"/>
        </w:rPr>
      </w:pPr>
      <w:r>
        <w:rPr>
          <w:rFonts w:eastAsia="Calibri"/>
          <w:color w:val="000000"/>
        </w:rPr>
        <w:t xml:space="preserve">Afin d’assurer la sécurité dans le stockage et le transport, la structure publique ou privée en charge de la gestion des insecticides et supports imprégnés d’insecticides qui auront été acquis devra respecter la réglementation en vigueur ainsi que les conditions de conservation recommandées par le fabricant en relation avec : </w:t>
      </w:r>
    </w:p>
    <w:p>
      <w:pPr>
        <w:pStyle w:val="style0"/>
        <w:numPr>
          <w:ilvl w:val="0"/>
          <w:numId w:val="69"/>
        </w:numPr>
        <w:autoSpaceDE w:val="false"/>
        <w:autoSpaceDN w:val="false"/>
        <w:adjustRightInd w:val="false"/>
        <w:spacing w:before="0"/>
        <w:jc w:val="left"/>
        <w:rPr>
          <w:rFonts w:eastAsia="Calibri"/>
          <w:color w:val="000000"/>
        </w:rPr>
      </w:pPr>
      <w:r>
        <w:rPr>
          <w:rFonts w:eastAsia="Calibri"/>
          <w:color w:val="000000"/>
        </w:rPr>
        <w:t xml:space="preserve">la conservation de l’étiquetage d’origine, </w:t>
      </w:r>
    </w:p>
    <w:p>
      <w:pPr>
        <w:pStyle w:val="style0"/>
        <w:numPr>
          <w:ilvl w:val="0"/>
          <w:numId w:val="69"/>
        </w:numPr>
        <w:autoSpaceDE w:val="false"/>
        <w:autoSpaceDN w:val="false"/>
        <w:adjustRightInd w:val="false"/>
        <w:spacing w:before="0"/>
        <w:jc w:val="left"/>
        <w:rPr>
          <w:rFonts w:eastAsia="Calibri"/>
          <w:color w:val="000000"/>
        </w:rPr>
      </w:pPr>
      <w:r>
        <w:rPr>
          <w:rFonts w:eastAsia="Calibri"/>
          <w:color w:val="000000"/>
        </w:rPr>
        <w:t xml:space="preserve">prévention des déversements ou débordements accidentels, </w:t>
      </w:r>
    </w:p>
    <w:p>
      <w:pPr>
        <w:pStyle w:val="style0"/>
        <w:numPr>
          <w:ilvl w:val="0"/>
          <w:numId w:val="69"/>
        </w:numPr>
        <w:autoSpaceDE w:val="false"/>
        <w:autoSpaceDN w:val="false"/>
        <w:adjustRightInd w:val="false"/>
        <w:spacing w:before="0"/>
        <w:jc w:val="left"/>
        <w:rPr>
          <w:rFonts w:eastAsia="Calibri"/>
          <w:color w:val="000000"/>
        </w:rPr>
      </w:pPr>
      <w:r>
        <w:rPr>
          <w:rFonts w:eastAsia="Calibri"/>
          <w:color w:val="000000"/>
        </w:rPr>
        <w:t xml:space="preserve">l’utilisation de récipients appropriés, </w:t>
      </w:r>
    </w:p>
    <w:p>
      <w:pPr>
        <w:pStyle w:val="style0"/>
        <w:numPr>
          <w:ilvl w:val="0"/>
          <w:numId w:val="8"/>
        </w:numPr>
        <w:autoSpaceDE w:val="false"/>
        <w:autoSpaceDN w:val="false"/>
        <w:adjustRightInd w:val="false"/>
        <w:spacing w:before="0"/>
        <w:jc w:val="left"/>
        <w:rPr>
          <w:rFonts w:eastAsia="Calibri"/>
          <w:color w:val="000000"/>
        </w:rPr>
      </w:pPr>
      <w:r>
        <w:rPr>
          <w:rFonts w:eastAsia="Calibri"/>
          <w:color w:val="000000"/>
        </w:rPr>
        <w:t xml:space="preserve">le marquage convenable des produits stockés, </w:t>
      </w:r>
    </w:p>
    <w:p>
      <w:pPr>
        <w:pStyle w:val="style0"/>
        <w:numPr>
          <w:ilvl w:val="0"/>
          <w:numId w:val="8"/>
        </w:numPr>
        <w:autoSpaceDE w:val="false"/>
        <w:autoSpaceDN w:val="false"/>
        <w:adjustRightInd w:val="false"/>
        <w:spacing w:before="0"/>
        <w:jc w:val="left"/>
        <w:rPr>
          <w:rFonts w:eastAsia="Calibri"/>
          <w:color w:val="000000"/>
        </w:rPr>
      </w:pPr>
      <w:r>
        <w:rPr>
          <w:rFonts w:eastAsia="Calibri"/>
          <w:color w:val="000000"/>
        </w:rPr>
        <w:t xml:space="preserve">les spécifications relatives aux locaux, </w:t>
      </w:r>
    </w:p>
    <w:p>
      <w:pPr>
        <w:pStyle w:val="style0"/>
        <w:numPr>
          <w:ilvl w:val="0"/>
          <w:numId w:val="8"/>
        </w:numPr>
        <w:autoSpaceDE w:val="false"/>
        <w:autoSpaceDN w:val="false"/>
        <w:adjustRightInd w:val="false"/>
        <w:spacing w:before="0"/>
        <w:jc w:val="left"/>
        <w:rPr>
          <w:rFonts w:eastAsia="Calibri"/>
          <w:color w:val="000000"/>
        </w:rPr>
      </w:pPr>
      <w:r>
        <w:rPr>
          <w:rFonts w:eastAsia="Calibri"/>
          <w:color w:val="000000"/>
        </w:rPr>
        <w:t xml:space="preserve">la séparation des produits, </w:t>
      </w:r>
    </w:p>
    <w:p>
      <w:pPr>
        <w:pStyle w:val="style0"/>
        <w:numPr>
          <w:ilvl w:val="0"/>
          <w:numId w:val="8"/>
        </w:numPr>
        <w:autoSpaceDE w:val="false"/>
        <w:autoSpaceDN w:val="false"/>
        <w:adjustRightInd w:val="false"/>
        <w:spacing w:before="0"/>
        <w:jc w:val="left"/>
        <w:rPr>
          <w:rFonts w:eastAsia="Calibri"/>
          <w:color w:val="000000"/>
        </w:rPr>
      </w:pPr>
      <w:r>
        <w:rPr>
          <w:rFonts w:eastAsia="Calibri"/>
          <w:color w:val="000000"/>
        </w:rPr>
        <w:t xml:space="preserve">la protection contre l’humidité et la contamination par d’autres produits, la restriction de l’accès aux locaux de stockage, </w:t>
      </w:r>
    </w:p>
    <w:p>
      <w:pPr>
        <w:pStyle w:val="style0"/>
        <w:numPr>
          <w:ilvl w:val="0"/>
          <w:numId w:val="8"/>
        </w:numPr>
        <w:autoSpaceDE w:val="false"/>
        <w:autoSpaceDN w:val="false"/>
        <w:adjustRightInd w:val="false"/>
        <w:spacing w:before="0"/>
        <w:jc w:val="left"/>
        <w:rPr>
          <w:rFonts w:eastAsia="Calibri"/>
          <w:color w:val="000000"/>
        </w:rPr>
      </w:pPr>
      <w:r>
        <w:rPr>
          <w:rFonts w:eastAsia="Calibri"/>
          <w:color w:val="000000"/>
        </w:rPr>
        <w:t xml:space="preserve">le magasin de stockage sous clé afin de garantir l’intégrité et la sécurité des produits. </w:t>
      </w:r>
    </w:p>
    <w:p>
      <w:pPr>
        <w:pStyle w:val="style0"/>
        <w:numPr>
          <w:ilvl w:val="0"/>
          <w:numId w:val="8"/>
        </w:numPr>
        <w:autoSpaceDE w:val="false"/>
        <w:autoSpaceDN w:val="false"/>
        <w:adjustRightInd w:val="false"/>
        <w:spacing w:before="0"/>
        <w:jc w:val="left"/>
        <w:rPr>
          <w:rFonts w:eastAsia="Calibri"/>
          <w:color w:val="000000"/>
        </w:rPr>
      </w:pPr>
      <w:r>
        <w:rPr>
          <w:rFonts w:eastAsia="Calibri"/>
          <w:color w:val="000000"/>
        </w:rPr>
        <w:t xml:space="preserve">Les entrepôts de pesticides doivent être situés à distance des habitations humaines ou abris pour animaux, des sources d’eau, des puits et des canaux. Ils doivent être situés sur une hauteur et sécurisés par des clôtures, leur accès étant réservé aux personnes autorisées. </w:t>
      </w:r>
    </w:p>
    <w:p>
      <w:pPr>
        <w:pStyle w:val="style0"/>
        <w:autoSpaceDE w:val="false"/>
        <w:autoSpaceDN w:val="false"/>
        <w:adjustRightInd w:val="false"/>
        <w:spacing w:before="0"/>
        <w:rPr>
          <w:rFonts w:eastAsia="Calibri"/>
          <w:color w:val="000000"/>
        </w:rPr>
      </w:pPr>
      <w:r>
        <w:rPr>
          <w:rFonts w:eastAsia="Calibri"/>
          <w:color w:val="000000"/>
        </w:rPr>
        <w:t xml:space="preserve">Il ne faut pas entreposer de pesticides dans des lieux où ils risquent d’être exposés à la lumière solaire, à l’eau ou à l’humidité, ce qui aurait pour effet de nuire à leur stabilité. Les entrepôts doivent être sécurisés et bien ventilés. </w:t>
      </w:r>
    </w:p>
    <w:p>
      <w:pPr>
        <w:pStyle w:val="style0"/>
        <w:autoSpaceDE w:val="false"/>
        <w:autoSpaceDN w:val="false"/>
        <w:adjustRightInd w:val="false"/>
        <w:spacing w:before="0"/>
        <w:rPr>
          <w:rFonts w:eastAsia="Calibri"/>
          <w:color w:val="000000"/>
        </w:rPr>
      </w:pPr>
      <w:r>
        <w:rPr>
          <w:rFonts w:eastAsia="Calibri"/>
          <w:color w:val="000000"/>
        </w:rPr>
        <w:t xml:space="preserve">Il faut éviter de transporter dans un même véhicule des pesticides et des produits agricoles, des denrées alimentaires, des vêtements, des jouets ou des cosmétiques car ces produits pourraient devenir dangereux en cas de contamination. </w:t>
      </w:r>
    </w:p>
    <w:p>
      <w:pPr>
        <w:pStyle w:val="style0"/>
        <w:autoSpaceDE w:val="false"/>
        <w:autoSpaceDN w:val="false"/>
        <w:adjustRightInd w:val="false"/>
        <w:spacing w:before="0"/>
        <w:rPr>
          <w:rFonts w:eastAsia="Calibri"/>
          <w:color w:val="000000"/>
        </w:rPr>
      </w:pPr>
      <w:r>
        <w:rPr>
          <w:rFonts w:eastAsia="Calibri"/>
          <w:color w:val="000000"/>
        </w:rPr>
        <w:t xml:space="preserve">Les récipients de pesticides doivent être chargés dans les véhicules de manière à ce qu’ils ne subissent pas de dommages pendant le transport, que leurs étiquettes ne soient pas arrachées et qu’ils ne viennent pas à glisser et à tomber sur une route dont le revêtement peut être irrégulier. Les véhicules qui transportent des pesticides doivent porter un panneau de mise en garde placé bien en évidence et indiquant la nature du chargement. </w:t>
      </w:r>
    </w:p>
    <w:p>
      <w:pPr>
        <w:pStyle w:val="style0"/>
        <w:autoSpaceDE w:val="false"/>
        <w:autoSpaceDN w:val="false"/>
        <w:adjustRightInd w:val="false"/>
        <w:spacing w:before="0"/>
        <w:rPr>
          <w:rFonts w:eastAsia="Calibri"/>
          <w:color w:val="000000"/>
        </w:rPr>
      </w:pPr>
    </w:p>
    <w:p>
      <w:pPr>
        <w:pStyle w:val="style0"/>
        <w:autoSpaceDE w:val="false"/>
        <w:autoSpaceDN w:val="false"/>
        <w:adjustRightInd w:val="false"/>
        <w:spacing w:before="0"/>
        <w:rPr>
          <w:rFonts w:eastAsia="Calibri"/>
          <w:b/>
          <w:i/>
          <w:color w:val="000000"/>
        </w:rPr>
      </w:pPr>
      <w:r>
        <w:rPr>
          <w:rFonts w:eastAsia="Calibri"/>
          <w:b/>
          <w:i/>
          <w:color w:val="000000"/>
        </w:rPr>
        <w:t xml:space="preserve">Distribution </w:t>
      </w:r>
    </w:p>
    <w:p>
      <w:pPr>
        <w:pStyle w:val="style0"/>
        <w:autoSpaceDE w:val="false"/>
        <w:autoSpaceDN w:val="false"/>
        <w:adjustRightInd w:val="false"/>
        <w:spacing w:before="0"/>
        <w:rPr>
          <w:rFonts w:eastAsia="Calibri"/>
          <w:color w:val="000000"/>
        </w:rPr>
      </w:pPr>
      <w:r>
        <w:rPr>
          <w:rFonts w:eastAsia="Calibri"/>
          <w:color w:val="000000"/>
        </w:rPr>
        <w:t xml:space="preserve">La distribution doit s’inspirer des lignes directrices suivantes : </w:t>
      </w:r>
    </w:p>
    <w:p>
      <w:pPr>
        <w:pStyle w:val="style0"/>
        <w:autoSpaceDE w:val="false"/>
        <w:autoSpaceDN w:val="false"/>
        <w:adjustRightInd w:val="false"/>
        <w:spacing w:before="0"/>
        <w:rPr>
          <w:rFonts w:eastAsia="Calibri"/>
          <w:color w:val="000000"/>
        </w:rPr>
      </w:pPr>
    </w:p>
    <w:p>
      <w:pPr>
        <w:pStyle w:val="style0"/>
        <w:numPr>
          <w:ilvl w:val="0"/>
          <w:numId w:val="28"/>
        </w:numPr>
        <w:autoSpaceDE w:val="false"/>
        <w:autoSpaceDN w:val="false"/>
        <w:adjustRightInd w:val="false"/>
        <w:spacing w:before="0"/>
        <w:jc w:val="left"/>
        <w:rPr>
          <w:rFonts w:eastAsia="Calibri"/>
          <w:color w:val="000000"/>
        </w:rPr>
      </w:pPr>
      <w:r>
        <w:rPr>
          <w:rFonts w:eastAsia="Calibri"/>
          <w:color w:val="000000"/>
        </w:rPr>
        <w:t xml:space="preserve">L’emballage (emballage original ou nouvel emballage) doit garantir la sécurité pendant la distribution et éviter la vente ou la distribution non autorisées de produits destinés à la lutte anti-vectorielle ; </w:t>
      </w:r>
    </w:p>
    <w:p>
      <w:pPr>
        <w:pStyle w:val="style0"/>
        <w:numPr>
          <w:ilvl w:val="0"/>
          <w:numId w:val="28"/>
        </w:numPr>
        <w:autoSpaceDE w:val="false"/>
        <w:autoSpaceDN w:val="false"/>
        <w:adjustRightInd w:val="false"/>
        <w:spacing w:before="0"/>
        <w:jc w:val="left"/>
        <w:rPr>
          <w:rFonts w:eastAsia="Calibri"/>
          <w:color w:val="000000"/>
        </w:rPr>
      </w:pPr>
      <w:r>
        <w:rPr>
          <w:rFonts w:eastAsia="Calibri"/>
          <w:color w:val="000000"/>
        </w:rPr>
        <w:t xml:space="preserve">le distributeur doit être informé et conscientiser de la dangerosité de son chargement ; </w:t>
      </w:r>
    </w:p>
    <w:p>
      <w:pPr>
        <w:pStyle w:val="style0"/>
        <w:numPr>
          <w:ilvl w:val="0"/>
          <w:numId w:val="28"/>
        </w:numPr>
        <w:autoSpaceDE w:val="false"/>
        <w:autoSpaceDN w:val="false"/>
        <w:adjustRightInd w:val="false"/>
        <w:spacing w:before="0"/>
        <w:jc w:val="left"/>
        <w:rPr>
          <w:rFonts w:eastAsia="Calibri"/>
          <w:color w:val="000000"/>
        </w:rPr>
      </w:pPr>
      <w:r>
        <w:rPr>
          <w:rFonts w:eastAsia="Calibri"/>
          <w:color w:val="000000"/>
        </w:rPr>
        <w:t xml:space="preserve">le distributeur doit effectuer ses livraisons dans les délais convenus ; </w:t>
      </w:r>
    </w:p>
    <w:p>
      <w:pPr>
        <w:pStyle w:val="style0"/>
        <w:numPr>
          <w:ilvl w:val="0"/>
          <w:numId w:val="28"/>
        </w:numPr>
        <w:autoSpaceDE w:val="false"/>
        <w:autoSpaceDN w:val="false"/>
        <w:adjustRightInd w:val="false"/>
        <w:spacing w:before="0"/>
        <w:jc w:val="left"/>
        <w:rPr>
          <w:rFonts w:eastAsia="Calibri"/>
          <w:color w:val="000000"/>
        </w:rPr>
      </w:pPr>
      <w:r>
        <w:rPr>
          <w:rFonts w:eastAsia="Calibri"/>
          <w:color w:val="000000"/>
        </w:rPr>
        <w:t xml:space="preserve">le système de distribution des insecticides et supports imprégnés doit permettre de réduire les risques liés à la multiplicité des manipulations et des transports ; </w:t>
      </w:r>
    </w:p>
    <w:p>
      <w:pPr>
        <w:pStyle w:val="style0"/>
        <w:numPr>
          <w:ilvl w:val="0"/>
          <w:numId w:val="28"/>
        </w:numPr>
        <w:autoSpaceDE w:val="false"/>
        <w:autoSpaceDN w:val="false"/>
        <w:adjustRightInd w:val="false"/>
        <w:spacing w:before="0"/>
        <w:jc w:val="left"/>
        <w:rPr>
          <w:rFonts w:eastAsia="Calibri"/>
          <w:color w:val="000000"/>
        </w:rPr>
      </w:pPr>
      <w:r>
        <w:rPr>
          <w:rFonts w:eastAsia="Calibri"/>
          <w:color w:val="000000"/>
        </w:rPr>
        <w:t xml:space="preserve">si le département acquéreur n’est pas en mesure d’assurer le transport des produits et matériels, il doit être stipulé dans les appels d’offres que le fournisseur est tenu d’assurer le transport des insecticides et supports imprégnés jusqu’à l’entrepôt ; </w:t>
      </w:r>
    </w:p>
    <w:p>
      <w:pPr>
        <w:pStyle w:val="style0"/>
        <w:numPr>
          <w:ilvl w:val="0"/>
          <w:numId w:val="28"/>
        </w:numPr>
        <w:autoSpaceDE w:val="false"/>
        <w:autoSpaceDN w:val="false"/>
        <w:adjustRightInd w:val="false"/>
        <w:spacing w:before="0"/>
        <w:jc w:val="left"/>
        <w:rPr>
          <w:rFonts w:eastAsia="Calibri"/>
          <w:color w:val="000000"/>
        </w:rPr>
      </w:pPr>
      <w:r>
        <w:rPr>
          <w:rFonts w:eastAsia="Calibri"/>
          <w:color w:val="000000"/>
        </w:rPr>
        <w:t xml:space="preserve">tous les distributeurs d’insecticides et matériels d’épandage doivent être en possession d’une licence d’exploitation conformément à la réglementation en vigueur au Mali. </w:t>
      </w:r>
    </w:p>
    <w:p>
      <w:pPr>
        <w:pStyle w:val="style0"/>
        <w:autoSpaceDE w:val="false"/>
        <w:autoSpaceDN w:val="false"/>
        <w:adjustRightInd w:val="false"/>
        <w:spacing w:before="0"/>
        <w:rPr>
          <w:rFonts w:eastAsia="Calibri"/>
          <w:color w:val="000000"/>
        </w:rPr>
      </w:pPr>
    </w:p>
    <w:p>
      <w:pPr>
        <w:pStyle w:val="style0"/>
        <w:autoSpaceDE w:val="false"/>
        <w:autoSpaceDN w:val="false"/>
        <w:adjustRightInd w:val="false"/>
        <w:spacing w:before="0"/>
        <w:rPr>
          <w:rFonts w:eastAsia="Calibri"/>
          <w:color w:val="000000"/>
        </w:rPr>
      </w:pPr>
      <w:r>
        <w:rPr>
          <w:rFonts w:eastAsia="Calibri"/>
          <w:color w:val="000000"/>
        </w:rPr>
        <w:t xml:space="preserve">Elimination des stocks de pesticides </w:t>
      </w:r>
    </w:p>
    <w:p>
      <w:pPr>
        <w:pStyle w:val="style0"/>
        <w:spacing w:before="0"/>
        <w:rPr>
          <w:rFonts w:eastAsia="Calibri"/>
          <w:color w:val="000000"/>
        </w:rPr>
      </w:pPr>
      <w:r>
        <w:rPr>
          <w:rFonts w:eastAsia="Calibri"/>
          <w:color w:val="000000"/>
        </w:rPr>
        <w:t xml:space="preserve">Après les opérations, les reliquats d’insecticide peuvent être éliminés sans risque en la déversant dans un trou creusé tout spécialement ou dans une latrine à fosse. Il ne faut pas se débarrasser d’un pesticide en le jetant dans un endroit où il risque de contaminer de l’eau utilisée pour la boisson ou le lavage ou encore parvenir jusqu’à un étang ou un cours d’eau. Certains insecticides, comme les pyréthrinoïdes, sont très toxiques pour les poissons. Creuser un trou à au moins 100 mètres de tout cours d’eau, puits ou habitations. Si on se trouve dans une région de collines, il faut creuser le trou en contrebas. Verser toutes les eaux qui ont servi au lavage des mains après le traitement. Enterrer tous les récipients, boîtes, bouteilles etc. qui ont contenu des pesticides. Reboucher le trou le plus rapidement possible. Les emballages ou récipients en carton, papier ou plastique — ces derniers, nettoyés — peuvent être brûlés, si cela est autorisé, à bonne distance des maisons et des sources d’eau potable. En ce qui concerne la réutilisation de récipients après nettoyage. </w:t>
      </w:r>
    </w:p>
    <w:p>
      <w:pPr>
        <w:pStyle w:val="style0"/>
        <w:autoSpaceDE w:val="false"/>
        <w:autoSpaceDN w:val="false"/>
        <w:adjustRightInd w:val="false"/>
        <w:spacing w:before="0"/>
        <w:rPr>
          <w:rFonts w:eastAsia="Calibri"/>
          <w:color w:val="000000"/>
        </w:rPr>
      </w:pPr>
      <w:r>
        <w:rPr>
          <w:rFonts w:eastAsia="Calibri"/>
          <w:color w:val="000000"/>
        </w:rPr>
        <w:t xml:space="preserve">Les suspensions de pyréthrinoïdes peuvent être déversées sur un sol sec où elles seront rapidement absorbées et subiront ensuite une décomposition qui les rendra inoffensives pour l’environnement. </w:t>
      </w:r>
    </w:p>
    <w:p>
      <w:pPr>
        <w:pStyle w:val="style0"/>
        <w:autoSpaceDE w:val="false"/>
        <w:autoSpaceDN w:val="false"/>
        <w:adjustRightInd w:val="false"/>
        <w:spacing w:before="0"/>
        <w:rPr>
          <w:rFonts w:eastAsia="Calibri"/>
          <w:color w:val="000000"/>
        </w:rPr>
      </w:pPr>
      <w:r>
        <w:rPr>
          <w:rFonts w:eastAsia="Calibri"/>
          <w:color w:val="000000"/>
        </w:rPr>
        <w:t xml:space="preserve">S’il reste une certaine quantité de solution insecticide, on peut l’utiliser pour détruire les fourmis et les blattes. Il suffit pour cela de verser un peu de solution sur les endroits infestés (sous l’évier de la cuisine, dans les coins) ou de passer une éponge imbibée. Pour faire temporairement obstacle à la prolifération des insectes, on peut verser une certaine quantité de solution à l’intérieur et autour des latrines ou sur d’autres gîtes larvaires. Les solutions de pyréthrinoïdes destinées au traitement des moustiquaires et autres tissus peuvent être utilisées quelques jours après leur préparation. On peut également s’en servir pour traiter les nattes et les matelas de corde afin d’empêcher les moustiques de venir piquer par en bas. On peut aussi traiter les matelas pour combattre les punaises. </w:t>
      </w:r>
    </w:p>
    <w:p>
      <w:pPr>
        <w:pStyle w:val="style0"/>
        <w:autoSpaceDE w:val="false"/>
        <w:autoSpaceDN w:val="false"/>
        <w:adjustRightInd w:val="false"/>
        <w:spacing w:before="0"/>
        <w:rPr>
          <w:rFonts w:eastAsia="Calibri"/>
          <w:color w:val="000000"/>
        </w:rPr>
      </w:pPr>
      <w:r>
        <w:rPr>
          <w:rFonts w:eastAsia="Calibri"/>
          <w:b/>
          <w:bCs/>
          <w:i/>
          <w:iCs/>
          <w:color w:val="000000"/>
        </w:rPr>
        <w:t xml:space="preserve">Nettoyage des emballages et récipients vides de pesticides </w:t>
      </w:r>
    </w:p>
    <w:p>
      <w:pPr>
        <w:pStyle w:val="style0"/>
        <w:autoSpaceDE w:val="false"/>
        <w:autoSpaceDN w:val="false"/>
        <w:adjustRightInd w:val="false"/>
        <w:spacing w:before="0"/>
        <w:rPr>
          <w:rFonts w:eastAsia="Calibri"/>
          <w:color w:val="000000"/>
        </w:rPr>
      </w:pPr>
      <w:r>
        <w:rPr>
          <w:rFonts w:eastAsia="Calibri"/>
          <w:color w:val="000000"/>
        </w:rPr>
        <w:t xml:space="preserve">Réutiliser des récipients de pesticides vides présente des risques et il est déconseillé de le faire. Toutefois, on peut estimer que certains récipients de pesticides sont trop utiles pour qu’on les jette purement et simplement après usage. Peut-on donc nettoyer et réutiliser de tels récipients ? Cela dépend à la fois du matériau et du contenu. En principe, l’étiquette devrait indiquer quelles sont les possibilités de réemploi des récipients et comment s’y prendre pour les nettoyer. </w:t>
      </w:r>
    </w:p>
    <w:p>
      <w:pPr>
        <w:pStyle w:val="style0"/>
        <w:spacing w:before="0"/>
        <w:rPr>
          <w:rFonts w:eastAsia="Calibri"/>
          <w:color w:val="000000"/>
        </w:rPr>
      </w:pPr>
      <w:r>
        <w:rPr>
          <w:rFonts w:eastAsia="Calibri"/>
          <w:color w:val="000000"/>
        </w:rPr>
        <w:t xml:space="preserve">Il ne faut en aucun cas réutiliser des récipients qui ont contenu des pesticides classés comme très dangereux ou extrêmement dangereux. Dans certaines conditions, les récipients de pesticides classés comme peu dangereux ou ne devant pas en principe présenter de danger en utilisation normale, peuvent être réutilisés à condition que ce ne soit pas pour contenir des aliments, des boissons ou de la nourriture pour animaux. Les récipients faits de matériaux comme le polyéthylène, qui absorbent préférentiellement les pesticides, ne doivent pas être réutilisés s’ils ont contenu des pesticides dont la matière active est classée comme modérément, très ou extrêmement dangereuse, quelle que soit la formulation. Dès qu’un récipient est vide, il faut le rincer, puis le remplir complètement avec de l’eau et le laisser reposer pendant 24 heures. Ensuite, on le vide et on recommence deux fois l’opération. </w:t>
      </w:r>
    </w:p>
    <w:p>
      <w:pPr>
        <w:pStyle w:val="style0"/>
        <w:autoSpaceDE w:val="false"/>
        <w:autoSpaceDN w:val="false"/>
        <w:adjustRightInd w:val="false"/>
        <w:spacing w:before="0"/>
        <w:rPr>
          <w:rFonts w:eastAsia="Calibri"/>
          <w:color w:val="000000"/>
        </w:rPr>
      </w:pPr>
      <w:r>
        <w:rPr>
          <w:rFonts w:eastAsia="Calibri"/>
          <w:b/>
          <w:bCs/>
          <w:i/>
          <w:iCs/>
          <w:color w:val="000000"/>
        </w:rPr>
        <w:t xml:space="preserve">Hygiène générale </w:t>
      </w:r>
    </w:p>
    <w:p>
      <w:pPr>
        <w:pStyle w:val="style0"/>
        <w:autoSpaceDE w:val="false"/>
        <w:autoSpaceDN w:val="false"/>
        <w:adjustRightInd w:val="false"/>
        <w:spacing w:before="0"/>
        <w:rPr>
          <w:rFonts w:eastAsia="Calibri"/>
          <w:color w:val="000000"/>
        </w:rPr>
      </w:pPr>
      <w:r>
        <w:rPr>
          <w:rFonts w:eastAsia="Calibri"/>
          <w:color w:val="000000"/>
        </w:rPr>
        <w:t xml:space="preserve">Il ne faut ni manger, ni boire, ni fumer lorsqu’on manipule des insecticides. La nourriture doit être rangée dans des boîtes hermétiquement fermées. La mesure, la dilution et le transvasement des insecticides doivent s’effectuer avec le matériel adéquat. Ne pas agiter ni prélever des liquides les mains nues. Si la buse s’est bouchée, agir sur la vanne de la pompe ou dégager l’orifice avec une tige souple. Après chaque remplissage, se laver les mains et le visage à l’eau et au savon. Ne boire et ne manger qu’après s’être lavé les mains et le visage. Prendre une douche ou un bain à la fin de la journée. </w:t>
      </w:r>
    </w:p>
    <w:p>
      <w:pPr>
        <w:pStyle w:val="style0"/>
        <w:autoSpaceDE w:val="false"/>
        <w:autoSpaceDN w:val="false"/>
        <w:adjustRightInd w:val="false"/>
        <w:spacing w:before="0"/>
        <w:rPr>
          <w:rFonts w:eastAsia="Calibri"/>
          <w:color w:val="000000"/>
        </w:rPr>
      </w:pPr>
      <w:r>
        <w:rPr>
          <w:rFonts w:eastAsia="Calibri"/>
          <w:b/>
          <w:bCs/>
          <w:i/>
          <w:iCs/>
          <w:color w:val="000000"/>
        </w:rPr>
        <w:t xml:space="preserve">Protection Individuelle </w:t>
      </w:r>
    </w:p>
    <w:p>
      <w:pPr>
        <w:pStyle w:val="style0"/>
        <w:numPr>
          <w:ilvl w:val="0"/>
          <w:numId w:val="56"/>
        </w:numPr>
        <w:autoSpaceDE w:val="false"/>
        <w:autoSpaceDN w:val="false"/>
        <w:adjustRightInd w:val="false"/>
        <w:spacing w:before="0"/>
        <w:jc w:val="left"/>
        <w:rPr>
          <w:rFonts w:eastAsia="Calibri"/>
          <w:color w:val="000000"/>
        </w:rPr>
      </w:pPr>
      <w:r>
        <w:rPr>
          <w:rFonts w:eastAsia="Calibri"/>
          <w:color w:val="000000"/>
        </w:rPr>
        <w:t xml:space="preserve"> Combinaison adaptée couvrant toute la main et tout le pied. </w:t>
      </w:r>
    </w:p>
    <w:p>
      <w:pPr>
        <w:pStyle w:val="style0"/>
        <w:numPr>
          <w:ilvl w:val="0"/>
          <w:numId w:val="56"/>
        </w:numPr>
        <w:autoSpaceDE w:val="false"/>
        <w:autoSpaceDN w:val="false"/>
        <w:adjustRightInd w:val="false"/>
        <w:spacing w:before="0"/>
        <w:jc w:val="left"/>
        <w:rPr>
          <w:rFonts w:eastAsia="Calibri"/>
          <w:color w:val="000000"/>
        </w:rPr>
      </w:pPr>
      <w:r>
        <w:rPr>
          <w:rFonts w:eastAsia="Calibri"/>
          <w:color w:val="000000"/>
        </w:rPr>
        <w:t xml:space="preserve">Masques anti-poussière anti-vapeur ou respiratoire selon le type de traitement et de produit utilisé. </w:t>
      </w:r>
    </w:p>
    <w:p>
      <w:pPr>
        <w:pStyle w:val="style0"/>
        <w:numPr>
          <w:ilvl w:val="0"/>
          <w:numId w:val="56"/>
        </w:numPr>
        <w:autoSpaceDE w:val="false"/>
        <w:autoSpaceDN w:val="false"/>
        <w:adjustRightInd w:val="false"/>
        <w:spacing w:before="0"/>
        <w:jc w:val="left"/>
        <w:rPr>
          <w:rFonts w:eastAsia="Calibri"/>
          <w:color w:val="000000"/>
        </w:rPr>
      </w:pPr>
      <w:r>
        <w:rPr>
          <w:rFonts w:eastAsia="Calibri"/>
          <w:color w:val="000000"/>
        </w:rPr>
        <w:t xml:space="preserve">Gants. </w:t>
      </w:r>
    </w:p>
    <w:p>
      <w:pPr>
        <w:pStyle w:val="style0"/>
        <w:numPr>
          <w:ilvl w:val="0"/>
          <w:numId w:val="56"/>
        </w:numPr>
        <w:autoSpaceDE w:val="false"/>
        <w:autoSpaceDN w:val="false"/>
        <w:adjustRightInd w:val="false"/>
        <w:spacing w:before="0"/>
        <w:jc w:val="left"/>
        <w:rPr>
          <w:rFonts w:eastAsia="Calibri"/>
          <w:color w:val="000000"/>
        </w:rPr>
      </w:pPr>
      <w:r>
        <w:rPr>
          <w:rFonts w:eastAsia="Calibri"/>
          <w:color w:val="000000"/>
        </w:rPr>
        <w:t xml:space="preserve">Lunettes. </w:t>
      </w:r>
    </w:p>
    <w:p>
      <w:pPr>
        <w:pStyle w:val="style0"/>
        <w:numPr>
          <w:ilvl w:val="0"/>
          <w:numId w:val="56"/>
        </w:numPr>
        <w:autoSpaceDE w:val="false"/>
        <w:autoSpaceDN w:val="false"/>
        <w:adjustRightInd w:val="false"/>
        <w:spacing w:before="0"/>
        <w:jc w:val="left"/>
        <w:rPr>
          <w:rFonts w:eastAsia="Calibri"/>
          <w:color w:val="000000"/>
        </w:rPr>
      </w:pPr>
      <w:r>
        <w:rPr>
          <w:rFonts w:eastAsia="Calibri"/>
          <w:color w:val="000000"/>
        </w:rPr>
        <w:t xml:space="preserve">Cagoules (écran facial). </w:t>
      </w:r>
    </w:p>
    <w:p>
      <w:pPr>
        <w:pStyle w:val="style0"/>
        <w:autoSpaceDE w:val="false"/>
        <w:autoSpaceDN w:val="false"/>
        <w:adjustRightInd w:val="false"/>
        <w:spacing w:before="0"/>
        <w:rPr>
          <w:rFonts w:eastAsia="Calibri"/>
          <w:color w:val="000000"/>
        </w:rPr>
      </w:pPr>
    </w:p>
    <w:p>
      <w:pPr>
        <w:pStyle w:val="style0"/>
        <w:autoSpaceDE w:val="false"/>
        <w:autoSpaceDN w:val="false"/>
        <w:adjustRightInd w:val="false"/>
        <w:spacing w:before="0"/>
        <w:rPr>
          <w:rFonts w:eastAsia="Calibri"/>
          <w:color w:val="000000"/>
        </w:rPr>
      </w:pPr>
      <w:r>
        <w:rPr>
          <w:rFonts w:eastAsia="Calibri"/>
          <w:b/>
          <w:bCs/>
          <w:i/>
          <w:iCs/>
          <w:color w:val="000000"/>
        </w:rPr>
        <w:t xml:space="preserve">Protection des populations </w:t>
      </w:r>
    </w:p>
    <w:p>
      <w:pPr>
        <w:pStyle w:val="style0"/>
        <w:numPr>
          <w:ilvl w:val="0"/>
          <w:numId w:val="119"/>
        </w:numPr>
        <w:autoSpaceDE w:val="false"/>
        <w:autoSpaceDN w:val="false"/>
        <w:adjustRightInd w:val="false"/>
        <w:spacing w:before="0"/>
        <w:jc w:val="left"/>
        <w:rPr>
          <w:rFonts w:eastAsia="Calibri"/>
          <w:color w:val="000000"/>
        </w:rPr>
      </w:pPr>
      <w:r>
        <w:rPr>
          <w:rFonts w:eastAsia="Calibri"/>
          <w:color w:val="000000"/>
        </w:rPr>
        <w:t xml:space="preserve"> Réduire au maximum l’exposition des populations locales et du bétail. </w:t>
      </w:r>
    </w:p>
    <w:p>
      <w:pPr>
        <w:pStyle w:val="style0"/>
        <w:numPr>
          <w:ilvl w:val="0"/>
          <w:numId w:val="119"/>
        </w:numPr>
        <w:autoSpaceDE w:val="false"/>
        <w:autoSpaceDN w:val="false"/>
        <w:adjustRightInd w:val="false"/>
        <w:spacing w:before="0"/>
        <w:jc w:val="left"/>
        <w:rPr>
          <w:rFonts w:eastAsia="Calibri"/>
          <w:color w:val="000000"/>
        </w:rPr>
      </w:pPr>
      <w:r>
        <w:rPr>
          <w:rFonts w:eastAsia="Calibri"/>
          <w:color w:val="000000"/>
        </w:rPr>
        <w:t xml:space="preserve">Couvrir les puits et autres réserves d’eau. </w:t>
      </w:r>
    </w:p>
    <w:p>
      <w:pPr>
        <w:pStyle w:val="style0"/>
        <w:numPr>
          <w:ilvl w:val="0"/>
          <w:numId w:val="119"/>
        </w:numPr>
        <w:autoSpaceDE w:val="false"/>
        <w:autoSpaceDN w:val="false"/>
        <w:adjustRightInd w:val="false"/>
        <w:spacing w:before="0"/>
        <w:jc w:val="left"/>
        <w:rPr>
          <w:rFonts w:eastAsia="Calibri"/>
          <w:color w:val="000000"/>
        </w:rPr>
      </w:pPr>
      <w:r>
        <w:rPr>
          <w:rFonts w:eastAsia="Calibri"/>
          <w:color w:val="000000"/>
        </w:rPr>
        <w:t xml:space="preserve">Sensibiliser les populations sur les risques. </w:t>
      </w:r>
    </w:p>
    <w:p>
      <w:pPr>
        <w:pStyle w:val="style0"/>
        <w:autoSpaceDE w:val="false"/>
        <w:autoSpaceDN w:val="false"/>
        <w:adjustRightInd w:val="false"/>
        <w:spacing w:before="0"/>
        <w:rPr>
          <w:rFonts w:eastAsia="Calibri"/>
          <w:color w:val="000000"/>
        </w:rPr>
      </w:pPr>
    </w:p>
    <w:p>
      <w:pPr>
        <w:pStyle w:val="style0"/>
        <w:autoSpaceDE w:val="false"/>
        <w:autoSpaceDN w:val="false"/>
        <w:adjustRightInd w:val="false"/>
        <w:spacing w:before="0"/>
        <w:rPr>
          <w:rFonts w:eastAsia="Calibri"/>
          <w:color w:val="000000"/>
        </w:rPr>
      </w:pPr>
      <w:r>
        <w:rPr>
          <w:rFonts w:eastAsia="Calibri"/>
          <w:b/>
          <w:bCs/>
          <w:i/>
          <w:iCs/>
          <w:color w:val="000000"/>
        </w:rPr>
        <w:t xml:space="preserve">Vêtements de protection </w:t>
      </w:r>
    </w:p>
    <w:p>
      <w:pPr>
        <w:pStyle w:val="style0"/>
        <w:autoSpaceDE w:val="false"/>
        <w:autoSpaceDN w:val="false"/>
        <w:adjustRightInd w:val="false"/>
        <w:spacing w:before="0"/>
        <w:rPr>
          <w:rFonts w:eastAsia="Calibri"/>
          <w:color w:val="000000"/>
        </w:rPr>
      </w:pPr>
      <w:r>
        <w:rPr>
          <w:rFonts w:eastAsia="Calibri"/>
          <w:color w:val="000000"/>
        </w:rPr>
        <w:t xml:space="preserve">Traitements à l’intérieur des habitations </w:t>
      </w:r>
    </w:p>
    <w:p>
      <w:pPr>
        <w:pStyle w:val="style0"/>
        <w:autoSpaceDE w:val="false"/>
        <w:autoSpaceDN w:val="false"/>
        <w:adjustRightInd w:val="false"/>
        <w:spacing w:before="0"/>
        <w:rPr>
          <w:rFonts w:eastAsia="Calibri"/>
          <w:color w:val="000000"/>
        </w:rPr>
      </w:pPr>
      <w:r>
        <w:rPr>
          <w:rFonts w:eastAsia="Calibri"/>
          <w:color w:val="000000"/>
        </w:rPr>
        <w:t xml:space="preserve">Les opérateurs doivent porter une combinaison de travail ou une chemise à manches longues par-dessus un pantalon, un chapeau à large bord, un turban ou autre type de couvre-chef ainsi que des bottes ou de grosses chaussures. Les sandales ne conviennent pas. Il faut se protéger la bouche et le nez avec un moyen simple, par exemple un masque jetable en papier, un masque chirurgical jetable ou lavable ou un chiffon de coton propre. Dès que le tissu est humide, il faut le changer. Les vêtements doivent également être en coton pour faciliter le lavage et le séchage. Ils doivent couvrir le corps et ne comporter aucune ouverture. Sous les climats chauds et humides, il peut être inconfortable de porter un vêtement protecteur supplémentaire, aussi s’efforcera-t-on d’épandre les pesticides pendant les heures où la chaleur est la moins forte. </w:t>
      </w:r>
    </w:p>
    <w:p>
      <w:pPr>
        <w:pStyle w:val="style0"/>
        <w:autoSpaceDE w:val="false"/>
        <w:autoSpaceDN w:val="false"/>
        <w:adjustRightInd w:val="false"/>
        <w:spacing w:before="0"/>
        <w:rPr>
          <w:rFonts w:eastAsia="Calibri"/>
          <w:color w:val="000000"/>
        </w:rPr>
      </w:pPr>
      <w:r>
        <w:rPr>
          <w:rFonts w:eastAsia="Calibri"/>
          <w:color w:val="000000"/>
        </w:rPr>
        <w:t xml:space="preserve">Préparation des suspensions </w:t>
      </w:r>
    </w:p>
    <w:p>
      <w:pPr>
        <w:pStyle w:val="style0"/>
        <w:autoSpaceDE w:val="false"/>
        <w:autoSpaceDN w:val="false"/>
        <w:adjustRightInd w:val="false"/>
        <w:spacing w:before="0"/>
        <w:rPr>
          <w:rFonts w:eastAsia="Calibri"/>
          <w:color w:val="000000"/>
        </w:rPr>
      </w:pPr>
      <w:r>
        <w:rPr>
          <w:rFonts w:eastAsia="Calibri"/>
          <w:color w:val="000000"/>
        </w:rPr>
        <w:t xml:space="preserve">Les personnes qui sont chargées d’ensacher les insecticides et de préparer les suspensions, notamment au niveau des unités d’imprégnation des moustiquaires, doivent prendre des précautions spéciales. Outre les vêtements de protection mentionnés ci-dessus, elles doivent porter des gants, un tablier et une protection oculaire, par exemple un écran facial ou des lunettes. Les écrans faciaux protègent la totalité du visage et tiennent moins chaud. Il faut se couvrir la bouche et le nez comme indiqué pour les traitements à l’intérieur des habitations. On veillera en outre à ne pas toucher une quelconque partie de son corps avec les gants pendant la manipulation des pesticides. </w:t>
      </w:r>
    </w:p>
    <w:p>
      <w:pPr>
        <w:pStyle w:val="style0"/>
        <w:autoSpaceDE w:val="false"/>
        <w:autoSpaceDN w:val="false"/>
        <w:adjustRightInd w:val="false"/>
        <w:spacing w:before="0"/>
        <w:rPr>
          <w:rFonts w:eastAsia="Calibri"/>
          <w:color w:val="000000"/>
        </w:rPr>
      </w:pPr>
      <w:r>
        <w:rPr>
          <w:rFonts w:eastAsia="Calibri"/>
          <w:color w:val="000000"/>
        </w:rPr>
        <w:t xml:space="preserve">Imprégnation des tissus </w:t>
      </w:r>
    </w:p>
    <w:p>
      <w:pPr>
        <w:pStyle w:val="style0"/>
        <w:autoSpaceDE w:val="false"/>
        <w:autoSpaceDN w:val="false"/>
        <w:adjustRightInd w:val="false"/>
        <w:spacing w:before="0"/>
        <w:rPr>
          <w:rFonts w:eastAsia="Calibri"/>
          <w:color w:val="000000"/>
        </w:rPr>
      </w:pPr>
      <w:r>
        <w:rPr>
          <w:rFonts w:eastAsia="Calibri"/>
          <w:color w:val="000000"/>
        </w:rPr>
        <w:t xml:space="preserve">Pour traiter les moustiquaires, les vêtements, les grillages ou les pièges à glossines avec des insecticides, il est impératif de porter de longs gants de caoutchouc. Dans certains cas, une protection supplémentaire est nécessaire, par exemple contre les vapeurs, les poussières ou les aspersions d’insecticides qui peuvent être dangereux. Ces accessoires de protection supplémentaires doivent être mentionnés sur l’étiquette du produit et peuvent consister en tabliers, bottes, masques faciaux, combinaisons et chapeaux. </w:t>
      </w:r>
    </w:p>
    <w:p>
      <w:pPr>
        <w:pStyle w:val="style0"/>
        <w:autoSpaceDE w:val="false"/>
        <w:autoSpaceDN w:val="false"/>
        <w:adjustRightInd w:val="false"/>
        <w:spacing w:before="0"/>
        <w:rPr>
          <w:rFonts w:eastAsia="Calibri"/>
          <w:color w:val="000000"/>
        </w:rPr>
      </w:pPr>
      <w:r>
        <w:rPr>
          <w:rFonts w:eastAsia="Calibri"/>
          <w:color w:val="000000"/>
        </w:rPr>
        <w:t xml:space="preserve">Entretien </w:t>
      </w:r>
    </w:p>
    <w:p>
      <w:pPr>
        <w:pStyle w:val="style0"/>
        <w:autoSpaceDE w:val="false"/>
        <w:autoSpaceDN w:val="false"/>
        <w:adjustRightInd w:val="false"/>
        <w:spacing w:before="0"/>
        <w:rPr>
          <w:rFonts w:eastAsia="Calibri"/>
          <w:color w:val="000000"/>
        </w:rPr>
      </w:pPr>
      <w:r>
        <w:rPr>
          <w:rFonts w:eastAsia="Calibri"/>
          <w:color w:val="000000"/>
        </w:rPr>
        <w:t xml:space="preserve">Les vêtements de protection doivent toujours être impeccablement tenus et il faut procéder à des contrôles périodiques pour vérifier qu’il n’y a ni déchirures ni usures du tissu qui pourraient entraîner une contamination de l’épiderme. Les vêtements et les équipements de protection doivent être lavés tous les jours à l’eau et au savon, séparément des autres vêtements. Les gants doivent faire l’objet d’une attention particulière et il faut les remplacer dès qu’ils sont déchirés ou s’ils présentent des signes d’usure. Après usage, on devra les rincer à grande eau avant de les ôter. A la fin de chaque journée de travail, il faudra les laver à l’extérieur et à l’intérieur. </w:t>
      </w:r>
    </w:p>
    <w:p>
      <w:pPr>
        <w:pStyle w:val="style0"/>
        <w:autoSpaceDE w:val="false"/>
        <w:autoSpaceDN w:val="false"/>
        <w:adjustRightInd w:val="false"/>
        <w:spacing w:before="0"/>
        <w:rPr>
          <w:rFonts w:eastAsia="Calibri"/>
          <w:color w:val="000000"/>
        </w:rPr>
      </w:pPr>
      <w:r>
        <w:rPr>
          <w:rFonts w:eastAsia="Calibri"/>
          <w:b/>
          <w:bCs/>
          <w:i/>
          <w:iCs/>
          <w:color w:val="000000"/>
        </w:rPr>
        <w:t xml:space="preserve">Mesures de sécurité </w:t>
      </w:r>
    </w:p>
    <w:p>
      <w:pPr>
        <w:pStyle w:val="style0"/>
        <w:autoSpaceDE w:val="false"/>
        <w:autoSpaceDN w:val="false"/>
        <w:adjustRightInd w:val="false"/>
        <w:spacing w:before="0"/>
        <w:rPr>
          <w:rFonts w:eastAsia="Calibri"/>
          <w:color w:val="000000"/>
        </w:rPr>
      </w:pPr>
      <w:r>
        <w:rPr>
          <w:rFonts w:eastAsia="Calibri"/>
          <w:color w:val="000000"/>
        </w:rPr>
        <w:t xml:space="preserve">Lors des pulvérisations </w:t>
      </w:r>
    </w:p>
    <w:p>
      <w:pPr>
        <w:pStyle w:val="style0"/>
        <w:spacing w:before="0"/>
        <w:rPr>
          <w:rFonts w:eastAsia="Calibri"/>
          <w:color w:val="000000"/>
        </w:rPr>
      </w:pPr>
      <w:r>
        <w:rPr>
          <w:rFonts w:eastAsia="Calibri"/>
          <w:color w:val="000000"/>
        </w:rPr>
        <w:t xml:space="preserve">Le jet qui sort du pulvérisateur ne doit pas être dirigé vers une partie du corps. Un pulvérisateur qui fuit doit être réparé et il faut se laver la peau si elle a été accidentellement contaminée. Les occupants de la maison et les animaux doivent rester dehors pendant toute la durée des opérations. On évitera de traiter une pièce dans laquelle se trouve une personne — un malade par exemple — que l’on ne peut pas transporter à l’extérieur. Avant que ne débutent les pulvérisations, il faut également sortir tous les ustensiles de cuisine, la vaisselle et tout ce qui contient des boissons ou des aliments. On peut aussi les réunir au centre d’une pièce et les recouvrir d’une feuille de plastique. Les hamacs et les tableaux ou tentures ne doivent pas être traités. S’il faut traiter le bas des meubles et le côté situé vers le mur, on veillera à ce que les autres surfaces soient effectivement traitées. Il faut balayer le sol ou le laver après les pulvérisations. Les occupants doivent éviter tout contact avec les murs. Les vêtements et l’équipement doivent être lavés tous les jours. Il faut éviter de pulvériser des organophosphorés ou des carbamates plus de 5 à 6 heures par jour et se laver les mains après chaque remplissage. Si l’on utilise du Fénitrothion ou de vieux stocks de Malathion, il faut que tous les opérateurs fassent contrôler chaque semaine leur cholinestérase sanguin. </w:t>
      </w:r>
    </w:p>
    <w:p>
      <w:pPr>
        <w:pStyle w:val="style0"/>
        <w:autoSpaceDE w:val="false"/>
        <w:autoSpaceDN w:val="false"/>
        <w:adjustRightInd w:val="false"/>
        <w:spacing w:before="0"/>
        <w:rPr>
          <w:rFonts w:eastAsia="Calibri"/>
          <w:color w:val="000000"/>
        </w:rPr>
      </w:pPr>
      <w:r>
        <w:rPr>
          <w:rFonts w:eastAsia="Calibri"/>
          <w:color w:val="000000"/>
        </w:rPr>
        <w:t xml:space="preserve">Surveillance de l’exposition aux organophosphorés </w:t>
      </w:r>
    </w:p>
    <w:p>
      <w:pPr>
        <w:pStyle w:val="style0"/>
        <w:autoSpaceDE w:val="false"/>
        <w:autoSpaceDN w:val="false"/>
        <w:adjustRightInd w:val="false"/>
        <w:spacing w:before="0"/>
        <w:rPr>
          <w:rFonts w:eastAsia="Calibri"/>
          <w:color w:val="000000"/>
        </w:rPr>
      </w:pPr>
      <w:r>
        <w:rPr>
          <w:rFonts w:eastAsia="Calibri"/>
          <w:color w:val="000000"/>
        </w:rPr>
        <w:t xml:space="preserve">Il existe dans le commerce des trousses de campagne pour contrôler l’activité du cholinestérase sanguine. Si cette activité est basse, on peut en déduire qu’il y a eu exposition excessive à un insecticide organophosphoré. Ces dosages doivent être pratiqués toutes les semaines chez toutes les personnes qui manipulent de tels produits. Toute personne dont l’activité cholinestérasique est trop basse doit être mise en arrêt de travail jusqu’à retour à la normale. </w:t>
      </w:r>
    </w:p>
    <w:p>
      <w:pPr>
        <w:pStyle w:val="style0"/>
        <w:autoSpaceDE w:val="false"/>
        <w:autoSpaceDN w:val="false"/>
        <w:adjustRightInd w:val="false"/>
        <w:spacing w:before="0"/>
        <w:rPr>
          <w:rFonts w:eastAsia="Calibri"/>
          <w:color w:val="000000"/>
        </w:rPr>
      </w:pPr>
      <w:r>
        <w:rPr>
          <w:rFonts w:eastAsia="Calibri"/>
          <w:color w:val="000000"/>
        </w:rPr>
        <w:t xml:space="preserve">Imprégnation des tissus </w:t>
      </w:r>
    </w:p>
    <w:p>
      <w:pPr>
        <w:pStyle w:val="style0"/>
        <w:autoSpaceDE w:val="false"/>
        <w:autoSpaceDN w:val="false"/>
        <w:adjustRightInd w:val="false"/>
        <w:spacing w:before="0"/>
        <w:rPr>
          <w:rFonts w:eastAsia="Calibri"/>
          <w:color w:val="000000"/>
        </w:rPr>
      </w:pPr>
      <w:r>
        <w:rPr>
          <w:rFonts w:eastAsia="Calibri"/>
          <w:color w:val="000000"/>
        </w:rPr>
        <w:t xml:space="preserve">Lorsqu’on manipule des concentrés d’insecticides ou qu’on prépare des suspensions, il faut porter des gants. Il faut faire attention surtout aux projections dans les yeux. Il faut utiliser une grande bassine pas trop haute et il faut que la pièce soit bien aérée pour que l’on ne risque pas d’inhaler les fumées. </w:t>
      </w:r>
    </w:p>
    <w:p>
      <w:pPr>
        <w:pStyle w:val="style0"/>
        <w:autoSpaceDE w:val="false"/>
        <w:autoSpaceDN w:val="false"/>
        <w:adjustRightInd w:val="false"/>
        <w:spacing w:before="0"/>
        <w:rPr>
          <w:rFonts w:eastAsia="Calibri"/>
          <w:color w:val="000000"/>
        </w:rPr>
      </w:pPr>
    </w:p>
    <w:p>
      <w:pPr>
        <w:pStyle w:val="style0"/>
        <w:spacing w:before="0"/>
        <w:rPr>
          <w:rFonts w:eastAsia="Calibri"/>
          <w:b/>
          <w:bCs/>
          <w:color w:val="000000"/>
          <w:sz w:val="23"/>
          <w:szCs w:val="23"/>
        </w:rPr>
      </w:pPr>
      <w:r>
        <w:rPr>
          <w:rFonts w:eastAsia="Calibri"/>
          <w:b/>
          <w:bCs/>
          <w:color w:val="000000"/>
        </w:rPr>
        <w:t>Mesures</w:t>
      </w:r>
      <w:r>
        <w:rPr>
          <w:rFonts w:eastAsia="Calibri"/>
          <w:b/>
          <w:bCs/>
          <w:color w:val="000000"/>
          <w:sz w:val="23"/>
          <w:szCs w:val="23"/>
        </w:rPr>
        <w:t xml:space="preserve"> pour réduire les risques de transport, stockage, manutention et utilisation </w:t>
      </w:r>
    </w:p>
    <w:p>
      <w:pPr>
        <w:pStyle w:val="style0"/>
        <w:spacing w:before="0"/>
        <w:jc w:val="left"/>
        <w:rPr/>
      </w:pPr>
    </w:p>
    <w:tbl>
      <w:tblPr>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1509"/>
        <w:gridCol w:w="1558"/>
        <w:gridCol w:w="1683"/>
        <w:gridCol w:w="1743"/>
        <w:gridCol w:w="2068"/>
      </w:tblGrid>
      <w:tr>
        <w:trPr/>
        <w:tc>
          <w:tcPr>
            <w:tcW w:w="1408" w:type="dxa"/>
            <w:vMerge w:val="restart"/>
            <w:tcBorders/>
          </w:tcPr>
          <w:p>
            <w:pPr>
              <w:pStyle w:val="style0"/>
              <w:autoSpaceDE w:val="false"/>
              <w:autoSpaceDN w:val="false"/>
              <w:adjustRightInd w:val="false"/>
              <w:spacing w:before="0"/>
              <w:jc w:val="left"/>
              <w:rPr>
                <w:color w:val="000000"/>
                <w:sz w:val="22"/>
                <w:szCs w:val="22"/>
                <w:lang w:val="en-US"/>
              </w:rPr>
            </w:pPr>
            <w:r>
              <w:rPr>
                <w:b/>
                <w:bCs/>
                <w:color w:val="000000"/>
                <w:sz w:val="22"/>
                <w:szCs w:val="22"/>
                <w:lang w:val="en-US"/>
              </w:rPr>
              <w:t xml:space="preserve">Étape </w:t>
            </w:r>
          </w:p>
        </w:tc>
        <w:tc>
          <w:tcPr>
            <w:tcW w:w="1509" w:type="dxa"/>
            <w:vMerge w:val="restart"/>
            <w:tcBorders/>
          </w:tcPr>
          <w:p>
            <w:pPr>
              <w:pStyle w:val="style0"/>
              <w:autoSpaceDE w:val="false"/>
              <w:autoSpaceDN w:val="false"/>
              <w:adjustRightInd w:val="false"/>
              <w:spacing w:before="0"/>
              <w:jc w:val="left"/>
              <w:rPr>
                <w:color w:val="000000"/>
                <w:sz w:val="22"/>
                <w:szCs w:val="22"/>
                <w:lang w:val="en-US"/>
              </w:rPr>
            </w:pPr>
            <w:r>
              <w:rPr>
                <w:b/>
                <w:bCs/>
                <w:color w:val="000000"/>
                <w:sz w:val="22"/>
                <w:szCs w:val="22"/>
                <w:lang w:val="en-US"/>
              </w:rPr>
              <w:t xml:space="preserve">Déterminant </w:t>
            </w:r>
          </w:p>
        </w:tc>
        <w:tc>
          <w:tcPr>
            <w:tcW w:w="4984" w:type="dxa"/>
            <w:gridSpan w:val="3"/>
            <w:tcBorders/>
          </w:tcPr>
          <w:p>
            <w:pPr>
              <w:pStyle w:val="style0"/>
              <w:spacing w:before="0"/>
              <w:jc w:val="left"/>
              <w:rPr>
                <w:lang w:val="en-US"/>
              </w:rPr>
            </w:pPr>
            <w:r>
              <w:rPr>
                <w:b/>
                <w:bCs/>
                <w:sz w:val="22"/>
                <w:szCs w:val="22"/>
                <w:lang w:val="en-US"/>
              </w:rPr>
              <w:t xml:space="preserve">Risques </w:t>
            </w:r>
          </w:p>
        </w:tc>
        <w:tc>
          <w:tcPr>
            <w:tcW w:w="2068" w:type="dxa"/>
            <w:vMerge w:val="restart"/>
            <w:tcBorders/>
          </w:tcPr>
          <w:p>
            <w:pPr>
              <w:pStyle w:val="style0"/>
              <w:spacing w:before="0"/>
              <w:jc w:val="left"/>
              <w:rPr>
                <w:lang w:val="en-US"/>
              </w:rPr>
            </w:pPr>
            <w:r>
              <w:rPr>
                <w:b/>
                <w:bCs/>
                <w:sz w:val="22"/>
                <w:szCs w:val="22"/>
                <w:lang w:val="en-US"/>
              </w:rPr>
              <w:t>Mesures d’atténuation</w:t>
            </w:r>
          </w:p>
        </w:tc>
      </w:tr>
      <w:tr>
        <w:tblPrEx/>
        <w:trPr/>
        <w:tc>
          <w:tcPr>
            <w:tcW w:w="1408" w:type="dxa"/>
            <w:vMerge w:val="continue"/>
            <w:tcBorders/>
          </w:tcPr>
          <w:p>
            <w:pPr>
              <w:pStyle w:val="style0"/>
              <w:spacing w:before="0"/>
              <w:jc w:val="left"/>
              <w:rPr>
                <w:lang w:val="en-US"/>
              </w:rPr>
            </w:pPr>
          </w:p>
        </w:tc>
        <w:tc>
          <w:tcPr>
            <w:tcW w:w="1509" w:type="dxa"/>
            <w:vMerge w:val="continue"/>
            <w:tcBorders/>
          </w:tcPr>
          <w:p>
            <w:pPr>
              <w:pStyle w:val="style0"/>
              <w:spacing w:before="0"/>
              <w:jc w:val="left"/>
              <w:rPr>
                <w:lang w:val="en-US"/>
              </w:rPr>
            </w:pPr>
          </w:p>
        </w:tc>
        <w:tc>
          <w:tcPr>
            <w:tcW w:w="1558" w:type="dxa"/>
            <w:tcBorders/>
          </w:tcPr>
          <w:p>
            <w:pPr>
              <w:pStyle w:val="style0"/>
              <w:spacing w:before="0"/>
              <w:jc w:val="left"/>
              <w:rPr>
                <w:lang w:val="en-US"/>
              </w:rPr>
            </w:pPr>
            <w:r>
              <w:rPr>
                <w:b/>
                <w:bCs/>
                <w:sz w:val="22"/>
                <w:szCs w:val="22"/>
                <w:lang w:val="en-US"/>
              </w:rPr>
              <w:t>Santé publique</w:t>
            </w:r>
          </w:p>
        </w:tc>
        <w:tc>
          <w:tcPr>
            <w:tcW w:w="1683" w:type="dxa"/>
            <w:tcBorders/>
          </w:tcPr>
          <w:p>
            <w:pPr>
              <w:pStyle w:val="style0"/>
              <w:spacing w:before="0"/>
              <w:jc w:val="left"/>
              <w:rPr>
                <w:lang w:val="en-US"/>
              </w:rPr>
            </w:pPr>
            <w:r>
              <w:rPr>
                <w:b/>
                <w:bCs/>
                <w:sz w:val="22"/>
                <w:szCs w:val="22"/>
                <w:lang w:val="en-US"/>
              </w:rPr>
              <w:t>Environnement</w:t>
            </w:r>
          </w:p>
        </w:tc>
        <w:tc>
          <w:tcPr>
            <w:tcW w:w="1743" w:type="dxa"/>
            <w:tcBorders/>
          </w:tcPr>
          <w:p>
            <w:pPr>
              <w:pStyle w:val="style0"/>
              <w:spacing w:before="0"/>
              <w:jc w:val="left"/>
              <w:rPr>
                <w:lang w:val="en-US"/>
              </w:rPr>
            </w:pPr>
            <w:r>
              <w:rPr>
                <w:b/>
                <w:bCs/>
                <w:sz w:val="22"/>
                <w:szCs w:val="22"/>
                <w:lang w:val="en-US"/>
              </w:rPr>
              <w:t>Personnel</w:t>
            </w:r>
          </w:p>
        </w:tc>
        <w:tc>
          <w:tcPr>
            <w:tcW w:w="2068" w:type="dxa"/>
            <w:vMerge w:val="continue"/>
            <w:tcBorders/>
          </w:tcPr>
          <w:p>
            <w:pPr>
              <w:pStyle w:val="style0"/>
              <w:spacing w:before="0"/>
              <w:jc w:val="left"/>
              <w:rPr>
                <w:lang w:val="en-US"/>
              </w:rPr>
            </w:pPr>
          </w:p>
        </w:tc>
      </w:tr>
      <w:tr>
        <w:tblPrEx/>
        <w:trPr/>
        <w:tc>
          <w:tcPr>
            <w:tcW w:w="1408" w:type="dxa"/>
            <w:tcBorders/>
          </w:tcPr>
          <w:p>
            <w:pPr>
              <w:pStyle w:val="style0"/>
              <w:autoSpaceDE w:val="false"/>
              <w:autoSpaceDN w:val="false"/>
              <w:adjustRightInd w:val="false"/>
              <w:spacing w:before="0"/>
              <w:jc w:val="left"/>
              <w:rPr>
                <w:color w:val="000000"/>
                <w:sz w:val="22"/>
                <w:szCs w:val="22"/>
                <w:lang w:val="en-US"/>
              </w:rPr>
            </w:pPr>
            <w:r>
              <w:rPr>
                <w:color w:val="000000"/>
                <w:sz w:val="22"/>
                <w:szCs w:val="22"/>
                <w:lang w:val="en-US"/>
              </w:rPr>
              <w:t xml:space="preserve">Transport </w:t>
            </w:r>
          </w:p>
        </w:tc>
        <w:tc>
          <w:tcPr>
            <w:tcW w:w="1509" w:type="dxa"/>
            <w:tcBorders/>
          </w:tcPr>
          <w:p>
            <w:pPr>
              <w:pStyle w:val="style0"/>
              <w:autoSpaceDE w:val="false"/>
              <w:autoSpaceDN w:val="false"/>
              <w:adjustRightInd w:val="false"/>
              <w:spacing w:before="0"/>
              <w:jc w:val="left"/>
              <w:rPr>
                <w:color w:val="000000"/>
                <w:sz w:val="22"/>
                <w:szCs w:val="22"/>
                <w:lang w:val="en-US"/>
              </w:rPr>
            </w:pPr>
            <w:r>
              <w:rPr>
                <w:color w:val="000000"/>
                <w:sz w:val="22"/>
                <w:szCs w:val="22"/>
                <w:lang w:val="en-US"/>
              </w:rPr>
              <w:t xml:space="preserve">Manque de formation </w:t>
            </w:r>
          </w:p>
        </w:tc>
        <w:tc>
          <w:tcPr>
            <w:tcW w:w="1558" w:type="dxa"/>
            <w:tcBorders/>
          </w:tcPr>
          <w:p>
            <w:pPr>
              <w:pStyle w:val="style0"/>
              <w:autoSpaceDE w:val="false"/>
              <w:autoSpaceDN w:val="false"/>
              <w:adjustRightInd w:val="false"/>
              <w:spacing w:before="0"/>
              <w:rPr>
                <w:color w:val="000000"/>
                <w:sz w:val="22"/>
                <w:szCs w:val="22"/>
                <w:lang w:val="en-US"/>
              </w:rPr>
            </w:pPr>
          </w:p>
        </w:tc>
        <w:tc>
          <w:tcPr>
            <w:tcW w:w="1683" w:type="dxa"/>
            <w:tcBorders/>
          </w:tcPr>
          <w:p>
            <w:pPr>
              <w:pStyle w:val="style0"/>
              <w:autoSpaceDE w:val="false"/>
              <w:autoSpaceDN w:val="false"/>
              <w:adjustRightInd w:val="false"/>
              <w:spacing w:before="0"/>
              <w:rPr>
                <w:color w:val="000000"/>
                <w:sz w:val="22"/>
                <w:szCs w:val="22"/>
              </w:rPr>
            </w:pPr>
            <w:r>
              <w:rPr>
                <w:color w:val="000000"/>
                <w:sz w:val="22"/>
                <w:szCs w:val="22"/>
              </w:rPr>
              <w:t xml:space="preserve">Déversement accidentel, pollution de la nappe par lixiviation </w:t>
            </w:r>
          </w:p>
        </w:tc>
        <w:tc>
          <w:tcPr>
            <w:tcW w:w="1743" w:type="dxa"/>
            <w:tcBorders/>
          </w:tcPr>
          <w:p>
            <w:pPr>
              <w:pStyle w:val="style0"/>
              <w:autoSpaceDE w:val="false"/>
              <w:autoSpaceDN w:val="false"/>
              <w:adjustRightInd w:val="false"/>
              <w:spacing w:before="0"/>
              <w:rPr>
                <w:color w:val="000000"/>
                <w:sz w:val="22"/>
                <w:szCs w:val="22"/>
              </w:rPr>
            </w:pPr>
            <w:r>
              <w:rPr>
                <w:color w:val="000000"/>
                <w:sz w:val="22"/>
                <w:szCs w:val="22"/>
              </w:rPr>
              <w:t xml:space="preserve">Inhalation de produit : vapeur, poussière, risque de contact avec la peau </w:t>
            </w:r>
          </w:p>
        </w:tc>
        <w:tc>
          <w:tcPr>
            <w:tcW w:w="2068" w:type="dxa"/>
            <w:vMerge w:val="restart"/>
            <w:tcBorders/>
          </w:tcPr>
          <w:p>
            <w:pPr>
              <w:pStyle w:val="style0"/>
              <w:autoSpaceDE w:val="false"/>
              <w:autoSpaceDN w:val="false"/>
              <w:adjustRightInd w:val="false"/>
              <w:spacing w:before="0"/>
              <w:rPr>
                <w:color w:val="000000"/>
                <w:sz w:val="22"/>
                <w:szCs w:val="22"/>
              </w:rPr>
            </w:pPr>
            <w:r>
              <w:rPr>
                <w:color w:val="000000"/>
                <w:sz w:val="22"/>
                <w:szCs w:val="22"/>
              </w:rPr>
              <w:t xml:space="preserve">formation-sensibilisation approfondie du personnel de gestion des pesticides sur tous les aspects de la filière des pesticides ainsi que sur les réponses d’urgence </w:t>
            </w:r>
          </w:p>
          <w:p>
            <w:pPr>
              <w:pStyle w:val="style0"/>
              <w:autoSpaceDE w:val="false"/>
              <w:autoSpaceDN w:val="false"/>
              <w:adjustRightInd w:val="false"/>
              <w:spacing w:before="0"/>
              <w:rPr>
                <w:color w:val="000000"/>
                <w:sz w:val="22"/>
                <w:szCs w:val="22"/>
              </w:rPr>
            </w:pPr>
            <w:r>
              <w:rPr>
                <w:color w:val="000000"/>
                <w:sz w:val="22"/>
                <w:szCs w:val="22"/>
              </w:rPr>
              <w:t xml:space="preserve">- doter le personnel d’équipement de protection et inciter à </w:t>
            </w:r>
          </w:p>
          <w:p>
            <w:pPr>
              <w:pStyle w:val="style0"/>
              <w:autoSpaceDE w:val="false"/>
              <w:autoSpaceDN w:val="false"/>
              <w:adjustRightInd w:val="false"/>
              <w:spacing w:before="0"/>
              <w:rPr>
                <w:color w:val="000000"/>
                <w:sz w:val="22"/>
                <w:szCs w:val="22"/>
              </w:rPr>
            </w:pPr>
            <w:r>
              <w:rPr>
                <w:color w:val="000000"/>
                <w:sz w:val="22"/>
                <w:szCs w:val="22"/>
              </w:rPr>
              <w:t xml:space="preserve">son port au complet </w:t>
            </w:r>
          </w:p>
          <w:p>
            <w:pPr>
              <w:pStyle w:val="style0"/>
              <w:autoSpaceDE w:val="false"/>
              <w:autoSpaceDN w:val="false"/>
              <w:adjustRightInd w:val="false"/>
              <w:spacing w:before="0"/>
              <w:rPr>
                <w:color w:val="000000"/>
                <w:sz w:val="22"/>
                <w:szCs w:val="22"/>
              </w:rPr>
            </w:pPr>
            <w:r>
              <w:rPr>
                <w:color w:val="000000"/>
                <w:sz w:val="22"/>
                <w:szCs w:val="22"/>
              </w:rPr>
              <w:t xml:space="preserve">- doter en équipement de stockage adéquat, réhabiliter les sites existants </w:t>
            </w:r>
          </w:p>
          <w:p>
            <w:pPr>
              <w:pStyle w:val="style0"/>
              <w:autoSpaceDE w:val="false"/>
              <w:autoSpaceDN w:val="false"/>
              <w:adjustRightInd w:val="false"/>
              <w:spacing w:before="0"/>
              <w:rPr>
                <w:color w:val="000000"/>
                <w:sz w:val="22"/>
                <w:szCs w:val="22"/>
              </w:rPr>
            </w:pPr>
            <w:r>
              <w:rPr>
                <w:color w:val="000000"/>
                <w:sz w:val="22"/>
                <w:szCs w:val="22"/>
              </w:rPr>
              <w:t xml:space="preserve">- procéder à la sensibilisation du public sur l’utilisation des pesticides et de leur contenant </w:t>
            </w:r>
          </w:p>
          <w:p>
            <w:pPr>
              <w:pStyle w:val="style0"/>
              <w:autoSpaceDE w:val="false"/>
              <w:autoSpaceDN w:val="false"/>
              <w:adjustRightInd w:val="false"/>
              <w:spacing w:before="0"/>
              <w:rPr>
                <w:color w:val="000000"/>
                <w:sz w:val="22"/>
                <w:szCs w:val="22"/>
              </w:rPr>
            </w:pPr>
            <w:r>
              <w:rPr>
                <w:color w:val="000000"/>
                <w:sz w:val="22"/>
                <w:szCs w:val="22"/>
              </w:rPr>
              <w:t xml:space="preserve">- formation sur la gestion des contenants vides pour une élimination sécuritaire </w:t>
            </w:r>
          </w:p>
          <w:p>
            <w:pPr>
              <w:pStyle w:val="style0"/>
              <w:autoSpaceDE w:val="false"/>
              <w:autoSpaceDN w:val="false"/>
              <w:adjustRightInd w:val="false"/>
              <w:spacing w:before="0"/>
              <w:rPr>
                <w:color w:val="000000"/>
                <w:sz w:val="22"/>
                <w:szCs w:val="22"/>
              </w:rPr>
            </w:pPr>
            <w:r>
              <w:rPr>
                <w:color w:val="000000"/>
                <w:sz w:val="22"/>
                <w:szCs w:val="22"/>
              </w:rPr>
              <w:t xml:space="preserve">- proscrire les contenants à grand volume afin d’éviter les transvasements </w:t>
            </w:r>
          </w:p>
          <w:p>
            <w:pPr>
              <w:pStyle w:val="style0"/>
              <w:autoSpaceDE w:val="false"/>
              <w:autoSpaceDN w:val="false"/>
              <w:adjustRightInd w:val="false"/>
              <w:spacing w:before="0"/>
              <w:rPr>
                <w:color w:val="000000"/>
                <w:sz w:val="22"/>
                <w:szCs w:val="22"/>
              </w:rPr>
            </w:pPr>
            <w:r>
              <w:rPr>
                <w:color w:val="000000"/>
                <w:sz w:val="22"/>
                <w:szCs w:val="22"/>
              </w:rPr>
              <w:t xml:space="preserve">- diminuer la quantité de pesticides utilisée par l’utilisation effective d’alternatives </w:t>
            </w:r>
          </w:p>
        </w:tc>
      </w:tr>
      <w:tr>
        <w:tblPrEx/>
        <w:trPr/>
        <w:tc>
          <w:tcPr>
            <w:tcW w:w="1408" w:type="dxa"/>
            <w:tcBorders/>
          </w:tcPr>
          <w:p>
            <w:pPr>
              <w:pStyle w:val="style0"/>
              <w:autoSpaceDE w:val="false"/>
              <w:autoSpaceDN w:val="false"/>
              <w:adjustRightInd w:val="false"/>
              <w:spacing w:before="0"/>
              <w:jc w:val="left"/>
              <w:rPr>
                <w:color w:val="000000"/>
                <w:sz w:val="22"/>
                <w:szCs w:val="22"/>
                <w:lang w:val="en-US"/>
              </w:rPr>
            </w:pPr>
            <w:r>
              <w:rPr>
                <w:color w:val="000000"/>
                <w:sz w:val="22"/>
                <w:szCs w:val="22"/>
                <w:lang w:val="en-US"/>
              </w:rPr>
              <w:t xml:space="preserve">Stockage </w:t>
            </w:r>
          </w:p>
          <w:p>
            <w:pPr>
              <w:pStyle w:val="style0"/>
              <w:spacing w:before="0"/>
              <w:jc w:val="left"/>
              <w:rPr>
                <w:lang w:val="en-US"/>
              </w:rPr>
            </w:pPr>
          </w:p>
        </w:tc>
        <w:tc>
          <w:tcPr>
            <w:tcW w:w="1509" w:type="dxa"/>
            <w:tcBorders/>
          </w:tcPr>
          <w:p>
            <w:pPr>
              <w:pStyle w:val="style0"/>
              <w:autoSpaceDE w:val="false"/>
              <w:autoSpaceDN w:val="false"/>
              <w:adjustRightInd w:val="false"/>
              <w:spacing w:before="0"/>
              <w:jc w:val="left"/>
              <w:rPr>
                <w:color w:val="000000"/>
                <w:sz w:val="22"/>
                <w:szCs w:val="22"/>
              </w:rPr>
            </w:pPr>
            <w:r>
              <w:rPr>
                <w:color w:val="000000"/>
                <w:sz w:val="22"/>
                <w:szCs w:val="22"/>
              </w:rPr>
              <w:t xml:space="preserve">Manque de moyen </w:t>
            </w:r>
          </w:p>
          <w:p>
            <w:pPr>
              <w:pStyle w:val="style0"/>
              <w:autoSpaceDE w:val="false"/>
              <w:autoSpaceDN w:val="false"/>
              <w:adjustRightInd w:val="false"/>
              <w:spacing w:before="0"/>
              <w:jc w:val="left"/>
              <w:rPr>
                <w:color w:val="000000"/>
                <w:sz w:val="22"/>
                <w:szCs w:val="22"/>
              </w:rPr>
            </w:pPr>
            <w:r>
              <w:rPr>
                <w:color w:val="000000"/>
                <w:sz w:val="22"/>
                <w:szCs w:val="22"/>
              </w:rPr>
              <w:t xml:space="preserve">Déficit de formation sur la gestion des pesticides </w:t>
            </w:r>
          </w:p>
        </w:tc>
        <w:tc>
          <w:tcPr>
            <w:tcW w:w="1558" w:type="dxa"/>
            <w:tcBorders/>
          </w:tcPr>
          <w:p>
            <w:pPr>
              <w:pStyle w:val="style0"/>
              <w:autoSpaceDE w:val="false"/>
              <w:autoSpaceDN w:val="false"/>
              <w:adjustRightInd w:val="false"/>
              <w:spacing w:before="0"/>
              <w:rPr>
                <w:color w:val="000000"/>
                <w:sz w:val="22"/>
                <w:szCs w:val="22"/>
              </w:rPr>
            </w:pPr>
            <w:r>
              <w:rPr>
                <w:color w:val="000000"/>
                <w:sz w:val="22"/>
                <w:szCs w:val="22"/>
              </w:rPr>
              <w:t xml:space="preserve">Contamination accidentelle </w:t>
            </w:r>
          </w:p>
          <w:p>
            <w:pPr>
              <w:pStyle w:val="style0"/>
              <w:autoSpaceDE w:val="false"/>
              <w:autoSpaceDN w:val="false"/>
              <w:adjustRightInd w:val="false"/>
              <w:spacing w:before="0"/>
              <w:rPr>
                <w:color w:val="000000"/>
                <w:sz w:val="22"/>
                <w:szCs w:val="22"/>
              </w:rPr>
            </w:pPr>
            <w:r>
              <w:rPr>
                <w:color w:val="000000"/>
                <w:sz w:val="22"/>
                <w:szCs w:val="22"/>
              </w:rPr>
              <w:t xml:space="preserve">Gêne nuisance des populations à proximité </w:t>
            </w:r>
          </w:p>
        </w:tc>
        <w:tc>
          <w:tcPr>
            <w:tcW w:w="1683" w:type="dxa"/>
            <w:tcBorders/>
          </w:tcPr>
          <w:p>
            <w:pPr>
              <w:pStyle w:val="style0"/>
              <w:autoSpaceDE w:val="false"/>
              <w:autoSpaceDN w:val="false"/>
              <w:adjustRightInd w:val="false"/>
              <w:spacing w:before="0"/>
              <w:rPr>
                <w:color w:val="000000"/>
                <w:sz w:val="22"/>
                <w:szCs w:val="22"/>
                <w:lang w:val="en-US"/>
              </w:rPr>
            </w:pPr>
            <w:r>
              <w:rPr>
                <w:color w:val="000000"/>
                <w:sz w:val="22"/>
                <w:szCs w:val="22"/>
                <w:lang w:val="en-US"/>
              </w:rPr>
              <w:t xml:space="preserve">Contamination du sol </w:t>
            </w:r>
          </w:p>
        </w:tc>
        <w:tc>
          <w:tcPr>
            <w:tcW w:w="1743" w:type="dxa"/>
            <w:tcBorders/>
          </w:tcPr>
          <w:p>
            <w:pPr>
              <w:pStyle w:val="style0"/>
              <w:autoSpaceDE w:val="false"/>
              <w:autoSpaceDN w:val="false"/>
              <w:adjustRightInd w:val="false"/>
              <w:spacing w:before="0"/>
              <w:rPr>
                <w:color w:val="000000"/>
                <w:sz w:val="22"/>
                <w:szCs w:val="22"/>
              </w:rPr>
            </w:pPr>
            <w:r>
              <w:rPr>
                <w:color w:val="000000"/>
                <w:sz w:val="22"/>
                <w:szCs w:val="22"/>
              </w:rPr>
              <w:t xml:space="preserve">Contact avec la peau par renversement occasionné par l’exiguïté des lieux </w:t>
            </w:r>
          </w:p>
        </w:tc>
        <w:tc>
          <w:tcPr>
            <w:tcW w:w="2068" w:type="dxa"/>
            <w:vMerge w:val="continue"/>
            <w:tcBorders/>
          </w:tcPr>
          <w:p>
            <w:pPr>
              <w:pStyle w:val="style0"/>
              <w:spacing w:before="0"/>
              <w:jc w:val="left"/>
              <w:rPr/>
            </w:pPr>
          </w:p>
        </w:tc>
      </w:tr>
      <w:tr>
        <w:tblPrEx/>
        <w:trPr/>
        <w:tc>
          <w:tcPr>
            <w:tcW w:w="1408" w:type="dxa"/>
            <w:tcBorders/>
          </w:tcPr>
          <w:p>
            <w:pPr>
              <w:pStyle w:val="style0"/>
              <w:autoSpaceDE w:val="false"/>
              <w:autoSpaceDN w:val="false"/>
              <w:adjustRightInd w:val="false"/>
              <w:spacing w:before="0"/>
              <w:jc w:val="left"/>
              <w:rPr>
                <w:color w:val="000000"/>
                <w:sz w:val="22"/>
                <w:szCs w:val="22"/>
                <w:lang w:val="en-US"/>
              </w:rPr>
            </w:pPr>
            <w:r>
              <w:rPr>
                <w:color w:val="000000"/>
                <w:sz w:val="22"/>
                <w:szCs w:val="22"/>
                <w:lang w:val="en-US"/>
              </w:rPr>
              <w:t xml:space="preserve">Manutention manipulation </w:t>
            </w:r>
          </w:p>
        </w:tc>
        <w:tc>
          <w:tcPr>
            <w:tcW w:w="1509" w:type="dxa"/>
            <w:tcBorders/>
          </w:tcPr>
          <w:p>
            <w:pPr>
              <w:pStyle w:val="style0"/>
              <w:autoSpaceDE w:val="false"/>
              <w:autoSpaceDN w:val="false"/>
              <w:adjustRightInd w:val="false"/>
              <w:spacing w:before="0"/>
              <w:jc w:val="left"/>
              <w:rPr>
                <w:color w:val="000000"/>
                <w:sz w:val="22"/>
                <w:szCs w:val="22"/>
              </w:rPr>
            </w:pPr>
            <w:r>
              <w:rPr>
                <w:color w:val="000000"/>
                <w:sz w:val="22"/>
                <w:szCs w:val="22"/>
              </w:rPr>
              <w:t xml:space="preserve">Déficit de formation et de sensibilisation </w:t>
            </w:r>
          </w:p>
        </w:tc>
        <w:tc>
          <w:tcPr>
            <w:tcW w:w="1558" w:type="dxa"/>
            <w:tcBorders/>
          </w:tcPr>
          <w:p>
            <w:pPr>
              <w:pStyle w:val="style0"/>
              <w:autoSpaceDE w:val="false"/>
              <w:autoSpaceDN w:val="false"/>
              <w:adjustRightInd w:val="false"/>
              <w:spacing w:before="0"/>
              <w:rPr>
                <w:color w:val="000000"/>
                <w:sz w:val="22"/>
                <w:szCs w:val="22"/>
              </w:rPr>
            </w:pPr>
            <w:r>
              <w:rPr>
                <w:color w:val="000000"/>
                <w:sz w:val="22"/>
                <w:szCs w:val="22"/>
              </w:rPr>
              <w:t xml:space="preserve">Contamination des sources d’eau par le lavage des contenants </w:t>
            </w:r>
          </w:p>
        </w:tc>
        <w:tc>
          <w:tcPr>
            <w:tcW w:w="1683" w:type="dxa"/>
            <w:tcBorders/>
          </w:tcPr>
          <w:p>
            <w:pPr>
              <w:pStyle w:val="style0"/>
              <w:autoSpaceDE w:val="false"/>
              <w:autoSpaceDN w:val="false"/>
              <w:adjustRightInd w:val="false"/>
              <w:spacing w:before="0"/>
              <w:rPr>
                <w:color w:val="000000"/>
                <w:sz w:val="22"/>
                <w:szCs w:val="22"/>
              </w:rPr>
            </w:pPr>
            <w:r>
              <w:rPr>
                <w:color w:val="000000"/>
                <w:sz w:val="22"/>
                <w:szCs w:val="22"/>
              </w:rPr>
              <w:t xml:space="preserve">contamination du sol par déversement accidentel ou intentionnel, pollution de la nappe </w:t>
            </w:r>
          </w:p>
        </w:tc>
        <w:tc>
          <w:tcPr>
            <w:tcW w:w="1743" w:type="dxa"/>
            <w:tcBorders/>
          </w:tcPr>
          <w:p>
            <w:pPr>
              <w:pStyle w:val="style0"/>
              <w:autoSpaceDE w:val="false"/>
              <w:autoSpaceDN w:val="false"/>
              <w:adjustRightInd w:val="false"/>
              <w:spacing w:before="0"/>
              <w:rPr>
                <w:color w:val="000000"/>
                <w:sz w:val="22"/>
                <w:szCs w:val="22"/>
              </w:rPr>
            </w:pPr>
            <w:r>
              <w:rPr>
                <w:color w:val="000000"/>
                <w:sz w:val="22"/>
                <w:szCs w:val="22"/>
              </w:rPr>
              <w:t xml:space="preserve">Inhalation vapeur, contact dermique par éclaboussure lors de préparation ou transvasement </w:t>
            </w:r>
          </w:p>
        </w:tc>
        <w:tc>
          <w:tcPr>
            <w:tcW w:w="2068" w:type="dxa"/>
            <w:vMerge w:val="continue"/>
            <w:tcBorders/>
          </w:tcPr>
          <w:p>
            <w:pPr>
              <w:pStyle w:val="style0"/>
              <w:spacing w:before="0"/>
              <w:jc w:val="left"/>
              <w:rPr/>
            </w:pPr>
          </w:p>
        </w:tc>
      </w:tr>
      <w:tr>
        <w:tblPrEx/>
        <w:trPr/>
        <w:tc>
          <w:tcPr>
            <w:tcW w:w="1408" w:type="dxa"/>
            <w:tcBorders/>
          </w:tcPr>
          <w:p>
            <w:pPr>
              <w:pStyle w:val="style0"/>
              <w:autoSpaceDE w:val="false"/>
              <w:autoSpaceDN w:val="false"/>
              <w:adjustRightInd w:val="false"/>
              <w:spacing w:before="0"/>
              <w:jc w:val="left"/>
              <w:rPr>
                <w:color w:val="000000"/>
                <w:sz w:val="22"/>
                <w:szCs w:val="22"/>
                <w:lang w:val="en-US"/>
              </w:rPr>
            </w:pPr>
            <w:r>
              <w:rPr>
                <w:color w:val="000000"/>
                <w:sz w:val="22"/>
                <w:szCs w:val="22"/>
                <w:lang w:val="en-US"/>
              </w:rPr>
              <w:t xml:space="preserve">Élimination des emballages </w:t>
            </w:r>
          </w:p>
        </w:tc>
        <w:tc>
          <w:tcPr>
            <w:tcW w:w="1509" w:type="dxa"/>
            <w:tcBorders/>
          </w:tcPr>
          <w:p>
            <w:pPr>
              <w:pStyle w:val="style0"/>
              <w:autoSpaceDE w:val="false"/>
              <w:autoSpaceDN w:val="false"/>
              <w:adjustRightInd w:val="false"/>
              <w:spacing w:before="0"/>
              <w:jc w:val="left"/>
              <w:rPr>
                <w:color w:val="000000"/>
                <w:sz w:val="22"/>
                <w:szCs w:val="22"/>
              </w:rPr>
            </w:pPr>
            <w:r>
              <w:rPr>
                <w:color w:val="000000"/>
                <w:sz w:val="22"/>
                <w:szCs w:val="22"/>
              </w:rPr>
              <w:t xml:space="preserve">déficit de formation d’information de sensibilisation </w:t>
            </w:r>
          </w:p>
        </w:tc>
        <w:tc>
          <w:tcPr>
            <w:tcW w:w="1558" w:type="dxa"/>
            <w:tcBorders/>
          </w:tcPr>
          <w:p>
            <w:pPr>
              <w:pStyle w:val="style0"/>
              <w:autoSpaceDE w:val="false"/>
              <w:autoSpaceDN w:val="false"/>
              <w:adjustRightInd w:val="false"/>
              <w:spacing w:before="0"/>
              <w:rPr>
                <w:color w:val="000000"/>
                <w:sz w:val="22"/>
                <w:szCs w:val="22"/>
              </w:rPr>
            </w:pPr>
            <w:r>
              <w:rPr>
                <w:color w:val="000000"/>
                <w:sz w:val="22"/>
                <w:szCs w:val="22"/>
              </w:rPr>
              <w:t xml:space="preserve">Ingestion des produits par le biais de la réutilisation des contenants </w:t>
            </w:r>
          </w:p>
        </w:tc>
        <w:tc>
          <w:tcPr>
            <w:tcW w:w="1683" w:type="dxa"/>
            <w:tcBorders/>
          </w:tcPr>
          <w:p>
            <w:pPr>
              <w:pStyle w:val="style0"/>
              <w:autoSpaceDE w:val="false"/>
              <w:autoSpaceDN w:val="false"/>
              <w:adjustRightInd w:val="false"/>
              <w:spacing w:before="0"/>
              <w:rPr>
                <w:color w:val="000000"/>
                <w:sz w:val="22"/>
                <w:szCs w:val="22"/>
              </w:rPr>
            </w:pPr>
            <w:r>
              <w:rPr>
                <w:color w:val="000000"/>
                <w:sz w:val="22"/>
                <w:szCs w:val="22"/>
              </w:rPr>
              <w:t xml:space="preserve">Contact dermique et appareil respiratoire </w:t>
            </w:r>
          </w:p>
        </w:tc>
        <w:tc>
          <w:tcPr>
            <w:tcW w:w="1743" w:type="dxa"/>
            <w:tcBorders/>
          </w:tcPr>
          <w:p>
            <w:pPr>
              <w:pStyle w:val="style0"/>
              <w:autoSpaceDE w:val="false"/>
              <w:autoSpaceDN w:val="false"/>
              <w:adjustRightInd w:val="false"/>
              <w:spacing w:before="0"/>
              <w:rPr>
                <w:color w:val="000000"/>
                <w:sz w:val="22"/>
                <w:szCs w:val="22"/>
                <w:lang w:val="en-US"/>
              </w:rPr>
            </w:pPr>
            <w:r>
              <w:rPr>
                <w:color w:val="000000"/>
                <w:sz w:val="22"/>
                <w:szCs w:val="22"/>
                <w:lang w:val="en-US"/>
              </w:rPr>
              <w:t xml:space="preserve">Élimination des emballages </w:t>
            </w:r>
          </w:p>
        </w:tc>
        <w:tc>
          <w:tcPr>
            <w:tcW w:w="2068" w:type="dxa"/>
            <w:vMerge w:val="continue"/>
            <w:tcBorders/>
          </w:tcPr>
          <w:p>
            <w:pPr>
              <w:pStyle w:val="style0"/>
              <w:spacing w:before="0"/>
              <w:jc w:val="left"/>
              <w:rPr>
                <w:lang w:val="en-US"/>
              </w:rPr>
            </w:pPr>
          </w:p>
        </w:tc>
      </w:tr>
      <w:tr>
        <w:tblPrEx/>
        <w:trPr/>
        <w:tc>
          <w:tcPr>
            <w:tcW w:w="1408" w:type="dxa"/>
            <w:tcBorders/>
          </w:tcPr>
          <w:p>
            <w:pPr>
              <w:pStyle w:val="style0"/>
              <w:autoSpaceDE w:val="false"/>
              <w:autoSpaceDN w:val="false"/>
              <w:adjustRightInd w:val="false"/>
              <w:spacing w:before="0"/>
              <w:jc w:val="left"/>
              <w:rPr>
                <w:color w:val="000000"/>
                <w:sz w:val="23"/>
                <w:szCs w:val="23"/>
                <w:lang w:val="en-US"/>
              </w:rPr>
            </w:pPr>
            <w:r>
              <w:rPr>
                <w:color w:val="000000"/>
                <w:sz w:val="23"/>
                <w:szCs w:val="23"/>
                <w:lang w:val="en-US"/>
              </w:rPr>
              <w:t xml:space="preserve">Lavage des </w:t>
            </w:r>
          </w:p>
          <w:p>
            <w:pPr>
              <w:pStyle w:val="style0"/>
              <w:autoSpaceDE w:val="false"/>
              <w:autoSpaceDN w:val="false"/>
              <w:adjustRightInd w:val="false"/>
              <w:spacing w:before="0"/>
              <w:jc w:val="left"/>
              <w:rPr>
                <w:color w:val="000000"/>
                <w:sz w:val="22"/>
                <w:szCs w:val="22"/>
                <w:lang w:val="en-US"/>
              </w:rPr>
            </w:pPr>
            <w:r>
              <w:rPr>
                <w:color w:val="000000"/>
                <w:sz w:val="22"/>
                <w:szCs w:val="22"/>
                <w:lang w:val="en-US"/>
              </w:rPr>
              <w:t xml:space="preserve">contenants </w:t>
            </w:r>
          </w:p>
        </w:tc>
        <w:tc>
          <w:tcPr>
            <w:tcW w:w="1509" w:type="dxa"/>
            <w:tcBorders/>
          </w:tcPr>
          <w:p>
            <w:pPr>
              <w:pStyle w:val="style0"/>
              <w:autoSpaceDE w:val="false"/>
              <w:autoSpaceDN w:val="false"/>
              <w:adjustRightInd w:val="false"/>
              <w:spacing w:before="0"/>
              <w:jc w:val="left"/>
              <w:rPr>
                <w:color w:val="000000"/>
                <w:sz w:val="22"/>
                <w:szCs w:val="22"/>
              </w:rPr>
            </w:pPr>
            <w:r>
              <w:rPr>
                <w:color w:val="000000"/>
                <w:sz w:val="22"/>
                <w:szCs w:val="22"/>
              </w:rPr>
              <w:t xml:space="preserve">déficit de formation d’information de sensibilisation </w:t>
            </w:r>
          </w:p>
        </w:tc>
        <w:tc>
          <w:tcPr>
            <w:tcW w:w="1558" w:type="dxa"/>
            <w:tcBorders/>
          </w:tcPr>
          <w:p>
            <w:pPr>
              <w:pStyle w:val="style0"/>
              <w:autoSpaceDE w:val="false"/>
              <w:autoSpaceDN w:val="false"/>
              <w:adjustRightInd w:val="false"/>
              <w:spacing w:before="0"/>
              <w:rPr>
                <w:color w:val="000000"/>
                <w:sz w:val="22"/>
                <w:szCs w:val="22"/>
              </w:rPr>
            </w:pPr>
            <w:r>
              <w:rPr>
                <w:color w:val="000000"/>
                <w:sz w:val="22"/>
                <w:szCs w:val="22"/>
              </w:rPr>
              <w:t xml:space="preserve">Contact dermique, contamination des puits </w:t>
            </w:r>
          </w:p>
        </w:tc>
        <w:tc>
          <w:tcPr>
            <w:tcW w:w="1683" w:type="dxa"/>
            <w:tcBorders/>
          </w:tcPr>
          <w:p>
            <w:pPr>
              <w:pStyle w:val="style0"/>
              <w:autoSpaceDE w:val="false"/>
              <w:autoSpaceDN w:val="false"/>
              <w:adjustRightInd w:val="false"/>
              <w:spacing w:before="0"/>
              <w:rPr>
                <w:color w:val="000000"/>
                <w:sz w:val="22"/>
                <w:szCs w:val="22"/>
              </w:rPr>
            </w:pPr>
            <w:r>
              <w:rPr>
                <w:color w:val="000000"/>
                <w:sz w:val="22"/>
                <w:szCs w:val="22"/>
              </w:rPr>
              <w:t xml:space="preserve">Intoxication aigue des poissons et autres crustacées, pollution des puits et mares, nappe </w:t>
            </w:r>
          </w:p>
        </w:tc>
        <w:tc>
          <w:tcPr>
            <w:tcW w:w="1743" w:type="dxa"/>
            <w:tcBorders/>
          </w:tcPr>
          <w:p>
            <w:pPr>
              <w:pStyle w:val="style0"/>
              <w:autoSpaceDE w:val="false"/>
              <w:autoSpaceDN w:val="false"/>
              <w:adjustRightInd w:val="false"/>
              <w:spacing w:before="0"/>
              <w:rPr>
                <w:color w:val="000000"/>
                <w:sz w:val="22"/>
                <w:szCs w:val="22"/>
                <w:lang w:val="en-US"/>
              </w:rPr>
            </w:pPr>
            <w:r>
              <w:rPr>
                <w:color w:val="000000"/>
                <w:sz w:val="22"/>
                <w:szCs w:val="22"/>
                <w:lang w:val="en-US"/>
              </w:rPr>
              <w:t xml:space="preserve">Contact dermique </w:t>
            </w:r>
          </w:p>
        </w:tc>
        <w:tc>
          <w:tcPr>
            <w:tcW w:w="2068" w:type="dxa"/>
            <w:vMerge w:val="continue"/>
            <w:tcBorders/>
          </w:tcPr>
          <w:p>
            <w:pPr>
              <w:pStyle w:val="style0"/>
              <w:spacing w:before="0"/>
              <w:jc w:val="left"/>
              <w:rPr>
                <w:lang w:val="en-US"/>
              </w:rPr>
            </w:pPr>
          </w:p>
        </w:tc>
      </w:tr>
    </w:tbl>
    <w:p>
      <w:pPr>
        <w:pStyle w:val="style0"/>
        <w:spacing w:before="0"/>
        <w:jc w:val="left"/>
        <w:rPr>
          <w:lang w:val="en-US"/>
        </w:rPr>
      </w:pPr>
    </w:p>
    <w:p>
      <w:pPr>
        <w:pStyle w:val="style0"/>
        <w:spacing w:before="0"/>
        <w:jc w:val="left"/>
        <w:rPr>
          <w:lang w:val="en-US"/>
        </w:rPr>
      </w:pPr>
    </w:p>
    <w:p>
      <w:pPr>
        <w:pStyle w:val="style0"/>
        <w:spacing w:before="0"/>
        <w:jc w:val="left"/>
        <w:rPr>
          <w:b/>
          <w:bCs/>
          <w:sz w:val="23"/>
          <w:szCs w:val="23"/>
        </w:rPr>
      </w:pPr>
      <w:r>
        <w:rPr>
          <w:b/>
          <w:bCs/>
          <w:sz w:val="23"/>
          <w:szCs w:val="23"/>
        </w:rPr>
        <w:t>Signes d’intoxication et soins appropriés aux victimes</w:t>
      </w:r>
    </w:p>
    <w:p>
      <w:pPr>
        <w:pStyle w:val="style0"/>
        <w:spacing w:before="0"/>
        <w:jc w:val="left"/>
        <w:rPr>
          <w:b/>
          <w:bCs/>
          <w:sz w:val="23"/>
          <w:szCs w:val="23"/>
        </w:rPr>
      </w:pPr>
    </w:p>
    <w:tbl>
      <w:tblPr>
        <w:tblW w:w="0" w:type="auto"/>
        <w:tblLook w:val="04A0" w:firstRow="1" w:lastRow="0" w:firstColumn="1" w:lastColumn="0" w:noHBand="0" w:noVBand="1"/>
      </w:tblPr>
      <w:tblGrid>
        <w:gridCol w:w="4606"/>
        <w:gridCol w:w="4606"/>
      </w:tblGrid>
      <w:tr>
        <w:trPr/>
        <w:tc>
          <w:tcPr>
            <w:tcW w:w="4606" w:type="dxa"/>
            <w:tcBorders/>
          </w:tcPr>
          <w:p>
            <w:pPr>
              <w:pStyle w:val="style0"/>
              <w:autoSpaceDE w:val="false"/>
              <w:autoSpaceDN w:val="false"/>
              <w:adjustRightInd w:val="false"/>
              <w:spacing w:before="0"/>
              <w:jc w:val="left"/>
              <w:rPr>
                <w:color w:val="000000"/>
                <w:sz w:val="23"/>
                <w:szCs w:val="23"/>
                <w:lang w:val="en-US"/>
              </w:rPr>
            </w:pPr>
            <w:r>
              <w:rPr>
                <w:b/>
                <w:bCs/>
                <w:color w:val="000000"/>
                <w:sz w:val="23"/>
                <w:szCs w:val="23"/>
                <w:lang w:val="en-US"/>
              </w:rPr>
              <w:t xml:space="preserve">Signes d’intoxication </w:t>
            </w:r>
          </w:p>
        </w:tc>
        <w:tc>
          <w:tcPr>
            <w:tcW w:w="4606" w:type="dxa"/>
            <w:tcBorders/>
          </w:tcPr>
          <w:p>
            <w:pPr>
              <w:pStyle w:val="style0"/>
              <w:autoSpaceDE w:val="false"/>
              <w:autoSpaceDN w:val="false"/>
              <w:adjustRightInd w:val="false"/>
              <w:spacing w:before="0"/>
              <w:jc w:val="left"/>
              <w:rPr>
                <w:color w:val="000000"/>
                <w:sz w:val="23"/>
                <w:szCs w:val="23"/>
                <w:lang w:val="en-US"/>
              </w:rPr>
            </w:pPr>
            <w:r>
              <w:rPr>
                <w:b/>
                <w:bCs/>
                <w:color w:val="000000"/>
                <w:sz w:val="23"/>
                <w:szCs w:val="23"/>
                <w:lang w:val="en-US"/>
              </w:rPr>
              <w:t xml:space="preserve">Soins appropriés </w:t>
            </w:r>
          </w:p>
        </w:tc>
      </w:tr>
      <w:tr>
        <w:tblPrEx/>
        <w:trPr/>
        <w:tc>
          <w:tcPr>
            <w:tcW w:w="4606" w:type="dxa"/>
            <w:tcBorders/>
          </w:tcPr>
          <w:p>
            <w:pPr>
              <w:pStyle w:val="style0"/>
              <w:autoSpaceDE w:val="false"/>
              <w:autoSpaceDN w:val="false"/>
              <w:adjustRightInd w:val="false"/>
              <w:spacing w:before="0"/>
              <w:jc w:val="left"/>
              <w:rPr>
                <w:color w:val="000000"/>
                <w:sz w:val="23"/>
                <w:szCs w:val="23"/>
              </w:rPr>
            </w:pPr>
            <w:r>
              <w:rPr>
                <w:color w:val="000000"/>
                <w:sz w:val="23"/>
                <w:szCs w:val="23"/>
              </w:rPr>
              <w:t xml:space="preserve">Contamination des yeux (douleurs ou irritations) </w:t>
            </w:r>
          </w:p>
        </w:tc>
        <w:tc>
          <w:tcPr>
            <w:tcW w:w="4606" w:type="dxa"/>
            <w:tcBorders/>
          </w:tcPr>
          <w:p>
            <w:pPr>
              <w:pStyle w:val="style0"/>
              <w:autoSpaceDE w:val="false"/>
              <w:autoSpaceDN w:val="false"/>
              <w:adjustRightInd w:val="false"/>
              <w:spacing w:before="0"/>
              <w:jc w:val="left"/>
              <w:rPr/>
            </w:pPr>
          </w:p>
          <w:p>
            <w:pPr>
              <w:pStyle w:val="style0"/>
              <w:autoSpaceDE w:val="false"/>
              <w:autoSpaceDN w:val="false"/>
              <w:adjustRightInd w:val="false"/>
              <w:spacing w:before="0"/>
              <w:jc w:val="left"/>
              <w:rPr>
                <w:color w:val="000000"/>
              </w:rPr>
            </w:pPr>
            <w:r>
              <w:rPr>
                <w:color w:val="000000"/>
              </w:rPr>
              <w:t xml:space="preserve">Rincer abondamment à l’eau du robinet </w:t>
            </w:r>
          </w:p>
          <w:p>
            <w:pPr>
              <w:pStyle w:val="style0"/>
              <w:autoSpaceDE w:val="false"/>
              <w:autoSpaceDN w:val="false"/>
              <w:adjustRightInd w:val="false"/>
              <w:spacing w:before="0"/>
              <w:jc w:val="left"/>
              <w:rPr>
                <w:color w:val="000000"/>
                <w:sz w:val="23"/>
                <w:szCs w:val="23"/>
              </w:rPr>
            </w:pPr>
          </w:p>
          <w:p>
            <w:pPr>
              <w:pStyle w:val="style0"/>
              <w:autoSpaceDE w:val="false"/>
              <w:autoSpaceDN w:val="false"/>
              <w:adjustRightInd w:val="false"/>
              <w:spacing w:before="0"/>
              <w:jc w:val="left"/>
              <w:rPr>
                <w:color w:val="000000"/>
                <w:sz w:val="23"/>
                <w:szCs w:val="23"/>
              </w:rPr>
            </w:pPr>
            <w:r>
              <w:rPr>
                <w:color w:val="000000"/>
                <w:sz w:val="23"/>
                <w:szCs w:val="23"/>
                <w:lang w:val="en-US"/>
              </w:rPr>
              <w:t></w:t>
            </w:r>
            <w:r>
              <w:rPr>
                <w:color w:val="000000"/>
                <w:sz w:val="23"/>
                <w:szCs w:val="23"/>
              </w:rPr>
              <w:t xml:space="preserve"> Si cela aggrave, consulter un médecin </w:t>
            </w:r>
          </w:p>
          <w:p>
            <w:pPr>
              <w:pStyle w:val="style0"/>
              <w:autoSpaceDE w:val="false"/>
              <w:autoSpaceDN w:val="false"/>
              <w:adjustRightInd w:val="false"/>
              <w:spacing w:before="0"/>
              <w:jc w:val="left"/>
              <w:rPr>
                <w:color w:val="000000"/>
                <w:sz w:val="23"/>
                <w:szCs w:val="23"/>
              </w:rPr>
            </w:pPr>
          </w:p>
        </w:tc>
      </w:tr>
      <w:tr>
        <w:tblPrEx/>
        <w:trPr/>
        <w:tc>
          <w:tcPr>
            <w:tcW w:w="4606" w:type="dxa"/>
            <w:tcBorders/>
          </w:tcPr>
          <w:p>
            <w:pPr>
              <w:pStyle w:val="style0"/>
              <w:autoSpaceDE w:val="false"/>
              <w:autoSpaceDN w:val="false"/>
              <w:adjustRightInd w:val="false"/>
              <w:spacing w:before="0"/>
              <w:jc w:val="left"/>
              <w:rPr>
                <w:color w:val="000000"/>
                <w:sz w:val="23"/>
                <w:szCs w:val="23"/>
              </w:rPr>
            </w:pPr>
            <w:r>
              <w:rPr>
                <w:color w:val="000000"/>
                <w:sz w:val="23"/>
                <w:szCs w:val="23"/>
              </w:rPr>
              <w:t xml:space="preserve">Irritation de la peau (sensations de picotement et brûlure) </w:t>
            </w:r>
          </w:p>
          <w:p>
            <w:pPr>
              <w:pStyle w:val="style0"/>
              <w:autoSpaceDE w:val="false"/>
              <w:autoSpaceDN w:val="false"/>
              <w:adjustRightInd w:val="false"/>
              <w:spacing w:before="0"/>
              <w:jc w:val="left"/>
              <w:rPr>
                <w:color w:val="000000"/>
                <w:sz w:val="23"/>
                <w:szCs w:val="23"/>
              </w:rPr>
            </w:pPr>
          </w:p>
        </w:tc>
        <w:tc>
          <w:tcPr>
            <w:tcW w:w="4606" w:type="dxa"/>
            <w:tcBorders/>
          </w:tcPr>
          <w:p>
            <w:pPr>
              <w:pStyle w:val="style0"/>
              <w:autoSpaceDE w:val="false"/>
              <w:autoSpaceDN w:val="false"/>
              <w:adjustRightInd w:val="false"/>
              <w:spacing w:before="0"/>
              <w:jc w:val="left"/>
              <w:rPr/>
            </w:pPr>
          </w:p>
          <w:p>
            <w:pPr>
              <w:pStyle w:val="style0"/>
              <w:autoSpaceDE w:val="false"/>
              <w:autoSpaceDN w:val="false"/>
              <w:adjustRightInd w:val="false"/>
              <w:spacing w:before="0"/>
              <w:jc w:val="left"/>
              <w:rPr>
                <w:color w:val="000000"/>
                <w:sz w:val="23"/>
                <w:szCs w:val="23"/>
              </w:rPr>
            </w:pPr>
            <w:r>
              <w:rPr>
                <w:color w:val="000000"/>
                <w:sz w:val="23"/>
                <w:szCs w:val="23"/>
              </w:rPr>
              <w:t xml:space="preserve">Laver la partie contaminée avec de l’eau, </w:t>
            </w:r>
            <w:r>
              <w:rPr>
                <w:i/>
                <w:iCs/>
                <w:color w:val="000000"/>
                <w:sz w:val="23"/>
                <w:szCs w:val="23"/>
              </w:rPr>
              <w:t xml:space="preserve">jamais </w:t>
            </w:r>
            <w:r>
              <w:rPr>
                <w:color w:val="000000"/>
                <w:sz w:val="23"/>
                <w:szCs w:val="23"/>
              </w:rPr>
              <w:t xml:space="preserve">avec de l’huile </w:t>
            </w:r>
          </w:p>
          <w:p>
            <w:pPr>
              <w:pStyle w:val="style0"/>
              <w:autoSpaceDE w:val="false"/>
              <w:autoSpaceDN w:val="false"/>
              <w:adjustRightInd w:val="false"/>
              <w:spacing w:before="0"/>
              <w:jc w:val="left"/>
              <w:rPr/>
            </w:pPr>
          </w:p>
          <w:p>
            <w:pPr>
              <w:pStyle w:val="style0"/>
              <w:autoSpaceDE w:val="false"/>
              <w:autoSpaceDN w:val="false"/>
              <w:adjustRightInd w:val="false"/>
              <w:spacing w:before="0"/>
              <w:jc w:val="left"/>
              <w:rPr>
                <w:color w:val="000000"/>
              </w:rPr>
            </w:pPr>
            <w:r>
              <w:rPr>
                <w:color w:val="000000"/>
              </w:rPr>
              <w:t xml:space="preserve">Mettre une crème calmante dessus </w:t>
            </w:r>
          </w:p>
          <w:p>
            <w:pPr>
              <w:pStyle w:val="style0"/>
              <w:autoSpaceDE w:val="false"/>
              <w:autoSpaceDN w:val="false"/>
              <w:adjustRightInd w:val="false"/>
              <w:spacing w:before="0"/>
              <w:jc w:val="left"/>
              <w:rPr/>
            </w:pPr>
          </w:p>
          <w:p>
            <w:pPr>
              <w:pStyle w:val="style0"/>
              <w:autoSpaceDE w:val="false"/>
              <w:autoSpaceDN w:val="false"/>
              <w:adjustRightInd w:val="false"/>
              <w:spacing w:before="0"/>
              <w:jc w:val="left"/>
              <w:rPr>
                <w:color w:val="000000"/>
              </w:rPr>
            </w:pPr>
            <w:r>
              <w:rPr>
                <w:color w:val="000000"/>
              </w:rPr>
              <w:t xml:space="preserve">Si cela ne calme pas, consulter un médecin </w:t>
            </w:r>
          </w:p>
          <w:p>
            <w:pPr>
              <w:pStyle w:val="style0"/>
              <w:autoSpaceDE w:val="false"/>
              <w:autoSpaceDN w:val="false"/>
              <w:adjustRightInd w:val="false"/>
              <w:spacing w:before="0"/>
              <w:jc w:val="left"/>
              <w:rPr/>
            </w:pPr>
          </w:p>
        </w:tc>
      </w:tr>
      <w:tr>
        <w:tblPrEx/>
        <w:trPr/>
        <w:tc>
          <w:tcPr>
            <w:tcW w:w="4606" w:type="dxa"/>
            <w:tcBorders/>
          </w:tcPr>
          <w:p>
            <w:pPr>
              <w:pStyle w:val="style0"/>
              <w:autoSpaceDE w:val="false"/>
              <w:autoSpaceDN w:val="false"/>
              <w:adjustRightInd w:val="false"/>
              <w:spacing w:before="0"/>
              <w:jc w:val="left"/>
              <w:rPr>
                <w:color w:val="000000"/>
                <w:sz w:val="23"/>
                <w:szCs w:val="23"/>
              </w:rPr>
            </w:pPr>
            <w:r>
              <w:rPr>
                <w:color w:val="000000"/>
                <w:sz w:val="23"/>
                <w:szCs w:val="23"/>
              </w:rPr>
              <w:t xml:space="preserve">Sensation de fatigue, maux de tête ou vertiges </w:t>
            </w:r>
          </w:p>
          <w:p>
            <w:pPr>
              <w:pStyle w:val="style0"/>
              <w:autoSpaceDE w:val="false"/>
              <w:autoSpaceDN w:val="false"/>
              <w:adjustRightInd w:val="false"/>
              <w:spacing w:before="0"/>
              <w:jc w:val="left"/>
              <w:rPr>
                <w:color w:val="000000"/>
                <w:sz w:val="23"/>
                <w:szCs w:val="23"/>
              </w:rPr>
            </w:pPr>
          </w:p>
        </w:tc>
        <w:tc>
          <w:tcPr>
            <w:tcW w:w="4606" w:type="dxa"/>
            <w:tcBorders/>
          </w:tcPr>
          <w:p>
            <w:pPr>
              <w:pStyle w:val="style0"/>
              <w:autoSpaceDE w:val="false"/>
              <w:autoSpaceDN w:val="false"/>
              <w:adjustRightInd w:val="false"/>
              <w:spacing w:before="0"/>
              <w:jc w:val="left"/>
              <w:rPr/>
            </w:pPr>
          </w:p>
          <w:p>
            <w:pPr>
              <w:pStyle w:val="style0"/>
              <w:autoSpaceDE w:val="false"/>
              <w:autoSpaceDN w:val="false"/>
              <w:adjustRightInd w:val="false"/>
              <w:spacing w:before="0"/>
              <w:jc w:val="left"/>
              <w:rPr>
                <w:color w:val="000000"/>
              </w:rPr>
            </w:pPr>
            <w:r>
              <w:rPr>
                <w:color w:val="000000"/>
              </w:rPr>
              <w:t xml:space="preserve">Se reposer </w:t>
            </w:r>
          </w:p>
          <w:p>
            <w:pPr>
              <w:pStyle w:val="style0"/>
              <w:autoSpaceDE w:val="false"/>
              <w:autoSpaceDN w:val="false"/>
              <w:adjustRightInd w:val="false"/>
              <w:spacing w:before="0"/>
              <w:jc w:val="left"/>
              <w:rPr>
                <w:color w:val="000000"/>
                <w:sz w:val="23"/>
                <w:szCs w:val="23"/>
              </w:rPr>
            </w:pPr>
            <w:r>
              <w:rPr>
                <w:color w:val="000000"/>
                <w:sz w:val="23"/>
                <w:szCs w:val="23"/>
                <w:lang w:val="en-US"/>
              </w:rPr>
              <w:t></w:t>
            </w:r>
            <w:r>
              <w:rPr>
                <w:color w:val="000000"/>
                <w:sz w:val="23"/>
                <w:szCs w:val="23"/>
              </w:rPr>
              <w:t xml:space="preserve"> Ne pas recommencer avant de se sentir totalement reposé </w:t>
            </w:r>
          </w:p>
          <w:p>
            <w:pPr>
              <w:pStyle w:val="style0"/>
              <w:autoSpaceDE w:val="false"/>
              <w:autoSpaceDN w:val="false"/>
              <w:adjustRightInd w:val="false"/>
              <w:spacing w:before="0"/>
              <w:jc w:val="left"/>
              <w:rPr>
                <w:color w:val="000000"/>
                <w:sz w:val="23"/>
                <w:szCs w:val="23"/>
              </w:rPr>
            </w:pPr>
            <w:r>
              <w:rPr>
                <w:color w:val="000000"/>
                <w:sz w:val="23"/>
                <w:szCs w:val="23"/>
                <w:lang w:val="en-US"/>
              </w:rPr>
              <w:t></w:t>
            </w:r>
            <w:r>
              <w:rPr>
                <w:color w:val="000000"/>
                <w:sz w:val="23"/>
                <w:szCs w:val="23"/>
              </w:rPr>
              <w:t xml:space="preserve"> Si cela ne calme pas, consulter un médecin </w:t>
            </w:r>
          </w:p>
          <w:p>
            <w:pPr>
              <w:pStyle w:val="style0"/>
              <w:autoSpaceDE w:val="false"/>
              <w:autoSpaceDN w:val="false"/>
              <w:adjustRightInd w:val="false"/>
              <w:spacing w:before="0"/>
              <w:jc w:val="left"/>
              <w:rPr/>
            </w:pPr>
          </w:p>
        </w:tc>
      </w:tr>
      <w:tr>
        <w:tblPrEx/>
        <w:trPr/>
        <w:tc>
          <w:tcPr>
            <w:tcW w:w="4606" w:type="dxa"/>
            <w:tcBorders/>
          </w:tcPr>
          <w:p>
            <w:pPr>
              <w:pStyle w:val="style0"/>
              <w:autoSpaceDE w:val="false"/>
              <w:autoSpaceDN w:val="false"/>
              <w:adjustRightInd w:val="false"/>
              <w:spacing w:before="0"/>
              <w:jc w:val="left"/>
              <w:rPr>
                <w:color w:val="000000"/>
                <w:sz w:val="23"/>
                <w:szCs w:val="23"/>
                <w:lang w:val="en-US"/>
              </w:rPr>
            </w:pPr>
            <w:r>
              <w:rPr>
                <w:color w:val="000000"/>
                <w:sz w:val="23"/>
                <w:szCs w:val="23"/>
                <w:lang w:val="en-US"/>
              </w:rPr>
              <w:t xml:space="preserve">Contamination des poumons </w:t>
            </w:r>
          </w:p>
          <w:p>
            <w:pPr>
              <w:pStyle w:val="style0"/>
              <w:autoSpaceDE w:val="false"/>
              <w:autoSpaceDN w:val="false"/>
              <w:adjustRightInd w:val="false"/>
              <w:spacing w:before="0"/>
              <w:jc w:val="left"/>
              <w:rPr>
                <w:color w:val="000000"/>
                <w:sz w:val="23"/>
                <w:szCs w:val="23"/>
              </w:rPr>
            </w:pPr>
          </w:p>
        </w:tc>
        <w:tc>
          <w:tcPr>
            <w:tcW w:w="4606" w:type="dxa"/>
            <w:tcBorders/>
          </w:tcPr>
          <w:p>
            <w:pPr>
              <w:pStyle w:val="style0"/>
              <w:autoSpaceDE w:val="false"/>
              <w:autoSpaceDN w:val="false"/>
              <w:adjustRightInd w:val="false"/>
              <w:spacing w:before="0"/>
              <w:jc w:val="left"/>
              <w:rPr/>
            </w:pPr>
          </w:p>
          <w:p>
            <w:pPr>
              <w:pStyle w:val="style0"/>
              <w:autoSpaceDE w:val="false"/>
              <w:autoSpaceDN w:val="false"/>
              <w:adjustRightInd w:val="false"/>
              <w:spacing w:before="0"/>
              <w:jc w:val="left"/>
              <w:rPr>
                <w:color w:val="000000"/>
              </w:rPr>
            </w:pPr>
            <w:r>
              <w:rPr>
                <w:color w:val="000000"/>
              </w:rPr>
              <w:t xml:space="preserve">Rester à l’ombre </w:t>
            </w:r>
          </w:p>
          <w:p>
            <w:pPr>
              <w:pStyle w:val="style0"/>
              <w:autoSpaceDE w:val="false"/>
              <w:autoSpaceDN w:val="false"/>
              <w:adjustRightInd w:val="false"/>
              <w:spacing w:before="0"/>
              <w:jc w:val="left"/>
              <w:rPr>
                <w:color w:val="000000"/>
                <w:sz w:val="23"/>
                <w:szCs w:val="23"/>
              </w:rPr>
            </w:pPr>
            <w:r>
              <w:rPr>
                <w:color w:val="000000"/>
                <w:sz w:val="23"/>
                <w:szCs w:val="23"/>
                <w:lang w:val="en-US"/>
              </w:rPr>
              <w:t></w:t>
            </w:r>
            <w:r>
              <w:rPr>
                <w:color w:val="000000"/>
                <w:sz w:val="23"/>
                <w:szCs w:val="23"/>
              </w:rPr>
              <w:t xml:space="preserve"> Mettre sous surveillance médicale </w:t>
            </w:r>
          </w:p>
          <w:p>
            <w:pPr>
              <w:pStyle w:val="style0"/>
              <w:autoSpaceDE w:val="false"/>
              <w:autoSpaceDN w:val="false"/>
              <w:adjustRightInd w:val="false"/>
              <w:spacing w:before="0"/>
              <w:jc w:val="left"/>
              <w:rPr/>
            </w:pPr>
          </w:p>
        </w:tc>
      </w:tr>
    </w:tbl>
    <w:p>
      <w:pPr>
        <w:pStyle w:val="style0"/>
        <w:spacing w:before="0"/>
        <w:jc w:val="left"/>
        <w:rPr/>
      </w:pPr>
    </w:p>
    <w:p>
      <w:pPr>
        <w:pStyle w:val="style0"/>
        <w:autoSpaceDE w:val="false"/>
        <w:autoSpaceDN w:val="false"/>
        <w:adjustRightInd w:val="false"/>
        <w:spacing w:before="0"/>
        <w:rPr>
          <w:rFonts w:eastAsia="Calibri"/>
          <w:b/>
          <w:color w:val="000000"/>
          <w:u w:val="single"/>
        </w:rPr>
      </w:pPr>
      <w:r>
        <w:rPr>
          <w:rFonts w:eastAsia="Calibri"/>
          <w:b/>
          <w:color w:val="000000"/>
          <w:u w:val="single"/>
        </w:rPr>
        <w:t xml:space="preserve">Modes de traitement des contenants vides </w:t>
      </w:r>
    </w:p>
    <w:p>
      <w:pPr>
        <w:pStyle w:val="style0"/>
        <w:autoSpaceDE w:val="false"/>
        <w:autoSpaceDN w:val="false"/>
        <w:adjustRightInd w:val="false"/>
        <w:spacing w:before="0"/>
        <w:rPr>
          <w:rFonts w:eastAsia="Calibri"/>
          <w:color w:val="000000"/>
        </w:rPr>
      </w:pPr>
      <w:r>
        <w:rPr>
          <w:rFonts w:eastAsia="Calibri"/>
          <w:color w:val="000000"/>
        </w:rPr>
        <w:t xml:space="preserve">Le traitement des contenants vides s’articule autour de deux opérations fondamentales : la décontamination et l’élimination à proprement parler avec son préalable de conditionnement. </w:t>
      </w:r>
    </w:p>
    <w:p>
      <w:pPr>
        <w:pStyle w:val="style0"/>
        <w:autoSpaceDE w:val="false"/>
        <w:autoSpaceDN w:val="false"/>
        <w:adjustRightInd w:val="false"/>
        <w:spacing w:before="0"/>
        <w:rPr>
          <w:rFonts w:eastAsia="Calibri"/>
          <w:color w:val="000000"/>
        </w:rPr>
      </w:pPr>
      <w:r>
        <w:rPr>
          <w:rFonts w:eastAsia="Calibri"/>
          <w:b/>
          <w:bCs/>
          <w:i/>
          <w:iCs/>
          <w:color w:val="000000"/>
        </w:rPr>
        <w:t xml:space="preserve">La décontamination </w:t>
      </w:r>
    </w:p>
    <w:p>
      <w:pPr>
        <w:pStyle w:val="style0"/>
        <w:autoSpaceDE w:val="false"/>
        <w:autoSpaceDN w:val="false"/>
        <w:adjustRightInd w:val="false"/>
        <w:spacing w:before="0"/>
        <w:rPr>
          <w:rFonts w:eastAsia="Calibri"/>
          <w:color w:val="000000"/>
        </w:rPr>
      </w:pPr>
      <w:r>
        <w:rPr>
          <w:rFonts w:eastAsia="Calibri"/>
          <w:color w:val="000000"/>
        </w:rPr>
        <w:t xml:space="preserve">Elle comprend trois étapes et concerne tous les récipients de pesticides : </w:t>
      </w:r>
    </w:p>
    <w:p>
      <w:pPr>
        <w:pStyle w:val="style0"/>
        <w:numPr>
          <w:ilvl w:val="0"/>
          <w:numId w:val="62"/>
        </w:numPr>
        <w:autoSpaceDE w:val="false"/>
        <w:autoSpaceDN w:val="false"/>
        <w:adjustRightInd w:val="false"/>
        <w:spacing w:before="0"/>
        <w:jc w:val="left"/>
        <w:rPr>
          <w:rFonts w:eastAsia="Calibri"/>
          <w:color w:val="000000"/>
        </w:rPr>
      </w:pPr>
      <w:r>
        <w:rPr>
          <w:rFonts w:eastAsia="Calibri"/>
          <w:color w:val="000000"/>
        </w:rPr>
        <w:t xml:space="preserve">s’assurer de la vidange maximale du produit et égouttage pendant 30 secondes (le contenu est vidé dans un récipient à mélange, dans un verre pour le dernier dosage s’agissant de l’imprégnation) ; </w:t>
      </w:r>
    </w:p>
    <w:p>
      <w:pPr>
        <w:pStyle w:val="style0"/>
        <w:numPr>
          <w:ilvl w:val="0"/>
          <w:numId w:val="62"/>
        </w:numPr>
        <w:autoSpaceDE w:val="false"/>
        <w:autoSpaceDN w:val="false"/>
        <w:adjustRightInd w:val="false"/>
        <w:spacing w:before="0"/>
        <w:jc w:val="left"/>
        <w:rPr>
          <w:rFonts w:eastAsia="Calibri"/>
          <w:color w:val="000000"/>
        </w:rPr>
      </w:pPr>
      <w:r>
        <w:rPr>
          <w:rFonts w:eastAsia="Calibri"/>
          <w:color w:val="000000"/>
        </w:rPr>
        <w:t xml:space="preserve">rincer le récipient au moins trois fois avec un volume d’eau qui ne doit pas être inférieur à 10% du volume total du récipient ; </w:t>
      </w:r>
    </w:p>
    <w:p>
      <w:pPr>
        <w:pStyle w:val="style0"/>
        <w:numPr>
          <w:ilvl w:val="0"/>
          <w:numId w:val="62"/>
        </w:numPr>
        <w:autoSpaceDE w:val="false"/>
        <w:autoSpaceDN w:val="false"/>
        <w:adjustRightInd w:val="false"/>
        <w:spacing w:before="0"/>
        <w:jc w:val="left"/>
        <w:rPr>
          <w:rFonts w:eastAsia="Calibri"/>
          <w:color w:val="000000"/>
        </w:rPr>
      </w:pPr>
      <w:r>
        <w:rPr>
          <w:rFonts w:eastAsia="Calibri"/>
          <w:color w:val="000000"/>
        </w:rPr>
        <w:t xml:space="preserve">verser les eaux de rinçage dans un pulvérisateur, dans une fosse (imprégnation). </w:t>
      </w:r>
    </w:p>
    <w:p>
      <w:pPr>
        <w:pStyle w:val="style0"/>
        <w:autoSpaceDE w:val="false"/>
        <w:autoSpaceDN w:val="false"/>
        <w:adjustRightInd w:val="false"/>
        <w:spacing w:before="0"/>
        <w:rPr>
          <w:rFonts w:eastAsia="Calibri"/>
          <w:color w:val="000000"/>
        </w:rPr>
      </w:pPr>
    </w:p>
    <w:p>
      <w:pPr>
        <w:pStyle w:val="style0"/>
        <w:autoSpaceDE w:val="false"/>
        <w:autoSpaceDN w:val="false"/>
        <w:adjustRightInd w:val="false"/>
        <w:spacing w:before="0"/>
        <w:rPr>
          <w:rFonts w:eastAsia="Calibri"/>
          <w:color w:val="000000"/>
        </w:rPr>
      </w:pPr>
      <w:r>
        <w:rPr>
          <w:rFonts w:eastAsia="Calibri"/>
          <w:color w:val="000000"/>
        </w:rPr>
        <w:t xml:space="preserve">Un contenant décontaminé n’est cependant pas éligible pour le stockage de produits d’alimentation humaine ou animale ou d’eau pour la consommation domestique. </w:t>
      </w:r>
    </w:p>
    <w:p>
      <w:pPr>
        <w:pStyle w:val="style0"/>
        <w:autoSpaceDE w:val="false"/>
        <w:autoSpaceDN w:val="false"/>
        <w:adjustRightInd w:val="false"/>
        <w:spacing w:before="0"/>
        <w:rPr>
          <w:rFonts w:eastAsia="Calibri"/>
          <w:color w:val="000000"/>
        </w:rPr>
      </w:pPr>
      <w:r>
        <w:rPr>
          <w:rFonts w:eastAsia="Calibri"/>
          <w:b/>
          <w:bCs/>
          <w:i/>
          <w:iCs/>
          <w:color w:val="000000"/>
        </w:rPr>
        <w:t xml:space="preserve">L’élimination </w:t>
      </w:r>
    </w:p>
    <w:p>
      <w:pPr>
        <w:pStyle w:val="style0"/>
        <w:autoSpaceDE w:val="false"/>
        <w:autoSpaceDN w:val="false"/>
        <w:adjustRightInd w:val="false"/>
        <w:spacing w:before="0"/>
        <w:rPr>
          <w:rFonts w:eastAsia="Calibri"/>
          <w:color w:val="000000"/>
        </w:rPr>
      </w:pPr>
      <w:r>
        <w:rPr>
          <w:rFonts w:eastAsia="Calibri"/>
          <w:color w:val="000000"/>
        </w:rPr>
        <w:t xml:space="preserve">Sauf s’il est envisagé que les contenants soient récupérés, la première opération d’élimination consiste à les rendre inutilisables à d’autres fins : « conditionnement ». Aussi il faut veiller à faire des trous avec un outil pointu et aplanir le récipient lorsqu’il s’agit de bidons en métal et pour les fûts ; les bouteilles en verre doivent être cassées dans un sac pour éviter les esquilles ; les plastiques sont déchiquetés et broyés. Les bondes ou capsules sont auparavant retirés. </w:t>
      </w:r>
    </w:p>
    <w:p>
      <w:pPr>
        <w:pStyle w:val="style0"/>
        <w:spacing w:before="0"/>
        <w:rPr>
          <w:rFonts w:eastAsia="Calibri"/>
          <w:color w:val="000000"/>
        </w:rPr>
      </w:pPr>
      <w:r>
        <w:rPr>
          <w:rFonts w:eastAsia="Calibri"/>
          <w:color w:val="000000"/>
        </w:rPr>
        <w:t xml:space="preserve">Les récipients combustibles sont éliminés par voie de brûlage surveillé (emballages en papier et en plastique [les bidons en PVC ne devront pas être brûlés], carton) ou déposés dans une décharge publique acceptant les déchets toxiques de cette nature (mettre en pièces les bidons en plastique, en verre et en métal) ; les cendres résultant du brûlage à nu sont enfouies. Cependant l’étiquette collée sur le récipient peut porter une mention déconseillant le brûlage. En effet le brûlage par exemple de certains récipients d’herbicides (à base d’acide phénoxy) peut entraîner le dégagement de vapeurs toxiques pour l’homme ou la flore environnante. </w:t>
      </w:r>
    </w:p>
    <w:p>
      <w:pPr>
        <w:pStyle w:val="style0"/>
        <w:autoSpaceDE w:val="false"/>
        <w:autoSpaceDN w:val="false"/>
        <w:adjustRightInd w:val="false"/>
        <w:spacing w:before="0"/>
        <w:rPr>
          <w:rFonts w:eastAsia="Calibri"/>
          <w:color w:val="000000"/>
        </w:rPr>
      </w:pPr>
      <w:r>
        <w:rPr>
          <w:rFonts w:eastAsia="Calibri"/>
          <w:color w:val="000000"/>
        </w:rPr>
        <w:t xml:space="preserve">Précautions : la combustion ne doit avoir lieu que dans des conditions où le vent ne risque pas de pousser la fumée toxique en direction des maisons d’habitation, de personnes, de bétail ou de cultures se trouvant à proximité, ni vers ceux qui réalisent l’opération. </w:t>
      </w:r>
    </w:p>
    <w:p>
      <w:pPr>
        <w:pStyle w:val="style0"/>
        <w:autoSpaceDE w:val="false"/>
        <w:autoSpaceDN w:val="false"/>
        <w:adjustRightInd w:val="false"/>
        <w:spacing w:before="0"/>
        <w:rPr>
          <w:rFonts w:eastAsia="Calibri"/>
          <w:color w:val="000000"/>
        </w:rPr>
      </w:pPr>
      <w:r>
        <w:rPr>
          <w:rFonts w:eastAsia="Calibri"/>
          <w:b/>
          <w:bCs/>
          <w:i/>
          <w:iCs/>
          <w:color w:val="000000"/>
        </w:rPr>
        <w:t xml:space="preserve">Les grands récipients non combustibles </w:t>
      </w:r>
      <w:r>
        <w:rPr>
          <w:rFonts w:eastAsia="Calibri"/>
          <w:color w:val="000000"/>
        </w:rPr>
        <w:t xml:space="preserve">50 à 200l peuvent suivre les filières suivantes : </w:t>
      </w:r>
    </w:p>
    <w:p>
      <w:pPr>
        <w:pStyle w:val="style0"/>
        <w:numPr>
          <w:ilvl w:val="0"/>
          <w:numId w:val="29"/>
        </w:numPr>
        <w:autoSpaceDE w:val="false"/>
        <w:autoSpaceDN w:val="false"/>
        <w:adjustRightInd w:val="false"/>
        <w:spacing w:before="0"/>
        <w:jc w:val="left"/>
        <w:rPr>
          <w:rFonts w:eastAsia="Calibri"/>
          <w:color w:val="000000"/>
        </w:rPr>
      </w:pPr>
      <w:r>
        <w:rPr>
          <w:rFonts w:eastAsia="Calibri"/>
          <w:color w:val="000000"/>
        </w:rPr>
        <w:t xml:space="preserve">renvoi au fournisseur, </w:t>
      </w:r>
    </w:p>
    <w:p>
      <w:pPr>
        <w:pStyle w:val="style0"/>
        <w:numPr>
          <w:ilvl w:val="0"/>
          <w:numId w:val="29"/>
        </w:numPr>
        <w:autoSpaceDE w:val="false"/>
        <w:autoSpaceDN w:val="false"/>
        <w:adjustRightInd w:val="false"/>
        <w:spacing w:before="0"/>
        <w:jc w:val="left"/>
        <w:rPr>
          <w:rFonts w:eastAsia="Calibri"/>
          <w:color w:val="000000"/>
        </w:rPr>
      </w:pPr>
      <w:r>
        <w:rPr>
          <w:rFonts w:eastAsia="Calibri"/>
          <w:color w:val="000000"/>
        </w:rPr>
        <w:t xml:space="preserve">vente/récupération à/par une entreprise spécialisée dans le commerce des fûts et barils usagés possédant la technologie de neutralisation de la toxicité des matières adhérentes qui peut aussi procéder à leur récupération, </w:t>
      </w:r>
    </w:p>
    <w:p>
      <w:pPr>
        <w:pStyle w:val="style0"/>
        <w:numPr>
          <w:ilvl w:val="0"/>
          <w:numId w:val="29"/>
        </w:numPr>
        <w:autoSpaceDE w:val="false"/>
        <w:autoSpaceDN w:val="false"/>
        <w:adjustRightInd w:val="false"/>
        <w:spacing w:before="0"/>
        <w:jc w:val="left"/>
        <w:rPr>
          <w:rFonts w:eastAsia="Calibri"/>
          <w:color w:val="000000"/>
        </w:rPr>
      </w:pPr>
      <w:r>
        <w:rPr>
          <w:rFonts w:eastAsia="Calibri"/>
          <w:color w:val="000000"/>
        </w:rPr>
        <w:t xml:space="preserve">évacuation vers une décharge contrôlée dont l’exploitant est informé du contenu des fûts et est prévenu du potentiel dégagement de vapeurs toxiques si on applique une combustion, </w:t>
      </w:r>
    </w:p>
    <w:p>
      <w:pPr>
        <w:pStyle w:val="style0"/>
        <w:numPr>
          <w:ilvl w:val="0"/>
          <w:numId w:val="29"/>
        </w:numPr>
        <w:autoSpaceDE w:val="false"/>
        <w:autoSpaceDN w:val="false"/>
        <w:adjustRightInd w:val="false"/>
        <w:spacing w:before="0"/>
        <w:jc w:val="left"/>
        <w:rPr>
          <w:rFonts w:eastAsia="Calibri"/>
          <w:color w:val="000000"/>
        </w:rPr>
      </w:pPr>
      <w:r>
        <w:rPr>
          <w:rFonts w:eastAsia="Calibri"/>
          <w:color w:val="000000"/>
        </w:rPr>
        <w:t xml:space="preserve">évacuation vers un site privé, clôturé, gardienné, respectant les normes environnementales et utilisé spécifiquement pour les pesticides. </w:t>
      </w:r>
    </w:p>
    <w:p>
      <w:pPr>
        <w:pStyle w:val="style0"/>
        <w:autoSpaceDE w:val="false"/>
        <w:autoSpaceDN w:val="false"/>
        <w:adjustRightInd w:val="false"/>
        <w:spacing w:before="0"/>
        <w:rPr>
          <w:rFonts w:eastAsia="Calibri"/>
          <w:color w:val="000000"/>
        </w:rPr>
      </w:pPr>
    </w:p>
    <w:p>
      <w:pPr>
        <w:pStyle w:val="style0"/>
        <w:autoSpaceDE w:val="false"/>
        <w:autoSpaceDN w:val="false"/>
        <w:adjustRightInd w:val="false"/>
        <w:spacing w:before="0"/>
        <w:rPr>
          <w:rFonts w:eastAsia="Calibri"/>
          <w:color w:val="000000"/>
        </w:rPr>
      </w:pPr>
      <w:r>
        <w:rPr>
          <w:rFonts w:eastAsia="Calibri"/>
          <w:b/>
          <w:bCs/>
          <w:i/>
          <w:iCs/>
          <w:color w:val="000000"/>
        </w:rPr>
        <w:t xml:space="preserve">Les petits récipients non combustibles </w:t>
      </w:r>
      <w:r>
        <w:rPr>
          <w:rFonts w:eastAsia="Calibri"/>
          <w:color w:val="000000"/>
        </w:rPr>
        <w:t xml:space="preserve">jusqu’à 20 l sont soient : </w:t>
      </w:r>
    </w:p>
    <w:p>
      <w:pPr>
        <w:pStyle w:val="style0"/>
        <w:numPr>
          <w:ilvl w:val="0"/>
          <w:numId w:val="1"/>
        </w:numPr>
        <w:autoSpaceDE w:val="false"/>
        <w:autoSpaceDN w:val="false"/>
        <w:adjustRightInd w:val="false"/>
        <w:spacing w:before="0"/>
        <w:jc w:val="left"/>
        <w:rPr>
          <w:rFonts w:eastAsia="Calibri"/>
          <w:color w:val="000000"/>
        </w:rPr>
      </w:pPr>
      <w:r>
        <w:rPr>
          <w:rFonts w:eastAsia="Calibri"/>
          <w:color w:val="000000"/>
        </w:rPr>
        <w:t xml:space="preserve">acheminés vers la décharge publique, </w:t>
      </w:r>
    </w:p>
    <w:p>
      <w:pPr>
        <w:pStyle w:val="style0"/>
        <w:numPr>
          <w:ilvl w:val="0"/>
          <w:numId w:val="1"/>
        </w:numPr>
        <w:autoSpaceDE w:val="false"/>
        <w:autoSpaceDN w:val="false"/>
        <w:adjustRightInd w:val="false"/>
        <w:spacing w:before="0"/>
        <w:jc w:val="left"/>
        <w:rPr>
          <w:rFonts w:eastAsia="Calibri"/>
          <w:color w:val="000000"/>
        </w:rPr>
      </w:pPr>
      <w:r>
        <w:rPr>
          <w:rFonts w:eastAsia="Calibri"/>
          <w:color w:val="000000"/>
        </w:rPr>
        <w:t xml:space="preserve">enfouis sur site privé après retrait des capsules ou couvercles, perforations des récipients, brisure des récipients en verre. La fosse de 1 à 1,5 m de profondeur utilisée à des fins d’enfouissement sera rempli jusqu’à 50 cm de la surface du sol et recouvert ensuite de terre. Le site sera éloigné des habitations et des points d’eau (puits, mares, cours d’eau), doit être non cultivé et ne sera pas en zone inondable ; la nappe aquifère doit se trouver à au moins 3 m de la surface du sol, la terre doit y être imperméable (argileuse ou franche). Le site sera clôturé et identifié. </w:t>
      </w:r>
    </w:p>
    <w:p>
      <w:pPr>
        <w:pStyle w:val="style0"/>
        <w:rPr>
          <w:sz w:val="23"/>
          <w:szCs w:val="23"/>
        </w:rPr>
      </w:pPr>
    </w:p>
    <w:p>
      <w:pPr>
        <w:pStyle w:val="style0"/>
        <w:rPr>
          <w:sz w:val="23"/>
          <w:szCs w:val="23"/>
        </w:rPr>
      </w:pPr>
    </w:p>
    <w:p>
      <w:pPr>
        <w:pStyle w:val="style0"/>
        <w:rPr>
          <w:sz w:val="23"/>
          <w:szCs w:val="23"/>
        </w:rPr>
      </w:pPr>
    </w:p>
    <w:p>
      <w:pPr>
        <w:pStyle w:val="style0"/>
        <w:rPr/>
        <w:sectPr>
          <w:pgSz w:w="12240" w:h="15840" w:orient="portrait"/>
          <w:pgMar w:top="1152" w:right="1440" w:bottom="1152" w:left="1440" w:header="720" w:footer="720" w:gutter="0"/>
          <w:cols w:space="720"/>
          <w:docGrid w:linePitch="360"/>
        </w:sectPr>
      </w:pPr>
      <w:r>
        <w:rPr>
          <w:sz w:val="23"/>
          <w:szCs w:val="23"/>
        </w:rPr>
        <w:t>.</w:t>
      </w:r>
    </w:p>
    <w:bookmarkStart w:id="1089" w:name="_Toc2831261"/>
    <w:p>
      <w:pPr>
        <w:pStyle w:val="style2"/>
        <w:numPr>
          <w:ilvl w:val="0"/>
          <w:numId w:val="0"/>
        </w:numPr>
        <w:ind w:left="699"/>
        <w:rPr/>
      </w:pPr>
      <w:r>
        <w:t xml:space="preserve">Annexe </w:t>
      </w:r>
      <w:r>
        <w:rPr>
          <w:lang w:val="fr-FR"/>
        </w:rPr>
        <w:t>4</w:t>
      </w:r>
      <w:r>
        <w:t> </w:t>
      </w:r>
      <w:r>
        <w:t>: Personnes rencontrées</w:t>
      </w:r>
      <w:r>
        <w:t xml:space="preserve"> et PV des rencontres publiques</w:t>
      </w:r>
      <w:bookmarkEnd w:id="1089"/>
    </w:p>
    <w:p>
      <w:pPr>
        <w:pStyle w:val="style0"/>
        <w:spacing w:before="0"/>
        <w:jc w:val="center"/>
        <w:rPr>
          <w:rFonts w:ascii="Arial" w:cs="Arial" w:hAnsi="Arial"/>
          <w:b/>
        </w:rPr>
      </w:pPr>
      <w:r>
        <w:rPr>
          <w:rFonts w:ascii="Arial" w:cs="Arial" w:hAnsi="Arial"/>
          <w:b/>
        </w:rPr>
        <w:t xml:space="preserve">  </w:t>
      </w:r>
    </w:p>
    <w:p>
      <w:pPr>
        <w:pStyle w:val="style0"/>
        <w:spacing w:before="0"/>
        <w:jc w:val="left"/>
        <w:rPr>
          <w:rFonts w:ascii="Arial" w:cs="Arial" w:hAnsi="Arial"/>
          <w:b/>
          <w:u w:val="dotted"/>
        </w:rPr>
      </w:pPr>
      <w:r>
        <w:rPr>
          <w:rFonts w:ascii="Arial" w:cs="Arial" w:hAnsi="Arial"/>
          <w:b/>
          <w:u w:val="dotted"/>
        </w:rPr>
        <w:t>INTITULE DU PROJET/PROGRAMME</w:t>
      </w:r>
      <w:r>
        <w:rPr>
          <w:rFonts w:ascii="Arial" w:cs="Arial" w:hAnsi="Arial"/>
          <w:b/>
        </w:rPr>
        <w:t xml:space="preserve"> : </w:t>
      </w:r>
      <w:r>
        <w:rPr>
          <w:rFonts w:ascii="Arial" w:cs="Arial" w:hAnsi="Arial"/>
          <w:b/>
          <w:u w:val="dotted"/>
        </w:rPr>
        <w:t>PROGRAMME DE DEVELOPPEMENT ET DE COMPETITIVITE AGRICOLE (PDCA)</w:t>
      </w:r>
    </w:p>
    <w:p>
      <w:pPr>
        <w:pStyle w:val="style0"/>
        <w:spacing w:before="0"/>
        <w:rPr>
          <w:rFonts w:ascii="Arial" w:cs="Arial" w:hAnsi="Arial"/>
          <w:b/>
        </w:rPr>
      </w:pPr>
    </w:p>
    <w:p>
      <w:pPr>
        <w:pStyle w:val="style0"/>
        <w:spacing w:before="0"/>
        <w:jc w:val="center"/>
        <w:rPr>
          <w:rFonts w:ascii="Arial" w:cs="Arial" w:hAnsi="Arial"/>
          <w:b/>
          <w:sz w:val="18"/>
        </w:rPr>
      </w:pPr>
      <w:r>
        <w:rPr>
          <w:rFonts w:ascii="Arial" w:cs="Arial" w:hAnsi="Arial"/>
          <w:b/>
          <w:sz w:val="18"/>
        </w:rPr>
        <w:t xml:space="preserve">LISTE DES PARTICIPANTS AUX SEANCES DE CONSULTATIONS PUBLIQUES EN </w:t>
      </w:r>
      <w:r>
        <w:rPr>
          <w:rFonts w:ascii="Arial" w:cs="Arial" w:hAnsi="Arial"/>
          <w:b/>
          <w:sz w:val="18"/>
        </w:rPr>
        <w:t>VUE DE L’ELABORATION DU CGES/PG</w:t>
      </w:r>
      <w:r>
        <w:rPr>
          <w:rFonts w:ascii="Arial" w:cs="Arial" w:hAnsi="Arial"/>
          <w:b/>
          <w:sz w:val="18"/>
        </w:rPr>
        <w:t>P</w:t>
      </w:r>
      <w:r>
        <w:rPr>
          <w:rFonts w:ascii="Arial" w:cs="Arial" w:hAnsi="Arial"/>
          <w:b/>
          <w:sz w:val="18"/>
        </w:rPr>
        <w:t>/CPR</w:t>
      </w:r>
    </w:p>
    <w:p>
      <w:pPr>
        <w:pStyle w:val="style0"/>
        <w:spacing w:before="0"/>
        <w:rPr>
          <w:rFonts w:ascii="Arial" w:cs="Arial" w:hAnsi="Arial"/>
          <w:b/>
          <w:sz w:val="20"/>
        </w:rPr>
      </w:pPr>
      <w:r>
        <w:rPr>
          <w:rFonts w:ascii="Arial" w:cs="Arial" w:hAnsi="Arial"/>
          <w:b/>
          <w:sz w:val="20"/>
        </w:rPr>
        <w:t xml:space="preserve">Région : </w:t>
      </w:r>
      <w:r>
        <w:rPr>
          <w:rFonts w:ascii="Arial" w:cs="Arial" w:hAnsi="Arial"/>
          <w:b/>
          <w:sz w:val="20"/>
          <w:u w:val="dotted"/>
        </w:rPr>
        <w:t>Centre</w:t>
      </w:r>
      <w:r>
        <w:rPr>
          <w:rFonts w:ascii="Arial" w:cs="Arial" w:hAnsi="Arial"/>
          <w:b/>
          <w:sz w:val="20"/>
        </w:rPr>
        <w:t>…………………………</w:t>
      </w:r>
      <w:r>
        <w:rPr>
          <w:rFonts w:ascii="Arial" w:cs="Arial" w:hAnsi="Arial"/>
          <w:b/>
          <w:sz w:val="20"/>
          <w:u w:val="dotted"/>
        </w:rPr>
        <w:t>Province</w:t>
      </w:r>
      <w:r>
        <w:rPr>
          <w:rFonts w:ascii="Arial" w:cs="Arial" w:hAnsi="Arial"/>
          <w:b/>
          <w:sz w:val="20"/>
        </w:rPr>
        <w:t xml:space="preserve"> : </w:t>
      </w:r>
      <w:r>
        <w:rPr>
          <w:rFonts w:ascii="Arial" w:cs="Arial" w:hAnsi="Arial"/>
          <w:b/>
          <w:sz w:val="20"/>
          <w:u w:val="dotted"/>
        </w:rPr>
        <w:t>Kadiogo</w:t>
      </w:r>
      <w:r>
        <w:rPr>
          <w:rFonts w:ascii="Arial" w:cs="Arial" w:hAnsi="Arial"/>
          <w:b/>
          <w:sz w:val="20"/>
        </w:rPr>
        <w:t>…………………………….</w:t>
      </w:r>
      <w:r>
        <w:rPr>
          <w:rFonts w:ascii="Arial" w:cs="Arial" w:hAnsi="Arial"/>
          <w:b/>
          <w:sz w:val="20"/>
          <w:u w:val="dotted"/>
        </w:rPr>
        <w:t>Commune</w:t>
      </w:r>
      <w:r>
        <w:rPr>
          <w:rFonts w:ascii="Arial" w:cs="Arial" w:hAnsi="Arial"/>
          <w:b/>
          <w:sz w:val="20"/>
        </w:rPr>
        <w:t xml:space="preserve"> : </w:t>
      </w:r>
      <w:r>
        <w:rPr>
          <w:rFonts w:ascii="Arial" w:cs="Arial" w:hAnsi="Arial"/>
          <w:b/>
          <w:sz w:val="20"/>
          <w:u w:val="dotted"/>
        </w:rPr>
        <w:t>Ouagadougou</w:t>
      </w:r>
      <w:r>
        <w:rPr>
          <w:rFonts w:ascii="Arial" w:cs="Arial" w:hAnsi="Arial"/>
          <w:b/>
          <w:sz w:val="20"/>
        </w:rPr>
        <w:t xml:space="preserve"> …………………………..</w:t>
      </w:r>
    </w:p>
    <w:p>
      <w:pPr>
        <w:pStyle w:val="style0"/>
        <w:spacing w:before="0"/>
        <w:rPr>
          <w:rFonts w:ascii="Arial" w:cs="Arial" w:hAnsi="Arial"/>
          <w:b/>
          <w:sz w:val="20"/>
        </w:rPr>
      </w:pPr>
      <w:r>
        <w:rPr>
          <w:rFonts w:ascii="Arial" w:cs="Arial" w:hAnsi="Arial"/>
          <w:b/>
          <w:sz w:val="20"/>
        </w:rPr>
        <w:t xml:space="preserve">Village : </w:t>
      </w:r>
      <w:r>
        <w:rPr>
          <w:rFonts w:ascii="Arial" w:cs="Arial" w:hAnsi="Arial"/>
          <w:b/>
          <w:sz w:val="20"/>
          <w:u w:val="dotted"/>
        </w:rPr>
        <w:t>Ouagadougou</w:t>
      </w:r>
      <w:r>
        <w:rPr>
          <w:rFonts w:ascii="Arial" w:cs="Arial" w:hAnsi="Arial"/>
          <w:b/>
          <w:sz w:val="20"/>
        </w:rPr>
        <w:t xml:space="preserve">………………………….Date : </w:t>
      </w:r>
      <w:r>
        <w:rPr>
          <w:rFonts w:ascii="Arial" w:cs="Arial" w:hAnsi="Arial"/>
          <w:b/>
          <w:sz w:val="20"/>
          <w:u w:val="dotted"/>
        </w:rPr>
        <w:t>04</w:t>
      </w:r>
      <w:r>
        <w:rPr>
          <w:rFonts w:ascii="Arial" w:cs="Arial" w:hAnsi="Arial"/>
          <w:b/>
          <w:sz w:val="20"/>
          <w:u w:val="dotted"/>
        </w:rPr>
        <w:t>+</w:t>
      </w:r>
      <w:r>
        <w:rPr>
          <w:rFonts w:ascii="Arial" w:cs="Arial" w:hAnsi="Arial"/>
          <w:b/>
          <w:sz w:val="20"/>
          <w:u w:val="dotted"/>
        </w:rPr>
        <w:t>31</w:t>
      </w:r>
      <w:r>
        <w:rPr>
          <w:rFonts w:ascii="Arial" w:cs="Arial" w:hAnsi="Arial"/>
          <w:b/>
          <w:sz w:val="20"/>
          <w:u w:val="dotted"/>
        </w:rPr>
        <w:t>/01/2019</w:t>
      </w:r>
      <w:r>
        <w:rPr>
          <w:rFonts w:ascii="Arial" w:cs="Arial" w:hAnsi="Arial"/>
          <w:b/>
          <w:sz w:val="20"/>
        </w:rPr>
        <w:t>…………………Groupes cibles : Comité Technique / Services techniques, …</w:t>
      </w:r>
    </w:p>
    <w:tbl>
      <w:tblPr>
        <w:tblStyle w:val="style154"/>
        <w:tblW w:w="14737" w:type="dxa"/>
        <w:tblLayout w:type="fixed"/>
        <w:tblLook w:val="04A0" w:firstRow="1" w:lastRow="0" w:firstColumn="1" w:lastColumn="0" w:noHBand="0" w:noVBand="1"/>
      </w:tblPr>
      <w:tblGrid>
        <w:gridCol w:w="619"/>
        <w:gridCol w:w="4371"/>
        <w:gridCol w:w="1101"/>
        <w:gridCol w:w="3685"/>
        <w:gridCol w:w="2268"/>
        <w:gridCol w:w="2693"/>
      </w:tblGrid>
      <w:tr>
        <w:trPr>
          <w:tblHeader/>
        </w:trPr>
        <w:tc>
          <w:tcPr>
            <w:tcW w:w="619" w:type="dxa"/>
            <w:tcBorders/>
            <w:vAlign w:val="center"/>
          </w:tcPr>
          <w:p>
            <w:pPr>
              <w:pStyle w:val="style0"/>
              <w:spacing w:before="0"/>
              <w:jc w:val="center"/>
              <w:rPr>
                <w:rFonts w:ascii="Arial" w:cs="Arial" w:hAnsi="Arial"/>
                <w:b/>
              </w:rPr>
            </w:pPr>
            <w:r>
              <w:rPr>
                <w:rFonts w:ascii="Arial" w:cs="Arial" w:hAnsi="Arial"/>
                <w:b/>
              </w:rPr>
              <w:t>N°</w:t>
            </w:r>
          </w:p>
        </w:tc>
        <w:tc>
          <w:tcPr>
            <w:tcW w:w="4371" w:type="dxa"/>
            <w:tcBorders/>
            <w:vAlign w:val="center"/>
          </w:tcPr>
          <w:p>
            <w:pPr>
              <w:pStyle w:val="style0"/>
              <w:spacing w:before="0"/>
              <w:jc w:val="center"/>
              <w:rPr>
                <w:rFonts w:ascii="Arial" w:cs="Arial" w:hAnsi="Arial"/>
                <w:b/>
              </w:rPr>
            </w:pPr>
            <w:r>
              <w:rPr>
                <w:rFonts w:ascii="Arial" w:cs="Arial" w:hAnsi="Arial"/>
                <w:b/>
              </w:rPr>
              <w:t>Nom et prénom (s)</w:t>
            </w:r>
          </w:p>
        </w:tc>
        <w:tc>
          <w:tcPr>
            <w:tcW w:w="1101" w:type="dxa"/>
            <w:tcBorders/>
            <w:vAlign w:val="center"/>
          </w:tcPr>
          <w:p>
            <w:pPr>
              <w:pStyle w:val="style0"/>
              <w:spacing w:before="0"/>
              <w:jc w:val="center"/>
              <w:rPr>
                <w:rFonts w:ascii="Arial" w:cs="Arial" w:hAnsi="Arial"/>
                <w:b/>
              </w:rPr>
            </w:pPr>
            <w:r>
              <w:rPr>
                <w:rFonts w:ascii="Arial" w:cs="Arial" w:hAnsi="Arial"/>
                <w:b/>
              </w:rPr>
              <w:t>Sexe</w:t>
            </w:r>
          </w:p>
        </w:tc>
        <w:tc>
          <w:tcPr>
            <w:tcW w:w="3685" w:type="dxa"/>
            <w:tcBorders/>
            <w:vAlign w:val="center"/>
          </w:tcPr>
          <w:p>
            <w:pPr>
              <w:pStyle w:val="style0"/>
              <w:spacing w:before="0"/>
              <w:jc w:val="center"/>
              <w:rPr>
                <w:rFonts w:ascii="Arial" w:cs="Arial" w:hAnsi="Arial"/>
                <w:b/>
              </w:rPr>
            </w:pPr>
            <w:r>
              <w:rPr>
                <w:rFonts w:ascii="Arial" w:cs="Arial" w:hAnsi="Arial"/>
                <w:b/>
              </w:rPr>
              <w:t>Profession</w:t>
            </w:r>
          </w:p>
        </w:tc>
        <w:tc>
          <w:tcPr>
            <w:tcW w:w="2268" w:type="dxa"/>
            <w:tcBorders/>
            <w:vAlign w:val="center"/>
          </w:tcPr>
          <w:p>
            <w:pPr>
              <w:pStyle w:val="style0"/>
              <w:spacing w:before="0"/>
              <w:jc w:val="center"/>
              <w:rPr>
                <w:rFonts w:ascii="Arial" w:cs="Arial" w:hAnsi="Arial"/>
                <w:b/>
              </w:rPr>
            </w:pPr>
            <w:r>
              <w:rPr>
                <w:rFonts w:ascii="Arial" w:cs="Arial" w:hAnsi="Arial"/>
                <w:b/>
              </w:rPr>
              <w:t>Téléphone</w:t>
            </w:r>
          </w:p>
        </w:tc>
        <w:tc>
          <w:tcPr>
            <w:tcW w:w="2693" w:type="dxa"/>
            <w:tcBorders/>
            <w:vAlign w:val="center"/>
          </w:tcPr>
          <w:p>
            <w:pPr>
              <w:pStyle w:val="style0"/>
              <w:spacing w:before="0"/>
              <w:jc w:val="center"/>
              <w:rPr>
                <w:rFonts w:ascii="Arial" w:cs="Arial" w:hAnsi="Arial"/>
                <w:b/>
              </w:rPr>
            </w:pPr>
            <w:r>
              <w:rPr>
                <w:rFonts w:ascii="Arial" w:cs="Arial" w:hAnsi="Arial"/>
                <w:b/>
              </w:rPr>
              <w:t>Signature/Empreinte</w:t>
            </w:r>
          </w:p>
        </w:tc>
      </w:tr>
      <w:tr>
        <w:tblPrEx/>
        <w:trPr/>
        <w:tc>
          <w:tcPr>
            <w:tcW w:w="619" w:type="dxa"/>
            <w:tcBorders/>
            <w:vAlign w:val="center"/>
          </w:tcPr>
          <w:p>
            <w:pPr>
              <w:pStyle w:val="style0"/>
              <w:spacing w:before="0"/>
              <w:jc w:val="center"/>
              <w:rPr>
                <w:rFonts w:ascii="Arial" w:cs="Arial" w:hAnsi="Arial"/>
              </w:rPr>
            </w:pPr>
            <w:r>
              <w:rPr>
                <w:rFonts w:ascii="Arial" w:cs="Arial" w:hAnsi="Arial"/>
              </w:rPr>
              <w:t>01</w:t>
            </w:r>
          </w:p>
        </w:tc>
        <w:tc>
          <w:tcPr>
            <w:tcW w:w="4371" w:type="dxa"/>
            <w:tcBorders/>
            <w:vAlign w:val="center"/>
          </w:tcPr>
          <w:p>
            <w:pPr>
              <w:pStyle w:val="style0"/>
              <w:spacing w:before="0"/>
              <w:rPr>
                <w:rFonts w:ascii="Arial" w:cs="Arial" w:hAnsi="Arial"/>
              </w:rPr>
            </w:pPr>
            <w:r>
              <w:rPr>
                <w:rFonts w:ascii="Arial" w:cs="Arial" w:hAnsi="Arial"/>
              </w:rPr>
              <w:t>DABIRE Frédéric</w:t>
            </w:r>
          </w:p>
        </w:tc>
        <w:tc>
          <w:tcPr>
            <w:tcW w:w="1101" w:type="dxa"/>
            <w:tcBorders/>
          </w:tcPr>
          <w:p>
            <w:pPr>
              <w:pStyle w:val="style0"/>
              <w:spacing w:before="0"/>
              <w:jc w:val="center"/>
              <w:rPr/>
            </w:pPr>
            <w:r>
              <w:rPr>
                <w:rFonts w:ascii="Arial" w:cs="Arial" w:hAnsi="Arial"/>
              </w:rPr>
              <w:t>M</w:t>
            </w:r>
          </w:p>
        </w:tc>
        <w:tc>
          <w:tcPr>
            <w:tcW w:w="3685" w:type="dxa"/>
            <w:tcBorders/>
            <w:vAlign w:val="center"/>
          </w:tcPr>
          <w:p>
            <w:pPr>
              <w:pStyle w:val="style0"/>
              <w:spacing w:before="0"/>
              <w:rPr>
                <w:rFonts w:ascii="Arial" w:cs="Arial" w:hAnsi="Arial"/>
              </w:rPr>
            </w:pPr>
            <w:r>
              <w:rPr>
                <w:rFonts w:ascii="Arial" w:cs="Arial" w:hAnsi="Arial"/>
              </w:rPr>
              <w:t>DGAHDI/DDI Directeur</w:t>
            </w:r>
          </w:p>
        </w:tc>
        <w:tc>
          <w:tcPr>
            <w:tcW w:w="2268" w:type="dxa"/>
            <w:tcBorders/>
            <w:vAlign w:val="center"/>
          </w:tcPr>
          <w:p>
            <w:pPr>
              <w:pStyle w:val="style0"/>
              <w:spacing w:before="0"/>
              <w:jc w:val="center"/>
              <w:rPr>
                <w:rFonts w:ascii="Arial" w:cs="Arial" w:hAnsi="Arial"/>
              </w:rPr>
            </w:pPr>
            <w:r>
              <w:rPr>
                <w:rFonts w:ascii="Arial" w:cs="Arial" w:hAnsi="Arial"/>
              </w:rPr>
              <w:t>70 28 69 06</w:t>
            </w:r>
          </w:p>
        </w:tc>
        <w:tc>
          <w:tcPr>
            <w:tcW w:w="2693" w:type="dxa"/>
            <w:tcBorders/>
            <w:vAlign w:val="center"/>
          </w:tcPr>
          <w:p>
            <w:pPr>
              <w:pStyle w:val="style0"/>
              <w:spacing w:before="0"/>
              <w:jc w:val="center"/>
              <w:rPr>
                <w:rFonts w:ascii="Arial" w:cs="Arial" w:hAnsi="Arial"/>
              </w:rPr>
            </w:pPr>
          </w:p>
        </w:tc>
      </w:tr>
      <w:tr>
        <w:tblPrEx/>
        <w:trPr/>
        <w:tc>
          <w:tcPr>
            <w:tcW w:w="619" w:type="dxa"/>
            <w:tcBorders/>
            <w:vAlign w:val="center"/>
          </w:tcPr>
          <w:p>
            <w:pPr>
              <w:pStyle w:val="style0"/>
              <w:spacing w:before="0"/>
              <w:jc w:val="center"/>
              <w:rPr>
                <w:rFonts w:ascii="Arial" w:cs="Arial" w:hAnsi="Arial"/>
              </w:rPr>
            </w:pPr>
            <w:r>
              <w:rPr>
                <w:rFonts w:ascii="Arial" w:cs="Arial" w:hAnsi="Arial"/>
              </w:rPr>
              <w:t>02</w:t>
            </w:r>
          </w:p>
        </w:tc>
        <w:tc>
          <w:tcPr>
            <w:tcW w:w="4371" w:type="dxa"/>
            <w:tcBorders/>
            <w:vAlign w:val="center"/>
          </w:tcPr>
          <w:p>
            <w:pPr>
              <w:pStyle w:val="style0"/>
              <w:spacing w:before="0"/>
              <w:rPr>
                <w:rFonts w:ascii="Arial" w:cs="Arial" w:hAnsi="Arial"/>
              </w:rPr>
            </w:pPr>
            <w:r>
              <w:rPr>
                <w:rFonts w:ascii="Arial" w:cs="Arial" w:hAnsi="Arial"/>
              </w:rPr>
              <w:t>SAWADOGO Amidou</w:t>
            </w:r>
          </w:p>
        </w:tc>
        <w:tc>
          <w:tcPr>
            <w:tcW w:w="1101" w:type="dxa"/>
            <w:tcBorders/>
          </w:tcPr>
          <w:p>
            <w:pPr>
              <w:pStyle w:val="style0"/>
              <w:spacing w:before="0"/>
              <w:jc w:val="center"/>
              <w:rPr/>
            </w:pPr>
            <w:r>
              <w:rPr>
                <w:rFonts w:ascii="Arial" w:cs="Arial" w:hAnsi="Arial"/>
              </w:rPr>
              <w:t>M</w:t>
            </w:r>
          </w:p>
        </w:tc>
        <w:tc>
          <w:tcPr>
            <w:tcW w:w="3685" w:type="dxa"/>
            <w:tcBorders/>
            <w:vAlign w:val="center"/>
          </w:tcPr>
          <w:p>
            <w:pPr>
              <w:pStyle w:val="style0"/>
              <w:spacing w:before="0"/>
              <w:rPr>
                <w:rFonts w:ascii="Arial" w:cs="Arial" w:hAnsi="Arial"/>
              </w:rPr>
            </w:pPr>
            <w:r>
              <w:rPr>
                <w:rFonts w:ascii="Arial" w:cs="Arial" w:hAnsi="Arial"/>
              </w:rPr>
              <w:t>DGAHDI, DG</w:t>
            </w:r>
          </w:p>
        </w:tc>
        <w:tc>
          <w:tcPr>
            <w:tcW w:w="2268" w:type="dxa"/>
            <w:tcBorders/>
            <w:vAlign w:val="center"/>
          </w:tcPr>
          <w:p>
            <w:pPr>
              <w:pStyle w:val="style0"/>
              <w:spacing w:before="0"/>
              <w:jc w:val="center"/>
              <w:rPr>
                <w:rFonts w:ascii="Arial" w:cs="Arial" w:hAnsi="Arial"/>
              </w:rPr>
            </w:pPr>
            <w:r>
              <w:rPr>
                <w:rFonts w:ascii="Arial" w:cs="Arial" w:hAnsi="Arial"/>
              </w:rPr>
              <w:t>70 72 90 80</w:t>
            </w:r>
          </w:p>
        </w:tc>
        <w:tc>
          <w:tcPr>
            <w:tcW w:w="2693" w:type="dxa"/>
            <w:tcBorders/>
            <w:vAlign w:val="center"/>
          </w:tcPr>
          <w:p>
            <w:pPr>
              <w:pStyle w:val="style0"/>
              <w:spacing w:before="0"/>
              <w:jc w:val="center"/>
              <w:rPr>
                <w:rFonts w:ascii="Arial" w:cs="Arial" w:hAnsi="Arial"/>
              </w:rPr>
            </w:pPr>
          </w:p>
        </w:tc>
      </w:tr>
      <w:tr>
        <w:tblPrEx/>
        <w:trPr/>
        <w:tc>
          <w:tcPr>
            <w:tcW w:w="619" w:type="dxa"/>
            <w:tcBorders/>
            <w:vAlign w:val="center"/>
          </w:tcPr>
          <w:p>
            <w:pPr>
              <w:pStyle w:val="style0"/>
              <w:spacing w:before="0"/>
              <w:jc w:val="center"/>
              <w:rPr>
                <w:rFonts w:ascii="Arial" w:cs="Arial" w:hAnsi="Arial"/>
              </w:rPr>
            </w:pPr>
            <w:r>
              <w:rPr>
                <w:rFonts w:ascii="Arial" w:cs="Arial" w:hAnsi="Arial"/>
              </w:rPr>
              <w:t>03</w:t>
            </w:r>
          </w:p>
        </w:tc>
        <w:tc>
          <w:tcPr>
            <w:tcW w:w="4371" w:type="dxa"/>
            <w:tcBorders/>
            <w:vAlign w:val="center"/>
          </w:tcPr>
          <w:p>
            <w:pPr>
              <w:pStyle w:val="style0"/>
              <w:spacing w:before="0"/>
              <w:rPr>
                <w:rFonts w:ascii="Arial" w:cs="Arial" w:hAnsi="Arial"/>
              </w:rPr>
            </w:pPr>
            <w:r>
              <w:rPr>
                <w:rFonts w:ascii="Arial" w:cs="Arial" w:hAnsi="Arial"/>
              </w:rPr>
              <w:t>ZANGRE Adolphe</w:t>
            </w:r>
          </w:p>
        </w:tc>
        <w:tc>
          <w:tcPr>
            <w:tcW w:w="1101" w:type="dxa"/>
            <w:tcBorders/>
          </w:tcPr>
          <w:p>
            <w:pPr>
              <w:pStyle w:val="style0"/>
              <w:spacing w:before="0"/>
              <w:jc w:val="center"/>
              <w:rPr/>
            </w:pPr>
            <w:r>
              <w:rPr>
                <w:rFonts w:ascii="Arial" w:cs="Arial" w:hAnsi="Arial"/>
              </w:rPr>
              <w:t>F</w:t>
            </w:r>
          </w:p>
        </w:tc>
        <w:tc>
          <w:tcPr>
            <w:tcW w:w="3685" w:type="dxa"/>
            <w:tcBorders/>
            <w:vAlign w:val="center"/>
          </w:tcPr>
          <w:p>
            <w:pPr>
              <w:pStyle w:val="style0"/>
              <w:spacing w:before="0"/>
              <w:rPr>
                <w:rFonts w:ascii="Arial" w:cs="Arial" w:hAnsi="Arial"/>
              </w:rPr>
            </w:pPr>
            <w:r>
              <w:rPr>
                <w:rFonts w:ascii="Arial" w:cs="Arial" w:hAnsi="Arial"/>
              </w:rPr>
              <w:t>DGAHDI/DAH Directeur</w:t>
            </w:r>
          </w:p>
        </w:tc>
        <w:tc>
          <w:tcPr>
            <w:tcW w:w="2268" w:type="dxa"/>
            <w:tcBorders/>
            <w:vAlign w:val="center"/>
          </w:tcPr>
          <w:p>
            <w:pPr>
              <w:pStyle w:val="style0"/>
              <w:spacing w:before="0"/>
              <w:jc w:val="center"/>
              <w:rPr>
                <w:rFonts w:ascii="Arial" w:cs="Arial" w:hAnsi="Arial"/>
              </w:rPr>
            </w:pPr>
            <w:r>
              <w:rPr>
                <w:rFonts w:ascii="Arial" w:cs="Arial" w:hAnsi="Arial"/>
              </w:rPr>
              <w:t>70 26 03 81</w:t>
            </w:r>
          </w:p>
        </w:tc>
        <w:tc>
          <w:tcPr>
            <w:tcW w:w="2693" w:type="dxa"/>
            <w:tcBorders/>
            <w:vAlign w:val="center"/>
          </w:tcPr>
          <w:p>
            <w:pPr>
              <w:pStyle w:val="style0"/>
              <w:spacing w:before="0"/>
              <w:jc w:val="center"/>
              <w:rPr>
                <w:rFonts w:ascii="Arial" w:cs="Arial" w:hAnsi="Arial"/>
              </w:rPr>
            </w:pPr>
          </w:p>
        </w:tc>
      </w:tr>
      <w:tr>
        <w:tblPrEx/>
        <w:trPr/>
        <w:tc>
          <w:tcPr>
            <w:tcW w:w="619" w:type="dxa"/>
            <w:tcBorders/>
            <w:vAlign w:val="center"/>
          </w:tcPr>
          <w:p>
            <w:pPr>
              <w:pStyle w:val="style0"/>
              <w:spacing w:before="0"/>
              <w:jc w:val="center"/>
              <w:rPr>
                <w:rFonts w:ascii="Arial" w:cs="Arial" w:hAnsi="Arial"/>
              </w:rPr>
            </w:pPr>
            <w:r>
              <w:rPr>
                <w:rFonts w:ascii="Arial" w:cs="Arial" w:hAnsi="Arial"/>
              </w:rPr>
              <w:t>04</w:t>
            </w:r>
          </w:p>
        </w:tc>
        <w:tc>
          <w:tcPr>
            <w:tcW w:w="4371" w:type="dxa"/>
            <w:tcBorders/>
            <w:vAlign w:val="center"/>
          </w:tcPr>
          <w:p>
            <w:pPr>
              <w:pStyle w:val="style0"/>
              <w:spacing w:before="0"/>
              <w:rPr>
                <w:rFonts w:ascii="Arial" w:cs="Arial" w:hAnsi="Arial"/>
              </w:rPr>
            </w:pPr>
            <w:r>
              <w:rPr>
                <w:rFonts w:ascii="Arial" w:cs="Arial" w:hAnsi="Arial"/>
              </w:rPr>
              <w:t>SAWADOGO Mathis</w:t>
            </w:r>
          </w:p>
        </w:tc>
        <w:tc>
          <w:tcPr>
            <w:tcW w:w="1101" w:type="dxa"/>
            <w:tcBorders/>
          </w:tcPr>
          <w:p>
            <w:pPr>
              <w:pStyle w:val="style0"/>
              <w:spacing w:before="0"/>
              <w:jc w:val="center"/>
              <w:rPr/>
            </w:pPr>
            <w:r>
              <w:rPr>
                <w:rFonts w:ascii="Arial" w:cs="Arial" w:hAnsi="Arial"/>
              </w:rPr>
              <w:t>M</w:t>
            </w:r>
          </w:p>
        </w:tc>
        <w:tc>
          <w:tcPr>
            <w:tcW w:w="3685" w:type="dxa"/>
            <w:tcBorders/>
            <w:vAlign w:val="center"/>
          </w:tcPr>
          <w:p>
            <w:pPr>
              <w:pStyle w:val="style0"/>
              <w:spacing w:before="0"/>
              <w:rPr>
                <w:rFonts w:ascii="Arial" w:cs="Arial" w:hAnsi="Arial"/>
              </w:rPr>
            </w:pPr>
            <w:r>
              <w:rPr>
                <w:rFonts w:ascii="Arial" w:cs="Arial" w:hAnsi="Arial"/>
              </w:rPr>
              <w:t>SEPB</w:t>
            </w:r>
          </w:p>
        </w:tc>
        <w:tc>
          <w:tcPr>
            <w:tcW w:w="2268" w:type="dxa"/>
            <w:tcBorders/>
            <w:vAlign w:val="center"/>
          </w:tcPr>
          <w:p>
            <w:pPr>
              <w:pStyle w:val="style0"/>
              <w:spacing w:before="0"/>
              <w:jc w:val="center"/>
              <w:rPr>
                <w:rFonts w:ascii="Arial" w:cs="Arial" w:hAnsi="Arial"/>
              </w:rPr>
            </w:pPr>
            <w:r>
              <w:rPr>
                <w:rFonts w:ascii="Arial" w:cs="Arial" w:hAnsi="Arial"/>
              </w:rPr>
              <w:t>74 15 16 17</w:t>
            </w:r>
          </w:p>
        </w:tc>
        <w:tc>
          <w:tcPr>
            <w:tcW w:w="2693" w:type="dxa"/>
            <w:tcBorders/>
            <w:vAlign w:val="center"/>
          </w:tcPr>
          <w:p>
            <w:pPr>
              <w:pStyle w:val="style0"/>
              <w:spacing w:before="0"/>
              <w:jc w:val="center"/>
              <w:rPr>
                <w:rFonts w:ascii="Arial" w:cs="Arial" w:hAnsi="Arial"/>
              </w:rPr>
            </w:pPr>
          </w:p>
        </w:tc>
      </w:tr>
      <w:tr>
        <w:tblPrEx/>
        <w:trPr/>
        <w:tc>
          <w:tcPr>
            <w:tcW w:w="619" w:type="dxa"/>
            <w:tcBorders/>
            <w:vAlign w:val="center"/>
          </w:tcPr>
          <w:p>
            <w:pPr>
              <w:pStyle w:val="style0"/>
              <w:spacing w:before="0"/>
              <w:jc w:val="center"/>
              <w:rPr>
                <w:rFonts w:ascii="Arial" w:cs="Arial" w:hAnsi="Arial"/>
              </w:rPr>
            </w:pPr>
            <w:r>
              <w:rPr>
                <w:rFonts w:ascii="Arial" w:cs="Arial" w:hAnsi="Arial"/>
              </w:rPr>
              <w:t>05</w:t>
            </w:r>
          </w:p>
        </w:tc>
        <w:tc>
          <w:tcPr>
            <w:tcW w:w="4371" w:type="dxa"/>
            <w:tcBorders/>
            <w:vAlign w:val="center"/>
          </w:tcPr>
          <w:p>
            <w:pPr>
              <w:pStyle w:val="style0"/>
              <w:spacing w:before="0"/>
              <w:rPr>
                <w:rFonts w:ascii="Arial" w:cs="Arial" w:hAnsi="Arial"/>
              </w:rPr>
            </w:pPr>
            <w:r>
              <w:rPr>
                <w:rFonts w:ascii="Arial" w:cs="Arial" w:hAnsi="Arial"/>
              </w:rPr>
              <w:t>SAVADOGO Adama</w:t>
            </w:r>
          </w:p>
        </w:tc>
        <w:tc>
          <w:tcPr>
            <w:tcW w:w="1101" w:type="dxa"/>
            <w:tcBorders/>
          </w:tcPr>
          <w:p>
            <w:pPr>
              <w:pStyle w:val="style0"/>
              <w:spacing w:before="0"/>
              <w:jc w:val="center"/>
              <w:rPr/>
            </w:pPr>
            <w:r>
              <w:rPr>
                <w:rFonts w:ascii="Arial" w:cs="Arial" w:hAnsi="Arial"/>
              </w:rPr>
              <w:t>M</w:t>
            </w:r>
          </w:p>
        </w:tc>
        <w:tc>
          <w:tcPr>
            <w:tcW w:w="3685" w:type="dxa"/>
            <w:tcBorders/>
            <w:vAlign w:val="center"/>
          </w:tcPr>
          <w:p>
            <w:pPr>
              <w:pStyle w:val="style0"/>
              <w:spacing w:before="0"/>
              <w:rPr>
                <w:rFonts w:ascii="Arial" w:cs="Arial" w:hAnsi="Arial"/>
              </w:rPr>
            </w:pPr>
            <w:r>
              <w:rPr>
                <w:rFonts w:ascii="Arial" w:cs="Arial" w:hAnsi="Arial"/>
              </w:rPr>
              <w:t xml:space="preserve">DGPV/ DDPA Directeur </w:t>
            </w:r>
          </w:p>
        </w:tc>
        <w:tc>
          <w:tcPr>
            <w:tcW w:w="2268" w:type="dxa"/>
            <w:tcBorders/>
            <w:vAlign w:val="center"/>
          </w:tcPr>
          <w:p>
            <w:pPr>
              <w:pStyle w:val="style0"/>
              <w:spacing w:before="0"/>
              <w:jc w:val="center"/>
              <w:rPr>
                <w:rFonts w:ascii="Arial" w:cs="Arial" w:hAnsi="Arial"/>
              </w:rPr>
            </w:pPr>
            <w:r>
              <w:rPr>
                <w:rFonts w:ascii="Arial" w:cs="Arial" w:hAnsi="Arial"/>
              </w:rPr>
              <w:t>71 48 73 50</w:t>
            </w:r>
          </w:p>
        </w:tc>
        <w:tc>
          <w:tcPr>
            <w:tcW w:w="2693" w:type="dxa"/>
            <w:tcBorders/>
            <w:vAlign w:val="center"/>
          </w:tcPr>
          <w:p>
            <w:pPr>
              <w:pStyle w:val="style0"/>
              <w:spacing w:before="0"/>
              <w:jc w:val="center"/>
              <w:rPr>
                <w:rFonts w:ascii="Arial" w:cs="Arial" w:hAnsi="Arial"/>
              </w:rPr>
            </w:pPr>
          </w:p>
        </w:tc>
      </w:tr>
      <w:tr>
        <w:tblPrEx/>
        <w:trPr/>
        <w:tc>
          <w:tcPr>
            <w:tcW w:w="619" w:type="dxa"/>
            <w:tcBorders/>
            <w:vAlign w:val="center"/>
          </w:tcPr>
          <w:p>
            <w:pPr>
              <w:pStyle w:val="style0"/>
              <w:spacing w:before="0"/>
              <w:jc w:val="center"/>
              <w:rPr>
                <w:rFonts w:ascii="Arial" w:cs="Arial" w:hAnsi="Arial"/>
              </w:rPr>
            </w:pPr>
            <w:r>
              <w:rPr>
                <w:rFonts w:ascii="Arial" w:cs="Arial" w:hAnsi="Arial"/>
              </w:rPr>
              <w:t>06</w:t>
            </w:r>
          </w:p>
        </w:tc>
        <w:tc>
          <w:tcPr>
            <w:tcW w:w="4371" w:type="dxa"/>
            <w:tcBorders/>
            <w:vAlign w:val="center"/>
          </w:tcPr>
          <w:p>
            <w:pPr>
              <w:pStyle w:val="style0"/>
              <w:spacing w:before="0"/>
              <w:rPr>
                <w:rFonts w:ascii="Arial" w:cs="Arial" w:hAnsi="Arial"/>
              </w:rPr>
            </w:pPr>
            <w:r>
              <w:rPr>
                <w:rFonts w:ascii="Arial" w:cs="Arial" w:hAnsi="Arial"/>
              </w:rPr>
              <w:t>BIKIENGA Boukary</w:t>
            </w:r>
          </w:p>
        </w:tc>
        <w:tc>
          <w:tcPr>
            <w:tcW w:w="1101" w:type="dxa"/>
            <w:tcBorders/>
          </w:tcPr>
          <w:p>
            <w:pPr>
              <w:pStyle w:val="style0"/>
              <w:spacing w:before="0"/>
              <w:jc w:val="center"/>
              <w:rPr/>
            </w:pPr>
            <w:r>
              <w:rPr>
                <w:rFonts w:ascii="Arial" w:cs="Arial" w:hAnsi="Arial"/>
              </w:rPr>
              <w:t>M</w:t>
            </w:r>
          </w:p>
        </w:tc>
        <w:tc>
          <w:tcPr>
            <w:tcW w:w="3685" w:type="dxa"/>
            <w:tcBorders/>
            <w:vAlign w:val="center"/>
          </w:tcPr>
          <w:p>
            <w:pPr>
              <w:pStyle w:val="style0"/>
              <w:spacing w:before="0"/>
              <w:rPr>
                <w:rFonts w:ascii="Arial" w:cs="Arial" w:hAnsi="Arial"/>
              </w:rPr>
            </w:pPr>
            <w:r>
              <w:rPr>
                <w:rFonts w:ascii="Arial" w:cs="Arial" w:hAnsi="Arial"/>
              </w:rPr>
              <w:t>DGFOMR/ Assistant Technique</w:t>
            </w:r>
          </w:p>
        </w:tc>
        <w:tc>
          <w:tcPr>
            <w:tcW w:w="2268" w:type="dxa"/>
            <w:tcBorders/>
            <w:vAlign w:val="center"/>
          </w:tcPr>
          <w:p>
            <w:pPr>
              <w:pStyle w:val="style0"/>
              <w:spacing w:before="0"/>
              <w:jc w:val="center"/>
              <w:rPr>
                <w:rFonts w:ascii="Arial" w:cs="Arial" w:hAnsi="Arial"/>
              </w:rPr>
            </w:pPr>
            <w:r>
              <w:rPr>
                <w:rFonts w:ascii="Arial" w:cs="Arial" w:hAnsi="Arial"/>
              </w:rPr>
              <w:t>70 75 26 74</w:t>
            </w:r>
          </w:p>
        </w:tc>
        <w:tc>
          <w:tcPr>
            <w:tcW w:w="2693" w:type="dxa"/>
            <w:tcBorders/>
            <w:vAlign w:val="center"/>
          </w:tcPr>
          <w:p>
            <w:pPr>
              <w:pStyle w:val="style0"/>
              <w:spacing w:before="0"/>
              <w:jc w:val="center"/>
              <w:rPr>
                <w:rFonts w:ascii="Arial" w:cs="Arial" w:hAnsi="Arial"/>
              </w:rPr>
            </w:pPr>
          </w:p>
        </w:tc>
      </w:tr>
      <w:tr>
        <w:tblPrEx/>
        <w:trPr/>
        <w:tc>
          <w:tcPr>
            <w:tcW w:w="619" w:type="dxa"/>
            <w:tcBorders/>
            <w:vAlign w:val="center"/>
          </w:tcPr>
          <w:p>
            <w:pPr>
              <w:pStyle w:val="style0"/>
              <w:spacing w:before="0"/>
              <w:jc w:val="center"/>
              <w:rPr>
                <w:rFonts w:ascii="Arial" w:cs="Arial" w:hAnsi="Arial"/>
              </w:rPr>
            </w:pPr>
            <w:r>
              <w:rPr>
                <w:rFonts w:ascii="Arial" w:cs="Arial" w:hAnsi="Arial"/>
              </w:rPr>
              <w:t>07</w:t>
            </w:r>
          </w:p>
        </w:tc>
        <w:tc>
          <w:tcPr>
            <w:tcW w:w="4371" w:type="dxa"/>
            <w:tcBorders/>
            <w:vAlign w:val="center"/>
          </w:tcPr>
          <w:p>
            <w:pPr>
              <w:pStyle w:val="style0"/>
              <w:spacing w:before="0"/>
              <w:rPr>
                <w:rFonts w:ascii="Arial" w:cs="Arial" w:hAnsi="Arial"/>
              </w:rPr>
            </w:pPr>
            <w:r>
              <w:rPr>
                <w:rFonts w:ascii="Arial" w:cs="Arial" w:hAnsi="Arial"/>
              </w:rPr>
              <w:t>SAWADOGO/KABORE Séraphone</w:t>
            </w:r>
          </w:p>
        </w:tc>
        <w:tc>
          <w:tcPr>
            <w:tcW w:w="1101" w:type="dxa"/>
            <w:tcBorders/>
          </w:tcPr>
          <w:p>
            <w:pPr>
              <w:pStyle w:val="style0"/>
              <w:spacing w:before="0"/>
              <w:jc w:val="center"/>
              <w:rPr/>
            </w:pPr>
            <w:r>
              <w:rPr>
                <w:rFonts w:ascii="Arial" w:cs="Arial" w:hAnsi="Arial"/>
              </w:rPr>
              <w:t>F</w:t>
            </w:r>
          </w:p>
        </w:tc>
        <w:tc>
          <w:tcPr>
            <w:tcW w:w="3685" w:type="dxa"/>
            <w:tcBorders/>
            <w:vAlign w:val="center"/>
          </w:tcPr>
          <w:p>
            <w:pPr>
              <w:pStyle w:val="style0"/>
              <w:spacing w:before="0"/>
              <w:rPr>
                <w:rFonts w:ascii="Arial" w:cs="Arial" w:hAnsi="Arial"/>
              </w:rPr>
            </w:pPr>
            <w:r>
              <w:rPr>
                <w:rFonts w:ascii="Arial" w:cs="Arial" w:hAnsi="Arial"/>
              </w:rPr>
              <w:t xml:space="preserve">PAPASA / Coordonnatrice </w:t>
            </w:r>
          </w:p>
        </w:tc>
        <w:tc>
          <w:tcPr>
            <w:tcW w:w="2268" w:type="dxa"/>
            <w:tcBorders/>
            <w:vAlign w:val="center"/>
          </w:tcPr>
          <w:p>
            <w:pPr>
              <w:pStyle w:val="style0"/>
              <w:spacing w:before="0"/>
              <w:jc w:val="center"/>
              <w:rPr>
                <w:rFonts w:ascii="Arial" w:cs="Arial" w:hAnsi="Arial"/>
              </w:rPr>
            </w:pPr>
            <w:r>
              <w:rPr>
                <w:rFonts w:ascii="Arial" w:cs="Arial" w:hAnsi="Arial"/>
              </w:rPr>
              <w:t>70 26 78 40</w:t>
            </w:r>
          </w:p>
        </w:tc>
        <w:tc>
          <w:tcPr>
            <w:tcW w:w="2693" w:type="dxa"/>
            <w:tcBorders/>
            <w:vAlign w:val="center"/>
          </w:tcPr>
          <w:p>
            <w:pPr>
              <w:pStyle w:val="style0"/>
              <w:spacing w:before="0"/>
              <w:jc w:val="center"/>
              <w:rPr>
                <w:rFonts w:ascii="Arial" w:cs="Arial" w:hAnsi="Arial"/>
              </w:rPr>
            </w:pPr>
          </w:p>
        </w:tc>
      </w:tr>
      <w:tr>
        <w:tblPrEx/>
        <w:trPr/>
        <w:tc>
          <w:tcPr>
            <w:tcW w:w="619" w:type="dxa"/>
            <w:tcBorders/>
            <w:vAlign w:val="center"/>
          </w:tcPr>
          <w:p>
            <w:pPr>
              <w:pStyle w:val="style0"/>
              <w:spacing w:before="0"/>
              <w:jc w:val="center"/>
              <w:rPr>
                <w:rFonts w:ascii="Arial" w:cs="Arial" w:hAnsi="Arial"/>
              </w:rPr>
            </w:pPr>
            <w:r>
              <w:rPr>
                <w:rFonts w:ascii="Arial" w:cs="Arial" w:hAnsi="Arial"/>
              </w:rPr>
              <w:t>08</w:t>
            </w:r>
          </w:p>
        </w:tc>
        <w:tc>
          <w:tcPr>
            <w:tcW w:w="4371" w:type="dxa"/>
            <w:tcBorders/>
            <w:vAlign w:val="center"/>
          </w:tcPr>
          <w:p>
            <w:pPr>
              <w:pStyle w:val="style0"/>
              <w:spacing w:before="0"/>
              <w:rPr>
                <w:rFonts w:ascii="Arial" w:cs="Arial" w:hAnsi="Arial"/>
              </w:rPr>
            </w:pPr>
            <w:r>
              <w:rPr>
                <w:rFonts w:ascii="Arial" w:cs="Arial" w:hAnsi="Arial"/>
              </w:rPr>
              <w:t>OUEDRAOGO N. Aziz</w:t>
            </w:r>
          </w:p>
        </w:tc>
        <w:tc>
          <w:tcPr>
            <w:tcW w:w="1101" w:type="dxa"/>
            <w:tcBorders/>
            <w:vAlign w:val="center"/>
          </w:tcPr>
          <w:p>
            <w:pPr>
              <w:pStyle w:val="style0"/>
              <w:spacing w:before="0"/>
              <w:jc w:val="center"/>
              <w:rPr>
                <w:rFonts w:ascii="Arial" w:cs="Arial" w:hAnsi="Arial"/>
              </w:rPr>
            </w:pPr>
            <w:r>
              <w:rPr>
                <w:rFonts w:ascii="Arial" w:cs="Arial" w:hAnsi="Arial"/>
              </w:rPr>
              <w:t>M</w:t>
            </w:r>
          </w:p>
        </w:tc>
        <w:tc>
          <w:tcPr>
            <w:tcW w:w="3685" w:type="dxa"/>
            <w:tcBorders/>
            <w:vAlign w:val="center"/>
          </w:tcPr>
          <w:p>
            <w:pPr>
              <w:pStyle w:val="style0"/>
              <w:spacing w:before="0"/>
              <w:rPr>
                <w:rFonts w:ascii="Arial" w:cs="Arial" w:hAnsi="Arial"/>
              </w:rPr>
            </w:pPr>
            <w:r>
              <w:rPr>
                <w:rFonts w:ascii="Arial" w:cs="Arial" w:hAnsi="Arial"/>
              </w:rPr>
              <w:t>PAPSA/SGF</w:t>
            </w:r>
          </w:p>
        </w:tc>
        <w:tc>
          <w:tcPr>
            <w:tcW w:w="2268" w:type="dxa"/>
            <w:tcBorders/>
            <w:vAlign w:val="center"/>
          </w:tcPr>
          <w:p>
            <w:pPr>
              <w:pStyle w:val="style0"/>
              <w:spacing w:before="0"/>
              <w:jc w:val="center"/>
              <w:rPr>
                <w:rFonts w:ascii="Arial" w:cs="Arial" w:hAnsi="Arial"/>
              </w:rPr>
            </w:pPr>
            <w:r>
              <w:rPr>
                <w:rFonts w:ascii="Arial" w:cs="Arial" w:hAnsi="Arial"/>
              </w:rPr>
              <w:t>70 24 57 40</w:t>
            </w:r>
          </w:p>
        </w:tc>
        <w:tc>
          <w:tcPr>
            <w:tcW w:w="2693" w:type="dxa"/>
            <w:tcBorders/>
            <w:vAlign w:val="center"/>
          </w:tcPr>
          <w:p>
            <w:pPr>
              <w:pStyle w:val="style0"/>
              <w:spacing w:before="0"/>
              <w:jc w:val="center"/>
              <w:rPr>
                <w:rFonts w:ascii="Arial" w:cs="Arial" w:hAnsi="Arial"/>
              </w:rPr>
            </w:pPr>
          </w:p>
        </w:tc>
      </w:tr>
      <w:tr>
        <w:tblPrEx/>
        <w:trPr/>
        <w:tc>
          <w:tcPr>
            <w:tcW w:w="619" w:type="dxa"/>
            <w:tcBorders/>
            <w:vAlign w:val="center"/>
          </w:tcPr>
          <w:p>
            <w:pPr>
              <w:pStyle w:val="style0"/>
              <w:spacing w:before="0"/>
              <w:jc w:val="center"/>
              <w:rPr>
                <w:rFonts w:ascii="Arial" w:cs="Arial" w:hAnsi="Arial"/>
              </w:rPr>
            </w:pPr>
            <w:r>
              <w:rPr>
                <w:rFonts w:ascii="Arial" w:cs="Arial" w:hAnsi="Arial"/>
              </w:rPr>
              <w:t>09</w:t>
            </w:r>
          </w:p>
        </w:tc>
        <w:tc>
          <w:tcPr>
            <w:tcW w:w="4371" w:type="dxa"/>
            <w:tcBorders/>
            <w:vAlign w:val="center"/>
          </w:tcPr>
          <w:p>
            <w:pPr>
              <w:pStyle w:val="style0"/>
              <w:spacing w:before="0"/>
              <w:rPr>
                <w:rFonts w:ascii="Arial" w:cs="Arial" w:hAnsi="Arial"/>
              </w:rPr>
            </w:pPr>
            <w:r>
              <w:rPr>
                <w:rFonts w:ascii="Arial" w:cs="Arial" w:hAnsi="Arial"/>
              </w:rPr>
              <w:t>TOURE Mohamadi Amin</w:t>
            </w:r>
          </w:p>
        </w:tc>
        <w:tc>
          <w:tcPr>
            <w:tcW w:w="1101" w:type="dxa"/>
            <w:tcBorders/>
          </w:tcPr>
          <w:p>
            <w:pPr>
              <w:pStyle w:val="style0"/>
              <w:spacing w:before="0"/>
              <w:jc w:val="center"/>
              <w:rPr/>
            </w:pPr>
            <w:r>
              <w:rPr>
                <w:rFonts w:ascii="Arial" w:cs="Arial" w:hAnsi="Arial"/>
              </w:rPr>
              <w:t>M</w:t>
            </w:r>
          </w:p>
        </w:tc>
        <w:tc>
          <w:tcPr>
            <w:tcW w:w="3685" w:type="dxa"/>
            <w:tcBorders/>
            <w:vAlign w:val="center"/>
          </w:tcPr>
          <w:p>
            <w:pPr>
              <w:pStyle w:val="style0"/>
              <w:spacing w:before="0"/>
              <w:rPr>
                <w:rFonts w:ascii="Arial" w:cs="Arial" w:hAnsi="Arial"/>
              </w:rPr>
            </w:pPr>
            <w:r>
              <w:rPr>
                <w:rFonts w:ascii="Arial" w:cs="Arial" w:hAnsi="Arial"/>
              </w:rPr>
              <w:t>Consultant PAR</w:t>
            </w:r>
          </w:p>
        </w:tc>
        <w:tc>
          <w:tcPr>
            <w:tcW w:w="2268" w:type="dxa"/>
            <w:tcBorders/>
            <w:vAlign w:val="center"/>
          </w:tcPr>
          <w:p>
            <w:pPr>
              <w:pStyle w:val="style0"/>
              <w:spacing w:before="0"/>
              <w:jc w:val="center"/>
              <w:rPr>
                <w:rFonts w:ascii="Arial" w:cs="Arial" w:hAnsi="Arial"/>
              </w:rPr>
            </w:pPr>
            <w:r>
              <w:rPr>
                <w:rFonts w:ascii="Arial" w:cs="Arial" w:hAnsi="Arial"/>
              </w:rPr>
              <w:t>70 16 17 60</w:t>
            </w:r>
          </w:p>
        </w:tc>
        <w:tc>
          <w:tcPr>
            <w:tcW w:w="2693" w:type="dxa"/>
            <w:tcBorders/>
            <w:vAlign w:val="center"/>
          </w:tcPr>
          <w:p>
            <w:pPr>
              <w:pStyle w:val="style0"/>
              <w:spacing w:before="0"/>
              <w:jc w:val="center"/>
              <w:rPr>
                <w:rFonts w:ascii="Arial" w:cs="Arial" w:hAnsi="Arial"/>
              </w:rPr>
            </w:pPr>
          </w:p>
        </w:tc>
      </w:tr>
      <w:tr>
        <w:tblPrEx/>
        <w:trPr/>
        <w:tc>
          <w:tcPr>
            <w:tcW w:w="619" w:type="dxa"/>
            <w:tcBorders/>
            <w:vAlign w:val="center"/>
          </w:tcPr>
          <w:p>
            <w:pPr>
              <w:pStyle w:val="style0"/>
              <w:spacing w:before="0"/>
              <w:jc w:val="center"/>
              <w:rPr>
                <w:rFonts w:ascii="Arial" w:cs="Arial" w:hAnsi="Arial"/>
              </w:rPr>
            </w:pPr>
            <w:r>
              <w:rPr>
                <w:rFonts w:ascii="Arial" w:cs="Arial" w:hAnsi="Arial"/>
              </w:rPr>
              <w:t>10</w:t>
            </w:r>
          </w:p>
        </w:tc>
        <w:tc>
          <w:tcPr>
            <w:tcW w:w="4371" w:type="dxa"/>
            <w:tcBorders/>
            <w:vAlign w:val="center"/>
          </w:tcPr>
          <w:p>
            <w:pPr>
              <w:pStyle w:val="style0"/>
              <w:spacing w:before="0"/>
              <w:rPr>
                <w:rFonts w:ascii="Arial" w:cs="Arial" w:hAnsi="Arial"/>
              </w:rPr>
            </w:pPr>
            <w:r>
              <w:rPr>
                <w:rFonts w:ascii="Arial" w:cs="Arial" w:hAnsi="Arial"/>
              </w:rPr>
              <w:t>BADO Adrien</w:t>
            </w:r>
          </w:p>
        </w:tc>
        <w:tc>
          <w:tcPr>
            <w:tcW w:w="1101" w:type="dxa"/>
            <w:tcBorders/>
          </w:tcPr>
          <w:p>
            <w:pPr>
              <w:pStyle w:val="style0"/>
              <w:spacing w:before="0"/>
              <w:jc w:val="center"/>
              <w:rPr/>
            </w:pPr>
            <w:r>
              <w:rPr>
                <w:rFonts w:ascii="Arial" w:cs="Arial" w:hAnsi="Arial"/>
              </w:rPr>
              <w:t>M</w:t>
            </w:r>
          </w:p>
        </w:tc>
        <w:tc>
          <w:tcPr>
            <w:tcW w:w="3685" w:type="dxa"/>
            <w:tcBorders/>
            <w:vAlign w:val="center"/>
          </w:tcPr>
          <w:p>
            <w:pPr>
              <w:pStyle w:val="style0"/>
              <w:spacing w:before="0"/>
              <w:rPr>
                <w:rFonts w:ascii="Arial" w:cs="Arial" w:hAnsi="Arial"/>
              </w:rPr>
            </w:pPr>
            <w:r>
              <w:rPr>
                <w:rFonts w:ascii="Arial" w:cs="Arial" w:hAnsi="Arial"/>
              </w:rPr>
              <w:t xml:space="preserve">Consultant/ CPRP </w:t>
            </w:r>
          </w:p>
        </w:tc>
        <w:tc>
          <w:tcPr>
            <w:tcW w:w="2268" w:type="dxa"/>
            <w:tcBorders/>
            <w:vAlign w:val="center"/>
          </w:tcPr>
          <w:p>
            <w:pPr>
              <w:pStyle w:val="style0"/>
              <w:spacing w:before="0"/>
              <w:jc w:val="center"/>
              <w:rPr>
                <w:rFonts w:ascii="Arial" w:cs="Arial" w:hAnsi="Arial"/>
              </w:rPr>
            </w:pPr>
            <w:r>
              <w:rPr>
                <w:rFonts w:ascii="Arial" w:cs="Arial" w:hAnsi="Arial"/>
              </w:rPr>
              <w:t>70 31 26 11</w:t>
            </w:r>
          </w:p>
        </w:tc>
        <w:tc>
          <w:tcPr>
            <w:tcW w:w="2693" w:type="dxa"/>
            <w:tcBorders/>
            <w:vAlign w:val="center"/>
          </w:tcPr>
          <w:p>
            <w:pPr>
              <w:pStyle w:val="style0"/>
              <w:spacing w:before="0"/>
              <w:jc w:val="center"/>
              <w:rPr>
                <w:rFonts w:ascii="Arial" w:cs="Arial" w:hAnsi="Arial"/>
              </w:rPr>
            </w:pPr>
          </w:p>
        </w:tc>
      </w:tr>
      <w:tr>
        <w:tblPrEx/>
        <w:trPr>
          <w:trHeight w:val="610" w:hRule="atLeast"/>
        </w:trPr>
        <w:tc>
          <w:tcPr>
            <w:tcW w:w="619" w:type="dxa"/>
            <w:tcBorders/>
            <w:vAlign w:val="center"/>
          </w:tcPr>
          <w:p>
            <w:pPr>
              <w:pStyle w:val="style0"/>
              <w:spacing w:before="0"/>
              <w:jc w:val="center"/>
              <w:rPr>
                <w:rFonts w:ascii="Arial" w:cs="Arial" w:hAnsi="Arial"/>
              </w:rPr>
            </w:pPr>
            <w:r>
              <w:rPr>
                <w:rFonts w:ascii="Arial" w:cs="Arial" w:hAnsi="Arial"/>
              </w:rPr>
              <w:t>11</w:t>
            </w:r>
          </w:p>
        </w:tc>
        <w:tc>
          <w:tcPr>
            <w:tcW w:w="4371" w:type="dxa"/>
            <w:tcBorders/>
            <w:vAlign w:val="center"/>
          </w:tcPr>
          <w:p>
            <w:pPr>
              <w:pStyle w:val="style0"/>
              <w:spacing w:before="0"/>
              <w:rPr>
                <w:rFonts w:ascii="Arial" w:cs="Arial" w:hAnsi="Arial"/>
              </w:rPr>
            </w:pPr>
            <w:r>
              <w:rPr>
                <w:rFonts w:ascii="Arial" w:cs="Arial" w:hAnsi="Arial"/>
              </w:rPr>
              <w:t>DIANDA Eli</w:t>
            </w:r>
          </w:p>
        </w:tc>
        <w:tc>
          <w:tcPr>
            <w:tcW w:w="1101" w:type="dxa"/>
            <w:tcBorders/>
          </w:tcPr>
          <w:p>
            <w:pPr>
              <w:pStyle w:val="style0"/>
              <w:spacing w:before="0"/>
              <w:jc w:val="center"/>
              <w:rPr/>
            </w:pPr>
            <w:r>
              <w:rPr>
                <w:rFonts w:ascii="Arial" w:cs="Arial" w:hAnsi="Arial"/>
              </w:rPr>
              <w:t>M</w:t>
            </w:r>
          </w:p>
        </w:tc>
        <w:tc>
          <w:tcPr>
            <w:tcW w:w="3685" w:type="dxa"/>
            <w:tcBorders/>
            <w:vAlign w:val="center"/>
          </w:tcPr>
          <w:p>
            <w:pPr>
              <w:pStyle w:val="style0"/>
              <w:spacing w:before="0"/>
              <w:rPr>
                <w:rFonts w:ascii="Arial" w:cs="Arial" w:hAnsi="Arial"/>
              </w:rPr>
            </w:pPr>
            <w:r>
              <w:rPr>
                <w:rFonts w:ascii="Arial" w:cs="Arial" w:hAnsi="Arial"/>
              </w:rPr>
              <w:t>AMVS</w:t>
            </w:r>
          </w:p>
        </w:tc>
        <w:tc>
          <w:tcPr>
            <w:tcW w:w="2268" w:type="dxa"/>
            <w:tcBorders/>
            <w:vAlign w:val="center"/>
          </w:tcPr>
          <w:p>
            <w:pPr>
              <w:pStyle w:val="style0"/>
              <w:spacing w:before="0"/>
              <w:jc w:val="center"/>
              <w:rPr>
                <w:rFonts w:ascii="Arial" w:cs="Arial" w:hAnsi="Arial"/>
              </w:rPr>
            </w:pPr>
            <w:r>
              <w:rPr>
                <w:rFonts w:ascii="Arial" w:cs="Arial" w:hAnsi="Arial"/>
              </w:rPr>
              <w:t>70 14 61 77</w:t>
            </w:r>
          </w:p>
        </w:tc>
        <w:tc>
          <w:tcPr>
            <w:tcW w:w="2693" w:type="dxa"/>
            <w:tcBorders/>
            <w:vAlign w:val="center"/>
          </w:tcPr>
          <w:p>
            <w:pPr>
              <w:pStyle w:val="style0"/>
              <w:spacing w:before="0"/>
              <w:jc w:val="center"/>
              <w:rPr>
                <w:rFonts w:ascii="Arial" w:cs="Arial" w:hAnsi="Arial"/>
              </w:rPr>
            </w:pPr>
          </w:p>
        </w:tc>
      </w:tr>
      <w:tr>
        <w:tblPrEx/>
        <w:trPr/>
        <w:tc>
          <w:tcPr>
            <w:tcW w:w="619" w:type="dxa"/>
            <w:tcBorders/>
            <w:vAlign w:val="center"/>
          </w:tcPr>
          <w:p>
            <w:pPr>
              <w:pStyle w:val="style0"/>
              <w:spacing w:before="0"/>
              <w:jc w:val="center"/>
              <w:rPr>
                <w:rFonts w:ascii="Arial" w:cs="Arial" w:hAnsi="Arial"/>
              </w:rPr>
            </w:pPr>
            <w:r>
              <w:rPr>
                <w:rFonts w:ascii="Arial" w:cs="Arial" w:hAnsi="Arial"/>
              </w:rPr>
              <w:t>12</w:t>
            </w:r>
          </w:p>
        </w:tc>
        <w:tc>
          <w:tcPr>
            <w:tcW w:w="4371" w:type="dxa"/>
            <w:tcBorders/>
            <w:vAlign w:val="center"/>
          </w:tcPr>
          <w:p>
            <w:pPr>
              <w:pStyle w:val="style0"/>
              <w:spacing w:before="0"/>
              <w:rPr>
                <w:rFonts w:ascii="Arial" w:cs="Arial" w:hAnsi="Arial"/>
              </w:rPr>
            </w:pPr>
            <w:r>
              <w:rPr>
                <w:rFonts w:ascii="Arial" w:cs="Arial" w:hAnsi="Arial"/>
              </w:rPr>
              <w:t>TOE Dénis</w:t>
            </w:r>
          </w:p>
        </w:tc>
        <w:tc>
          <w:tcPr>
            <w:tcW w:w="1101" w:type="dxa"/>
            <w:tcBorders/>
          </w:tcPr>
          <w:p>
            <w:pPr>
              <w:pStyle w:val="style0"/>
              <w:spacing w:before="0"/>
              <w:jc w:val="center"/>
              <w:rPr/>
            </w:pPr>
            <w:r>
              <w:rPr>
                <w:rFonts w:ascii="Arial" w:cs="Arial" w:hAnsi="Arial"/>
              </w:rPr>
              <w:t>M</w:t>
            </w:r>
          </w:p>
        </w:tc>
        <w:tc>
          <w:tcPr>
            <w:tcW w:w="3685" w:type="dxa"/>
            <w:tcBorders/>
            <w:vAlign w:val="center"/>
          </w:tcPr>
          <w:p>
            <w:pPr>
              <w:pStyle w:val="style0"/>
              <w:spacing w:before="0"/>
              <w:rPr>
                <w:rFonts w:ascii="Arial" w:cs="Arial" w:hAnsi="Arial"/>
              </w:rPr>
            </w:pPr>
            <w:r>
              <w:rPr>
                <w:rFonts w:ascii="Arial" w:cs="Arial" w:hAnsi="Arial"/>
              </w:rPr>
              <w:t>Consultant / CGES</w:t>
            </w:r>
          </w:p>
        </w:tc>
        <w:tc>
          <w:tcPr>
            <w:tcW w:w="2268" w:type="dxa"/>
            <w:tcBorders/>
            <w:vAlign w:val="center"/>
          </w:tcPr>
          <w:p>
            <w:pPr>
              <w:pStyle w:val="style0"/>
              <w:spacing w:before="0"/>
              <w:jc w:val="center"/>
              <w:rPr>
                <w:rFonts w:ascii="Arial" w:cs="Arial" w:hAnsi="Arial"/>
              </w:rPr>
            </w:pPr>
            <w:r>
              <w:rPr>
                <w:rFonts w:ascii="Arial" w:cs="Arial" w:hAnsi="Arial"/>
              </w:rPr>
              <w:t>70 23 23 27</w:t>
            </w:r>
          </w:p>
        </w:tc>
        <w:tc>
          <w:tcPr>
            <w:tcW w:w="2693" w:type="dxa"/>
            <w:tcBorders/>
            <w:vAlign w:val="center"/>
          </w:tcPr>
          <w:p>
            <w:pPr>
              <w:pStyle w:val="style0"/>
              <w:spacing w:before="0"/>
              <w:jc w:val="center"/>
              <w:rPr>
                <w:rFonts w:ascii="Arial" w:cs="Arial" w:hAnsi="Arial"/>
              </w:rPr>
            </w:pPr>
          </w:p>
        </w:tc>
      </w:tr>
    </w:tbl>
    <w:p>
      <w:pPr>
        <w:pStyle w:val="style0"/>
        <w:spacing w:before="0"/>
        <w:rPr/>
      </w:pPr>
    </w:p>
    <w:tbl>
      <w:tblPr>
        <w:tblStyle w:val="style154"/>
        <w:tblW w:w="14737" w:type="dxa"/>
        <w:tblLayout w:type="fixed"/>
        <w:tblLook w:val="04A0" w:firstRow="1" w:lastRow="0" w:firstColumn="1" w:lastColumn="0" w:noHBand="0" w:noVBand="1"/>
      </w:tblPr>
      <w:tblGrid>
        <w:gridCol w:w="675"/>
        <w:gridCol w:w="3748"/>
        <w:gridCol w:w="1101"/>
        <w:gridCol w:w="4252"/>
        <w:gridCol w:w="2268"/>
        <w:gridCol w:w="2693"/>
      </w:tblGrid>
      <w:tr>
        <w:trPr/>
        <w:tc>
          <w:tcPr>
            <w:tcW w:w="675" w:type="dxa"/>
            <w:tcBorders/>
            <w:vAlign w:val="center"/>
          </w:tcPr>
          <w:p>
            <w:pPr>
              <w:pStyle w:val="style0"/>
              <w:spacing w:before="0"/>
              <w:jc w:val="center"/>
              <w:rPr>
                <w:rFonts w:ascii="Arial" w:cs="Arial" w:hAnsi="Arial"/>
              </w:rPr>
            </w:pPr>
            <w:r>
              <w:rPr>
                <w:rFonts w:ascii="Arial" w:cs="Arial" w:hAnsi="Arial"/>
              </w:rPr>
              <w:t>13</w:t>
            </w:r>
          </w:p>
        </w:tc>
        <w:tc>
          <w:tcPr>
            <w:tcW w:w="3748" w:type="dxa"/>
            <w:tcBorders/>
            <w:vAlign w:val="center"/>
          </w:tcPr>
          <w:p>
            <w:pPr>
              <w:pStyle w:val="style0"/>
              <w:spacing w:before="0"/>
              <w:rPr>
                <w:rFonts w:ascii="Arial" w:cs="Arial" w:hAnsi="Arial"/>
              </w:rPr>
            </w:pPr>
            <w:r>
              <w:rPr>
                <w:rFonts w:ascii="Arial" w:cs="Arial" w:hAnsi="Arial"/>
              </w:rPr>
              <w:t>PARE Samuel</w:t>
            </w:r>
          </w:p>
        </w:tc>
        <w:tc>
          <w:tcPr>
            <w:tcW w:w="1101" w:type="dxa"/>
            <w:tcBorders/>
            <w:vAlign w:val="center"/>
          </w:tcPr>
          <w:p>
            <w:pPr>
              <w:pStyle w:val="style0"/>
              <w:spacing w:before="0"/>
              <w:jc w:val="center"/>
              <w:rPr/>
            </w:pPr>
            <w:r>
              <w:rPr>
                <w:rFonts w:ascii="Arial" w:cs="Arial" w:hAnsi="Arial"/>
              </w:rPr>
              <w:t>M</w:t>
            </w:r>
          </w:p>
        </w:tc>
        <w:tc>
          <w:tcPr>
            <w:tcW w:w="4252" w:type="dxa"/>
            <w:tcBorders/>
            <w:vAlign w:val="center"/>
          </w:tcPr>
          <w:p>
            <w:pPr>
              <w:pStyle w:val="style0"/>
              <w:spacing w:before="0"/>
              <w:rPr>
                <w:rFonts w:ascii="Arial" w:cs="Arial" w:hAnsi="Arial"/>
              </w:rPr>
            </w:pPr>
            <w:r>
              <w:rPr>
                <w:rFonts w:ascii="Arial" w:cs="Arial" w:hAnsi="Arial"/>
              </w:rPr>
              <w:t xml:space="preserve">Consultant PGP </w:t>
            </w:r>
          </w:p>
        </w:tc>
        <w:tc>
          <w:tcPr>
            <w:tcW w:w="2268" w:type="dxa"/>
            <w:tcBorders/>
            <w:vAlign w:val="center"/>
          </w:tcPr>
          <w:p>
            <w:pPr>
              <w:pStyle w:val="style0"/>
              <w:spacing w:before="0"/>
              <w:jc w:val="center"/>
              <w:rPr>
                <w:rFonts w:ascii="Arial" w:cs="Arial" w:hAnsi="Arial"/>
              </w:rPr>
            </w:pPr>
            <w:r>
              <w:rPr>
                <w:rFonts w:ascii="Arial" w:cs="Arial" w:hAnsi="Arial"/>
              </w:rPr>
              <w:t>70 40 84 17</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14</w:t>
            </w:r>
          </w:p>
        </w:tc>
        <w:tc>
          <w:tcPr>
            <w:tcW w:w="3748" w:type="dxa"/>
            <w:tcBorders/>
            <w:vAlign w:val="center"/>
          </w:tcPr>
          <w:p>
            <w:pPr>
              <w:pStyle w:val="style0"/>
              <w:spacing w:before="0"/>
              <w:rPr>
                <w:rFonts w:ascii="Arial" w:cs="Arial" w:hAnsi="Arial"/>
              </w:rPr>
            </w:pPr>
            <w:r>
              <w:rPr>
                <w:rFonts w:ascii="Arial" w:cs="Arial" w:hAnsi="Arial"/>
              </w:rPr>
              <w:t>OUEDRAOGO Somyouda</w:t>
            </w:r>
          </w:p>
        </w:tc>
        <w:tc>
          <w:tcPr>
            <w:tcW w:w="1101" w:type="dxa"/>
            <w:tcBorders/>
          </w:tcPr>
          <w:p>
            <w:pPr>
              <w:pStyle w:val="style0"/>
              <w:spacing w:before="0"/>
              <w:jc w:val="center"/>
              <w:rPr/>
            </w:pPr>
            <w:r>
              <w:rPr>
                <w:rFonts w:ascii="Arial" w:cs="Arial" w:hAnsi="Arial"/>
              </w:rPr>
              <w:t>M</w:t>
            </w:r>
          </w:p>
        </w:tc>
        <w:tc>
          <w:tcPr>
            <w:tcW w:w="4252" w:type="dxa"/>
            <w:tcBorders/>
            <w:vAlign w:val="center"/>
          </w:tcPr>
          <w:p>
            <w:pPr>
              <w:pStyle w:val="style0"/>
              <w:spacing w:before="0"/>
              <w:rPr>
                <w:rFonts w:ascii="Arial" w:cs="Arial" w:hAnsi="Arial"/>
              </w:rPr>
            </w:pPr>
            <w:r>
              <w:rPr>
                <w:rFonts w:ascii="Arial" w:cs="Arial" w:hAnsi="Arial"/>
              </w:rPr>
              <w:t>Consultant EIES</w:t>
            </w:r>
          </w:p>
        </w:tc>
        <w:tc>
          <w:tcPr>
            <w:tcW w:w="2268" w:type="dxa"/>
            <w:tcBorders/>
            <w:vAlign w:val="center"/>
          </w:tcPr>
          <w:p>
            <w:pPr>
              <w:pStyle w:val="style0"/>
              <w:spacing w:before="0"/>
              <w:jc w:val="center"/>
              <w:rPr>
                <w:rFonts w:ascii="Arial" w:cs="Arial" w:hAnsi="Arial"/>
              </w:rPr>
            </w:pPr>
            <w:r>
              <w:rPr>
                <w:rFonts w:ascii="Arial" w:cs="Arial" w:hAnsi="Arial"/>
              </w:rPr>
              <w:t>66 37 37 24</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15</w:t>
            </w:r>
          </w:p>
        </w:tc>
        <w:tc>
          <w:tcPr>
            <w:tcW w:w="3748" w:type="dxa"/>
            <w:tcBorders/>
            <w:vAlign w:val="center"/>
          </w:tcPr>
          <w:p>
            <w:pPr>
              <w:pStyle w:val="style0"/>
              <w:spacing w:before="0"/>
              <w:rPr>
                <w:rFonts w:ascii="Arial" w:cs="Arial" w:hAnsi="Arial"/>
              </w:rPr>
            </w:pPr>
            <w:r>
              <w:rPr>
                <w:rFonts w:ascii="Arial" w:cs="Arial" w:hAnsi="Arial"/>
              </w:rPr>
              <w:t>TOURE Adama</w:t>
            </w:r>
          </w:p>
        </w:tc>
        <w:tc>
          <w:tcPr>
            <w:tcW w:w="1101" w:type="dxa"/>
            <w:tcBorders/>
          </w:tcPr>
          <w:p>
            <w:pPr>
              <w:pStyle w:val="style0"/>
              <w:spacing w:before="0"/>
              <w:jc w:val="center"/>
              <w:rPr/>
            </w:pPr>
            <w:r>
              <w:rPr>
                <w:rFonts w:ascii="Arial" w:cs="Arial" w:hAnsi="Arial"/>
              </w:rPr>
              <w:t>M</w:t>
            </w:r>
          </w:p>
        </w:tc>
        <w:tc>
          <w:tcPr>
            <w:tcW w:w="4252" w:type="dxa"/>
            <w:tcBorders/>
            <w:vAlign w:val="center"/>
          </w:tcPr>
          <w:p>
            <w:pPr>
              <w:pStyle w:val="style0"/>
              <w:spacing w:before="0"/>
              <w:rPr>
                <w:rFonts w:ascii="Arial" w:cs="Arial" w:hAnsi="Arial"/>
              </w:rPr>
            </w:pPr>
            <w:r>
              <w:rPr>
                <w:rFonts w:ascii="Arial" w:cs="Arial" w:hAnsi="Arial"/>
              </w:rPr>
              <w:t>DGESS/MAAH</w:t>
            </w:r>
          </w:p>
        </w:tc>
        <w:tc>
          <w:tcPr>
            <w:tcW w:w="2268" w:type="dxa"/>
            <w:tcBorders/>
            <w:vAlign w:val="center"/>
          </w:tcPr>
          <w:p>
            <w:pPr>
              <w:pStyle w:val="style0"/>
              <w:spacing w:before="0"/>
              <w:jc w:val="center"/>
              <w:rPr>
                <w:rFonts w:ascii="Arial" w:cs="Arial" w:hAnsi="Arial"/>
              </w:rPr>
            </w:pPr>
            <w:r>
              <w:rPr>
                <w:rFonts w:ascii="Arial" w:cs="Arial" w:hAnsi="Arial"/>
              </w:rPr>
              <w:t>70 13 08 62</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16</w:t>
            </w:r>
          </w:p>
        </w:tc>
        <w:tc>
          <w:tcPr>
            <w:tcW w:w="3748" w:type="dxa"/>
            <w:tcBorders/>
            <w:vAlign w:val="center"/>
          </w:tcPr>
          <w:p>
            <w:pPr>
              <w:pStyle w:val="style0"/>
              <w:spacing w:before="0"/>
              <w:rPr>
                <w:rFonts w:ascii="Arial" w:cs="Arial" w:hAnsi="Arial"/>
              </w:rPr>
            </w:pPr>
            <w:r>
              <w:rPr>
                <w:rFonts w:ascii="Arial" w:cs="Arial" w:hAnsi="Arial"/>
              </w:rPr>
              <w:t>KIENOU Amos</w:t>
            </w:r>
          </w:p>
        </w:tc>
        <w:tc>
          <w:tcPr>
            <w:tcW w:w="1101" w:type="dxa"/>
            <w:tcBorders/>
          </w:tcPr>
          <w:p>
            <w:pPr>
              <w:pStyle w:val="style0"/>
              <w:spacing w:before="0"/>
              <w:jc w:val="center"/>
              <w:rPr/>
            </w:pPr>
            <w:r>
              <w:rPr>
                <w:rFonts w:ascii="Arial" w:cs="Arial" w:hAnsi="Arial"/>
              </w:rPr>
              <w:t>M</w:t>
            </w:r>
          </w:p>
        </w:tc>
        <w:tc>
          <w:tcPr>
            <w:tcW w:w="4252" w:type="dxa"/>
            <w:tcBorders/>
            <w:vAlign w:val="center"/>
          </w:tcPr>
          <w:p>
            <w:pPr>
              <w:pStyle w:val="style0"/>
              <w:spacing w:before="0"/>
              <w:rPr>
                <w:rFonts w:ascii="Arial" w:cs="Arial" w:hAnsi="Arial"/>
              </w:rPr>
            </w:pPr>
            <w:r>
              <w:rPr>
                <w:rFonts w:ascii="Arial" w:cs="Arial" w:hAnsi="Arial"/>
              </w:rPr>
              <w:t>DGESS/MAAH</w:t>
            </w:r>
          </w:p>
        </w:tc>
        <w:tc>
          <w:tcPr>
            <w:tcW w:w="2268" w:type="dxa"/>
            <w:tcBorders/>
            <w:vAlign w:val="center"/>
          </w:tcPr>
          <w:p>
            <w:pPr>
              <w:pStyle w:val="style0"/>
              <w:spacing w:before="0"/>
              <w:jc w:val="center"/>
              <w:rPr>
                <w:rFonts w:ascii="Arial" w:cs="Arial" w:hAnsi="Arial"/>
              </w:rPr>
            </w:pPr>
            <w:r>
              <w:rPr>
                <w:rFonts w:ascii="Arial" w:cs="Arial" w:hAnsi="Arial"/>
              </w:rPr>
              <w:t>70 69 11 01</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17</w:t>
            </w:r>
          </w:p>
        </w:tc>
        <w:tc>
          <w:tcPr>
            <w:tcW w:w="3748" w:type="dxa"/>
            <w:tcBorders/>
            <w:vAlign w:val="center"/>
          </w:tcPr>
          <w:p>
            <w:pPr>
              <w:pStyle w:val="style0"/>
              <w:spacing w:before="0"/>
              <w:rPr>
                <w:rFonts w:ascii="Arial" w:cs="Arial" w:hAnsi="Arial"/>
              </w:rPr>
            </w:pPr>
            <w:r>
              <w:rPr>
                <w:rFonts w:ascii="Arial" w:cs="Arial" w:hAnsi="Arial"/>
              </w:rPr>
              <w:t>COMPAORE Emmanuel</w:t>
            </w:r>
          </w:p>
        </w:tc>
        <w:tc>
          <w:tcPr>
            <w:tcW w:w="1101" w:type="dxa"/>
            <w:tcBorders/>
            <w:vAlign w:val="center"/>
          </w:tcPr>
          <w:p>
            <w:pPr>
              <w:pStyle w:val="style0"/>
              <w:spacing w:before="0"/>
              <w:jc w:val="center"/>
              <w:rPr>
                <w:rFonts w:ascii="Arial" w:cs="Arial" w:hAnsi="Arial"/>
              </w:rPr>
            </w:pPr>
            <w:r>
              <w:rPr>
                <w:rFonts w:ascii="Arial" w:cs="Arial" w:hAnsi="Arial"/>
              </w:rPr>
              <w:t>M</w:t>
            </w:r>
          </w:p>
        </w:tc>
        <w:tc>
          <w:tcPr>
            <w:tcW w:w="4252" w:type="dxa"/>
            <w:tcBorders/>
            <w:vAlign w:val="center"/>
          </w:tcPr>
          <w:p>
            <w:pPr>
              <w:pStyle w:val="style0"/>
              <w:spacing w:before="0"/>
              <w:rPr>
                <w:rFonts w:ascii="Arial" w:cs="Arial" w:hAnsi="Arial"/>
              </w:rPr>
            </w:pPr>
            <w:r>
              <w:rPr>
                <w:rFonts w:ascii="Arial" w:cs="Arial" w:hAnsi="Arial"/>
              </w:rPr>
              <w:t>AMVS/DAIE</w:t>
            </w:r>
          </w:p>
        </w:tc>
        <w:tc>
          <w:tcPr>
            <w:tcW w:w="2268" w:type="dxa"/>
            <w:tcBorders/>
            <w:vAlign w:val="center"/>
          </w:tcPr>
          <w:p>
            <w:pPr>
              <w:pStyle w:val="style0"/>
              <w:spacing w:before="0"/>
              <w:jc w:val="center"/>
              <w:rPr>
                <w:rFonts w:ascii="Arial" w:cs="Arial" w:hAnsi="Arial"/>
              </w:rPr>
            </w:pPr>
            <w:r>
              <w:rPr>
                <w:rFonts w:ascii="Arial" w:cs="Arial" w:hAnsi="Arial"/>
              </w:rPr>
              <w:t>70 20 54 66</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18</w:t>
            </w:r>
          </w:p>
        </w:tc>
        <w:tc>
          <w:tcPr>
            <w:tcW w:w="3748" w:type="dxa"/>
            <w:tcBorders/>
            <w:vAlign w:val="center"/>
          </w:tcPr>
          <w:p>
            <w:pPr>
              <w:pStyle w:val="style0"/>
              <w:spacing w:before="0"/>
              <w:rPr>
                <w:rFonts w:ascii="Arial" w:cs="Arial" w:hAnsi="Arial"/>
              </w:rPr>
            </w:pPr>
            <w:r>
              <w:rPr>
                <w:rFonts w:ascii="Arial" w:cs="Arial" w:hAnsi="Arial"/>
              </w:rPr>
              <w:t>BARRY Amadé</w:t>
            </w:r>
          </w:p>
        </w:tc>
        <w:tc>
          <w:tcPr>
            <w:tcW w:w="1101" w:type="dxa"/>
            <w:tcBorders/>
            <w:vAlign w:val="center"/>
          </w:tcPr>
          <w:p>
            <w:pPr>
              <w:pStyle w:val="style0"/>
              <w:spacing w:before="0"/>
              <w:jc w:val="center"/>
              <w:rPr>
                <w:rFonts w:ascii="Arial" w:cs="Arial" w:hAnsi="Arial"/>
              </w:rPr>
            </w:pPr>
            <w:r>
              <w:rPr>
                <w:rFonts w:ascii="Arial" w:cs="Arial" w:hAnsi="Arial"/>
              </w:rPr>
              <w:t>M</w:t>
            </w:r>
          </w:p>
        </w:tc>
        <w:tc>
          <w:tcPr>
            <w:tcW w:w="4252" w:type="dxa"/>
            <w:tcBorders/>
            <w:vAlign w:val="center"/>
          </w:tcPr>
          <w:p>
            <w:pPr>
              <w:pStyle w:val="style0"/>
              <w:spacing w:before="0"/>
              <w:rPr>
                <w:rFonts w:ascii="Arial" w:cs="Arial" w:hAnsi="Arial"/>
              </w:rPr>
            </w:pPr>
            <w:r>
              <w:rPr>
                <w:rFonts w:ascii="Arial" w:cs="Arial" w:hAnsi="Arial"/>
              </w:rPr>
              <w:t>PAPSA</w:t>
            </w:r>
          </w:p>
        </w:tc>
        <w:tc>
          <w:tcPr>
            <w:tcW w:w="2268" w:type="dxa"/>
            <w:tcBorders/>
            <w:vAlign w:val="center"/>
          </w:tcPr>
          <w:p>
            <w:pPr>
              <w:pStyle w:val="style0"/>
              <w:spacing w:before="0"/>
              <w:jc w:val="center"/>
              <w:rPr>
                <w:rFonts w:ascii="Arial" w:cs="Arial" w:hAnsi="Arial"/>
              </w:rPr>
            </w:pPr>
            <w:r>
              <w:rPr>
                <w:rFonts w:ascii="Arial" w:cs="Arial" w:hAnsi="Arial"/>
              </w:rPr>
              <w:t>70 30 92 49</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19</w:t>
            </w:r>
          </w:p>
        </w:tc>
        <w:tc>
          <w:tcPr>
            <w:tcW w:w="3748" w:type="dxa"/>
            <w:tcBorders/>
            <w:vAlign w:val="center"/>
          </w:tcPr>
          <w:p>
            <w:pPr>
              <w:pStyle w:val="style0"/>
              <w:spacing w:before="0"/>
              <w:rPr>
                <w:rFonts w:ascii="Arial" w:cs="Arial" w:hAnsi="Arial"/>
              </w:rPr>
            </w:pPr>
            <w:r>
              <w:rPr>
                <w:rFonts w:ascii="Arial" w:cs="Arial" w:hAnsi="Arial"/>
              </w:rPr>
              <w:t>KABORE Franck</w:t>
            </w:r>
          </w:p>
        </w:tc>
        <w:tc>
          <w:tcPr>
            <w:tcW w:w="1101" w:type="dxa"/>
            <w:tcBorders/>
            <w:vAlign w:val="center"/>
          </w:tcPr>
          <w:p>
            <w:pPr>
              <w:pStyle w:val="style0"/>
              <w:spacing w:before="0"/>
              <w:jc w:val="center"/>
              <w:rPr>
                <w:rFonts w:ascii="Arial" w:cs="Arial" w:hAnsi="Arial"/>
              </w:rPr>
            </w:pPr>
            <w:r>
              <w:rPr>
                <w:rFonts w:ascii="Arial" w:cs="Arial" w:hAnsi="Arial"/>
              </w:rPr>
              <w:t>M</w:t>
            </w:r>
          </w:p>
        </w:tc>
        <w:tc>
          <w:tcPr>
            <w:tcW w:w="4252" w:type="dxa"/>
            <w:tcBorders/>
            <w:vAlign w:val="center"/>
          </w:tcPr>
          <w:p>
            <w:pPr>
              <w:pStyle w:val="style0"/>
              <w:spacing w:before="0"/>
              <w:rPr>
                <w:rFonts w:ascii="Arial" w:cs="Arial" w:hAnsi="Arial"/>
              </w:rPr>
            </w:pPr>
            <w:r>
              <w:rPr>
                <w:rFonts w:ascii="Arial" w:cs="Arial" w:hAnsi="Arial"/>
              </w:rPr>
              <w:t>DGAHDI/SASE</w:t>
            </w:r>
          </w:p>
        </w:tc>
        <w:tc>
          <w:tcPr>
            <w:tcW w:w="2268" w:type="dxa"/>
            <w:tcBorders/>
            <w:vAlign w:val="center"/>
          </w:tcPr>
          <w:p>
            <w:pPr>
              <w:pStyle w:val="style0"/>
              <w:spacing w:before="0"/>
              <w:jc w:val="center"/>
              <w:rPr>
                <w:rFonts w:ascii="Arial" w:cs="Arial" w:hAnsi="Arial"/>
              </w:rPr>
            </w:pPr>
            <w:r>
              <w:rPr>
                <w:rFonts w:ascii="Arial" w:cs="Arial" w:hAnsi="Arial"/>
              </w:rPr>
              <w:t>76 51 84 46</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20</w:t>
            </w:r>
          </w:p>
        </w:tc>
        <w:tc>
          <w:tcPr>
            <w:tcW w:w="3748" w:type="dxa"/>
            <w:tcBorders/>
            <w:vAlign w:val="center"/>
          </w:tcPr>
          <w:p>
            <w:pPr>
              <w:pStyle w:val="style0"/>
              <w:spacing w:before="0"/>
              <w:rPr>
                <w:rFonts w:ascii="Arial" w:cs="Arial" w:hAnsi="Arial"/>
              </w:rPr>
            </w:pPr>
            <w:r>
              <w:rPr>
                <w:rFonts w:ascii="Arial" w:cs="Arial" w:hAnsi="Arial"/>
              </w:rPr>
              <w:t>BANDAOGO Brahima</w:t>
            </w:r>
          </w:p>
        </w:tc>
        <w:tc>
          <w:tcPr>
            <w:tcW w:w="1101" w:type="dxa"/>
            <w:tcBorders/>
            <w:vAlign w:val="center"/>
          </w:tcPr>
          <w:p>
            <w:pPr>
              <w:pStyle w:val="style0"/>
              <w:spacing w:before="0"/>
              <w:jc w:val="center"/>
              <w:rPr>
                <w:rFonts w:ascii="Arial" w:cs="Arial" w:hAnsi="Arial"/>
              </w:rPr>
            </w:pPr>
            <w:r>
              <w:rPr>
                <w:rFonts w:ascii="Arial" w:cs="Arial" w:hAnsi="Arial"/>
              </w:rPr>
              <w:t>M</w:t>
            </w:r>
          </w:p>
        </w:tc>
        <w:tc>
          <w:tcPr>
            <w:tcW w:w="4252" w:type="dxa"/>
            <w:tcBorders/>
            <w:vAlign w:val="center"/>
          </w:tcPr>
          <w:p>
            <w:pPr>
              <w:pStyle w:val="style0"/>
              <w:spacing w:before="0"/>
              <w:rPr>
                <w:rFonts w:ascii="Arial" w:cs="Arial" w:hAnsi="Arial"/>
              </w:rPr>
            </w:pPr>
            <w:r>
              <w:rPr>
                <w:rFonts w:ascii="Arial" w:cs="Arial" w:hAnsi="Arial"/>
              </w:rPr>
              <w:t>DFP/DGESS/MAAH</w:t>
            </w:r>
          </w:p>
        </w:tc>
        <w:tc>
          <w:tcPr>
            <w:tcW w:w="2268" w:type="dxa"/>
            <w:tcBorders/>
            <w:vAlign w:val="center"/>
          </w:tcPr>
          <w:p>
            <w:pPr>
              <w:pStyle w:val="style0"/>
              <w:spacing w:before="0"/>
              <w:jc w:val="center"/>
              <w:rPr>
                <w:rFonts w:ascii="Arial" w:cs="Arial" w:hAnsi="Arial"/>
              </w:rPr>
            </w:pPr>
            <w:r>
              <w:rPr>
                <w:rFonts w:ascii="Arial" w:cs="Arial" w:hAnsi="Arial"/>
              </w:rPr>
              <w:t>70 78 14 98</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21</w:t>
            </w:r>
          </w:p>
        </w:tc>
        <w:tc>
          <w:tcPr>
            <w:tcW w:w="3748" w:type="dxa"/>
            <w:tcBorders/>
            <w:vAlign w:val="center"/>
          </w:tcPr>
          <w:p>
            <w:pPr>
              <w:pStyle w:val="style0"/>
              <w:spacing w:before="0"/>
              <w:rPr>
                <w:rFonts w:ascii="Arial" w:cs="Arial" w:hAnsi="Arial"/>
              </w:rPr>
            </w:pPr>
            <w:r>
              <w:rPr>
                <w:rFonts w:ascii="Arial" w:cs="Arial" w:hAnsi="Arial"/>
              </w:rPr>
              <w:t>CONSIGUI Philippe</w:t>
            </w:r>
          </w:p>
        </w:tc>
        <w:tc>
          <w:tcPr>
            <w:tcW w:w="1101" w:type="dxa"/>
            <w:tcBorders/>
            <w:vAlign w:val="center"/>
          </w:tcPr>
          <w:p>
            <w:pPr>
              <w:pStyle w:val="style0"/>
              <w:spacing w:before="0"/>
              <w:jc w:val="center"/>
              <w:rPr>
                <w:rFonts w:ascii="Arial" w:cs="Arial" w:hAnsi="Arial"/>
              </w:rPr>
            </w:pPr>
            <w:r>
              <w:rPr>
                <w:rFonts w:ascii="Arial" w:cs="Arial" w:hAnsi="Arial"/>
              </w:rPr>
              <w:t>M</w:t>
            </w:r>
          </w:p>
        </w:tc>
        <w:tc>
          <w:tcPr>
            <w:tcW w:w="4252" w:type="dxa"/>
            <w:tcBorders/>
            <w:vAlign w:val="center"/>
          </w:tcPr>
          <w:p>
            <w:pPr>
              <w:pStyle w:val="style0"/>
              <w:spacing w:before="0"/>
              <w:rPr>
                <w:rFonts w:ascii="Arial" w:cs="Arial" w:hAnsi="Arial"/>
              </w:rPr>
            </w:pPr>
            <w:r>
              <w:rPr>
                <w:rFonts w:ascii="Arial" w:cs="Arial" w:hAnsi="Arial"/>
              </w:rPr>
              <w:t>SOFIGIB/DG</w:t>
            </w:r>
          </w:p>
        </w:tc>
        <w:tc>
          <w:tcPr>
            <w:tcW w:w="2268" w:type="dxa"/>
            <w:tcBorders/>
            <w:vAlign w:val="center"/>
          </w:tcPr>
          <w:p>
            <w:pPr>
              <w:pStyle w:val="style0"/>
              <w:spacing w:before="0"/>
              <w:jc w:val="center"/>
              <w:rPr>
                <w:rFonts w:ascii="Arial" w:cs="Arial" w:hAnsi="Arial"/>
              </w:rPr>
            </w:pPr>
            <w:r>
              <w:rPr>
                <w:rFonts w:ascii="Arial" w:cs="Arial" w:hAnsi="Arial"/>
              </w:rPr>
              <w:t>70 60 18 71</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22</w:t>
            </w:r>
          </w:p>
        </w:tc>
        <w:tc>
          <w:tcPr>
            <w:tcW w:w="3748" w:type="dxa"/>
            <w:tcBorders/>
            <w:vAlign w:val="center"/>
          </w:tcPr>
          <w:p>
            <w:pPr>
              <w:pStyle w:val="style0"/>
              <w:spacing w:before="0"/>
              <w:rPr>
                <w:rFonts w:ascii="Arial" w:cs="Arial" w:hAnsi="Arial"/>
              </w:rPr>
            </w:pPr>
            <w:r>
              <w:rPr>
                <w:rFonts w:ascii="Arial" w:cs="Arial" w:hAnsi="Arial"/>
              </w:rPr>
              <w:t>OUEDRAOGO Hamado</w:t>
            </w:r>
          </w:p>
        </w:tc>
        <w:tc>
          <w:tcPr>
            <w:tcW w:w="1101" w:type="dxa"/>
            <w:tcBorders/>
            <w:vAlign w:val="center"/>
          </w:tcPr>
          <w:p>
            <w:pPr>
              <w:pStyle w:val="style0"/>
              <w:spacing w:before="0"/>
              <w:jc w:val="center"/>
              <w:rPr>
                <w:rFonts w:ascii="Arial" w:cs="Arial" w:hAnsi="Arial"/>
              </w:rPr>
            </w:pPr>
            <w:r>
              <w:rPr>
                <w:rFonts w:ascii="Arial" w:cs="Arial" w:hAnsi="Arial"/>
              </w:rPr>
              <w:t>M</w:t>
            </w:r>
          </w:p>
        </w:tc>
        <w:tc>
          <w:tcPr>
            <w:tcW w:w="4252" w:type="dxa"/>
            <w:tcBorders/>
            <w:vAlign w:val="center"/>
          </w:tcPr>
          <w:p>
            <w:pPr>
              <w:pStyle w:val="style0"/>
              <w:spacing w:before="0"/>
              <w:rPr>
                <w:rFonts w:ascii="Arial" w:cs="Arial" w:hAnsi="Arial"/>
              </w:rPr>
            </w:pPr>
            <w:r>
              <w:rPr>
                <w:rFonts w:ascii="Arial" w:cs="Arial" w:hAnsi="Arial"/>
              </w:rPr>
              <w:t>SOFIGIB/ Responsable d’exploitation</w:t>
            </w:r>
          </w:p>
        </w:tc>
        <w:tc>
          <w:tcPr>
            <w:tcW w:w="2268" w:type="dxa"/>
            <w:tcBorders/>
            <w:vAlign w:val="center"/>
          </w:tcPr>
          <w:p>
            <w:pPr>
              <w:pStyle w:val="style0"/>
              <w:spacing w:before="0"/>
              <w:jc w:val="center"/>
              <w:rPr>
                <w:rFonts w:ascii="Arial" w:cs="Arial" w:hAnsi="Arial"/>
              </w:rPr>
            </w:pPr>
            <w:r>
              <w:rPr>
                <w:rFonts w:ascii="Arial" w:cs="Arial" w:hAnsi="Arial"/>
              </w:rPr>
              <w:t>56 86 27 50</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23</w:t>
            </w:r>
          </w:p>
        </w:tc>
        <w:tc>
          <w:tcPr>
            <w:tcW w:w="3748" w:type="dxa"/>
            <w:tcBorders/>
            <w:vAlign w:val="center"/>
          </w:tcPr>
          <w:p>
            <w:pPr>
              <w:pStyle w:val="style0"/>
              <w:spacing w:before="0"/>
              <w:rPr>
                <w:rFonts w:ascii="Arial" w:cs="Arial" w:hAnsi="Arial"/>
              </w:rPr>
            </w:pPr>
            <w:r>
              <w:rPr>
                <w:rFonts w:ascii="Arial" w:cs="Arial" w:hAnsi="Arial"/>
              </w:rPr>
              <w:t>OUEDRAOGO Dieudonné</w:t>
            </w:r>
          </w:p>
        </w:tc>
        <w:tc>
          <w:tcPr>
            <w:tcW w:w="1101" w:type="dxa"/>
            <w:tcBorders/>
            <w:vAlign w:val="center"/>
          </w:tcPr>
          <w:p>
            <w:pPr>
              <w:pStyle w:val="style0"/>
              <w:spacing w:before="0"/>
              <w:jc w:val="center"/>
              <w:rPr>
                <w:rFonts w:ascii="Arial" w:cs="Arial" w:hAnsi="Arial"/>
              </w:rPr>
            </w:pPr>
            <w:r>
              <w:rPr>
                <w:rFonts w:ascii="Arial" w:cs="Arial" w:hAnsi="Arial"/>
              </w:rPr>
              <w:t>M</w:t>
            </w:r>
          </w:p>
        </w:tc>
        <w:tc>
          <w:tcPr>
            <w:tcW w:w="4252" w:type="dxa"/>
            <w:tcBorders/>
            <w:vAlign w:val="center"/>
          </w:tcPr>
          <w:p>
            <w:pPr>
              <w:pStyle w:val="style0"/>
              <w:spacing w:before="0"/>
              <w:rPr>
                <w:rFonts w:ascii="Arial" w:cs="Arial" w:hAnsi="Arial"/>
              </w:rPr>
            </w:pPr>
            <w:r>
              <w:rPr>
                <w:rFonts w:ascii="Arial" w:cs="Arial" w:hAnsi="Arial"/>
              </w:rPr>
              <w:t>DPVC/ Directeur</w:t>
            </w:r>
          </w:p>
        </w:tc>
        <w:tc>
          <w:tcPr>
            <w:tcW w:w="2268" w:type="dxa"/>
            <w:tcBorders/>
            <w:vAlign w:val="center"/>
          </w:tcPr>
          <w:p>
            <w:pPr>
              <w:pStyle w:val="style0"/>
              <w:spacing w:before="0"/>
              <w:jc w:val="center"/>
              <w:rPr>
                <w:rFonts w:ascii="Arial" w:cs="Arial" w:hAnsi="Arial"/>
              </w:rPr>
            </w:pPr>
            <w:r>
              <w:rPr>
                <w:rFonts w:ascii="Arial" w:cs="Arial" w:hAnsi="Arial"/>
              </w:rPr>
              <w:t>70 28 50 01</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24</w:t>
            </w:r>
          </w:p>
        </w:tc>
        <w:tc>
          <w:tcPr>
            <w:tcW w:w="3748" w:type="dxa"/>
            <w:tcBorders/>
            <w:vAlign w:val="center"/>
          </w:tcPr>
          <w:p>
            <w:pPr>
              <w:pStyle w:val="style0"/>
              <w:spacing w:before="0"/>
              <w:rPr>
                <w:rFonts w:ascii="Arial" w:cs="Arial" w:hAnsi="Arial"/>
              </w:rPr>
            </w:pPr>
            <w:r>
              <w:rPr>
                <w:rFonts w:ascii="Arial" w:cs="Arial" w:hAnsi="Arial"/>
              </w:rPr>
              <w:t>OUADRAOGO Dominique</w:t>
            </w:r>
          </w:p>
        </w:tc>
        <w:tc>
          <w:tcPr>
            <w:tcW w:w="1101" w:type="dxa"/>
            <w:tcBorders/>
            <w:vAlign w:val="center"/>
          </w:tcPr>
          <w:p>
            <w:pPr>
              <w:pStyle w:val="style0"/>
              <w:spacing w:before="0"/>
              <w:jc w:val="center"/>
              <w:rPr>
                <w:rFonts w:ascii="Arial" w:cs="Arial" w:hAnsi="Arial"/>
              </w:rPr>
            </w:pPr>
            <w:r>
              <w:rPr>
                <w:rFonts w:ascii="Arial" w:cs="Arial" w:hAnsi="Arial"/>
              </w:rPr>
              <w:t>M</w:t>
            </w:r>
          </w:p>
        </w:tc>
        <w:tc>
          <w:tcPr>
            <w:tcW w:w="4252" w:type="dxa"/>
            <w:tcBorders/>
            <w:vAlign w:val="center"/>
          </w:tcPr>
          <w:p>
            <w:pPr>
              <w:pStyle w:val="style0"/>
              <w:spacing w:before="0"/>
              <w:rPr>
                <w:rFonts w:ascii="Arial" w:cs="Arial" w:hAnsi="Arial"/>
              </w:rPr>
            </w:pPr>
            <w:r>
              <w:rPr>
                <w:rFonts w:ascii="Arial" w:cs="Arial" w:hAnsi="Arial"/>
              </w:rPr>
              <w:t>DPVC/ service pesticide</w:t>
            </w:r>
          </w:p>
        </w:tc>
        <w:tc>
          <w:tcPr>
            <w:tcW w:w="2268" w:type="dxa"/>
            <w:tcBorders/>
            <w:vAlign w:val="center"/>
          </w:tcPr>
          <w:p>
            <w:pPr>
              <w:pStyle w:val="style0"/>
              <w:spacing w:before="0"/>
              <w:jc w:val="center"/>
              <w:rPr>
                <w:rFonts w:ascii="Arial" w:cs="Arial" w:hAnsi="Arial"/>
              </w:rPr>
            </w:pPr>
            <w:r>
              <w:rPr>
                <w:rFonts w:ascii="Arial" w:cs="Arial" w:hAnsi="Arial"/>
              </w:rPr>
              <w:t>70 63 64 67</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25</w:t>
            </w:r>
          </w:p>
        </w:tc>
        <w:tc>
          <w:tcPr>
            <w:tcW w:w="3748" w:type="dxa"/>
            <w:tcBorders/>
            <w:vAlign w:val="center"/>
          </w:tcPr>
          <w:p>
            <w:pPr>
              <w:pStyle w:val="style0"/>
              <w:spacing w:before="0"/>
              <w:rPr>
                <w:rFonts w:ascii="Arial" w:cs="Arial" w:hAnsi="Arial"/>
              </w:rPr>
            </w:pPr>
            <w:r>
              <w:rPr>
                <w:rFonts w:ascii="Arial" w:cs="Arial" w:hAnsi="Arial"/>
              </w:rPr>
              <w:t>SAWADOGO Dramane Cheick</w:t>
            </w:r>
          </w:p>
        </w:tc>
        <w:tc>
          <w:tcPr>
            <w:tcW w:w="1101" w:type="dxa"/>
            <w:tcBorders/>
            <w:vAlign w:val="center"/>
          </w:tcPr>
          <w:p>
            <w:pPr>
              <w:pStyle w:val="style0"/>
              <w:spacing w:before="0"/>
              <w:jc w:val="center"/>
              <w:rPr>
                <w:rFonts w:ascii="Arial" w:cs="Arial" w:hAnsi="Arial"/>
              </w:rPr>
            </w:pPr>
            <w:r>
              <w:rPr>
                <w:rFonts w:ascii="Arial" w:cs="Arial" w:hAnsi="Arial"/>
              </w:rPr>
              <w:t>M</w:t>
            </w:r>
          </w:p>
        </w:tc>
        <w:tc>
          <w:tcPr>
            <w:tcW w:w="4252" w:type="dxa"/>
            <w:tcBorders/>
            <w:vAlign w:val="center"/>
          </w:tcPr>
          <w:p>
            <w:pPr>
              <w:pStyle w:val="style0"/>
              <w:spacing w:before="0"/>
              <w:rPr>
                <w:rFonts w:ascii="Arial" w:cs="Arial" w:hAnsi="Arial"/>
              </w:rPr>
            </w:pPr>
            <w:r>
              <w:rPr>
                <w:rFonts w:ascii="Arial" w:cs="Arial" w:hAnsi="Arial"/>
              </w:rPr>
              <w:t>BUNEE/Directeur des Evaluation stratégiques</w:t>
            </w:r>
          </w:p>
        </w:tc>
        <w:tc>
          <w:tcPr>
            <w:tcW w:w="2268" w:type="dxa"/>
            <w:tcBorders/>
            <w:vAlign w:val="center"/>
          </w:tcPr>
          <w:p>
            <w:pPr>
              <w:pStyle w:val="style0"/>
              <w:spacing w:before="0"/>
              <w:jc w:val="center"/>
              <w:rPr>
                <w:rFonts w:ascii="Arial" w:cs="Arial" w:hAnsi="Arial"/>
              </w:rPr>
            </w:pPr>
            <w:r>
              <w:rPr>
                <w:rFonts w:ascii="Arial" w:cs="Arial" w:hAnsi="Arial"/>
              </w:rPr>
              <w:t>70 58 16 45</w:t>
            </w:r>
          </w:p>
          <w:p>
            <w:pPr>
              <w:pStyle w:val="style0"/>
              <w:spacing w:before="0"/>
              <w:jc w:val="center"/>
              <w:rPr>
                <w:rFonts w:ascii="Arial" w:cs="Arial" w:hAnsi="Arial"/>
              </w:rPr>
            </w:pPr>
            <w:r>
              <w:rPr>
                <w:rFonts w:ascii="Arial" w:cs="Arial" w:hAnsi="Arial"/>
              </w:rPr>
              <w:t>78 11 37 72</w:t>
            </w:r>
          </w:p>
        </w:tc>
        <w:tc>
          <w:tcPr>
            <w:tcW w:w="2693" w:type="dxa"/>
            <w:tcBorders/>
            <w:vAlign w:val="center"/>
          </w:tcPr>
          <w:p>
            <w:pPr>
              <w:pStyle w:val="style0"/>
              <w:spacing w:before="0"/>
              <w:jc w:val="center"/>
              <w:rPr>
                <w:rFonts w:ascii="Arial" w:cs="Arial" w:hAnsi="Arial"/>
              </w:rPr>
            </w:pPr>
          </w:p>
        </w:tc>
      </w:tr>
    </w:tbl>
    <w:p>
      <w:pPr>
        <w:pStyle w:val="style0"/>
        <w:rPr>
          <w:rFonts w:ascii="Arial" w:cs="Arial" w:hAnsi="Arial"/>
          <w:sz w:val="20"/>
        </w:rPr>
      </w:pPr>
    </w:p>
    <w:p>
      <w:pPr>
        <w:pStyle w:val="style0"/>
        <w:spacing w:before="0"/>
        <w:jc w:val="center"/>
        <w:rPr>
          <w:rFonts w:ascii="Arial" w:cs="Arial" w:hAnsi="Arial"/>
          <w:b/>
        </w:rPr>
      </w:pPr>
    </w:p>
    <w:p>
      <w:pPr>
        <w:pStyle w:val="style0"/>
        <w:spacing w:before="0"/>
        <w:jc w:val="center"/>
        <w:rPr>
          <w:rFonts w:ascii="Arial" w:cs="Arial" w:hAnsi="Arial"/>
          <w:b/>
          <w:u w:val="dotted"/>
        </w:rPr>
      </w:pPr>
      <w:r>
        <w:rPr>
          <w:rFonts w:ascii="Arial" w:cs="Arial" w:hAnsi="Arial"/>
          <w:b/>
        </w:rPr>
        <w:t xml:space="preserve">  </w:t>
      </w:r>
      <w:r>
        <w:rPr>
          <w:rFonts w:ascii="Arial" w:cs="Arial" w:hAnsi="Arial"/>
          <w:b/>
          <w:u w:val="dotted"/>
        </w:rPr>
        <w:t>INTITULE DU PROJET/PROGRAMME</w:t>
      </w:r>
      <w:r>
        <w:rPr>
          <w:rFonts w:ascii="Arial" w:cs="Arial" w:hAnsi="Arial"/>
          <w:b/>
        </w:rPr>
        <w:t xml:space="preserve"> : </w:t>
      </w:r>
      <w:r>
        <w:rPr>
          <w:rFonts w:ascii="Arial" w:cs="Arial" w:hAnsi="Arial"/>
          <w:b/>
          <w:u w:val="dotted"/>
        </w:rPr>
        <w:t>PROGRAMME DE DEVELOPPEMENT ET DE COMPETITIVITE AGRICOLE (PDCA)</w:t>
      </w:r>
    </w:p>
    <w:p>
      <w:pPr>
        <w:pStyle w:val="style0"/>
        <w:spacing w:before="0"/>
        <w:rPr>
          <w:rFonts w:ascii="Arial" w:cs="Arial" w:hAnsi="Arial"/>
          <w:b/>
        </w:rPr>
      </w:pPr>
    </w:p>
    <w:p>
      <w:pPr>
        <w:pStyle w:val="style0"/>
        <w:spacing w:before="0"/>
        <w:jc w:val="center"/>
        <w:rPr>
          <w:rFonts w:ascii="Arial" w:cs="Arial" w:hAnsi="Arial"/>
          <w:b/>
          <w:sz w:val="18"/>
        </w:rPr>
      </w:pPr>
      <w:r>
        <w:rPr>
          <w:rFonts w:ascii="Arial" w:cs="Arial" w:hAnsi="Arial"/>
          <w:b/>
          <w:sz w:val="18"/>
        </w:rPr>
        <w:t>LISTE DES PARTICIPANTS AUX SEANCES DE CONSULTATIONS PUBLIQUES EN VUE DE L’ELABORATION DU CGES/PGPP</w:t>
      </w:r>
      <w:r>
        <w:rPr>
          <w:rFonts w:ascii="Arial" w:cs="Arial" w:hAnsi="Arial"/>
          <w:b/>
          <w:sz w:val="18"/>
        </w:rPr>
        <w:t>/CPR</w:t>
      </w:r>
    </w:p>
    <w:p>
      <w:pPr>
        <w:pStyle w:val="style0"/>
        <w:spacing w:before="0"/>
        <w:rPr>
          <w:rFonts w:ascii="Arial" w:cs="Arial" w:hAnsi="Arial"/>
          <w:b/>
          <w:sz w:val="20"/>
        </w:rPr>
      </w:pPr>
      <w:r>
        <w:rPr>
          <w:rFonts w:ascii="Arial" w:cs="Arial" w:hAnsi="Arial"/>
          <w:b/>
          <w:sz w:val="20"/>
        </w:rPr>
        <w:t xml:space="preserve">Région : </w:t>
      </w:r>
      <w:r>
        <w:rPr>
          <w:rFonts w:ascii="Arial" w:cs="Arial" w:hAnsi="Arial"/>
          <w:b/>
          <w:sz w:val="20"/>
          <w:u w:val="dotted"/>
        </w:rPr>
        <w:t>CASCCADES</w:t>
      </w:r>
      <w:r>
        <w:rPr>
          <w:rFonts w:ascii="Arial" w:cs="Arial" w:hAnsi="Arial"/>
          <w:b/>
          <w:sz w:val="20"/>
        </w:rPr>
        <w:t>…………………………</w:t>
      </w:r>
      <w:r>
        <w:rPr>
          <w:rFonts w:ascii="Arial" w:cs="Arial" w:hAnsi="Arial"/>
          <w:b/>
          <w:sz w:val="20"/>
          <w:u w:val="dotted"/>
        </w:rPr>
        <w:t>Province</w:t>
      </w:r>
      <w:r>
        <w:rPr>
          <w:rFonts w:ascii="Arial" w:cs="Arial" w:hAnsi="Arial"/>
          <w:b/>
          <w:sz w:val="20"/>
        </w:rPr>
        <w:t xml:space="preserve"> : </w:t>
      </w:r>
      <w:r>
        <w:rPr>
          <w:rFonts w:ascii="Arial" w:cs="Arial" w:hAnsi="Arial"/>
          <w:b/>
          <w:sz w:val="20"/>
          <w:u w:val="dotted"/>
        </w:rPr>
        <w:t>LERABA</w:t>
      </w:r>
      <w:r>
        <w:rPr>
          <w:rFonts w:ascii="Arial" w:cs="Arial" w:hAnsi="Arial"/>
          <w:b/>
          <w:sz w:val="20"/>
        </w:rPr>
        <w:t>…………………………….</w:t>
      </w:r>
      <w:r>
        <w:rPr>
          <w:rFonts w:ascii="Arial" w:cs="Arial" w:hAnsi="Arial"/>
          <w:b/>
          <w:sz w:val="20"/>
          <w:u w:val="dotted"/>
        </w:rPr>
        <w:t>Commune</w:t>
      </w:r>
      <w:r>
        <w:rPr>
          <w:rFonts w:ascii="Arial" w:cs="Arial" w:hAnsi="Arial"/>
          <w:b/>
          <w:sz w:val="20"/>
        </w:rPr>
        <w:t xml:space="preserve"> : </w:t>
      </w:r>
      <w:r>
        <w:rPr>
          <w:rFonts w:ascii="Arial" w:cs="Arial" w:hAnsi="Arial"/>
          <w:b/>
          <w:sz w:val="20"/>
          <w:u w:val="dotted"/>
        </w:rPr>
        <w:t>SINDOU/DOUNA</w:t>
      </w:r>
      <w:r>
        <w:rPr>
          <w:rFonts w:ascii="Arial" w:cs="Arial" w:hAnsi="Arial"/>
          <w:b/>
          <w:sz w:val="20"/>
        </w:rPr>
        <w:t>…………………………..</w:t>
      </w:r>
    </w:p>
    <w:p>
      <w:pPr>
        <w:pStyle w:val="style0"/>
        <w:spacing w:before="0"/>
        <w:rPr>
          <w:rFonts w:ascii="Arial" w:cs="Arial" w:hAnsi="Arial"/>
          <w:b/>
          <w:sz w:val="20"/>
        </w:rPr>
      </w:pPr>
      <w:r>
        <w:rPr>
          <w:rFonts w:ascii="Arial" w:cs="Arial" w:hAnsi="Arial"/>
          <w:b/>
          <w:sz w:val="20"/>
        </w:rPr>
        <w:t xml:space="preserve">Village : </w:t>
      </w:r>
      <w:r>
        <w:rPr>
          <w:rFonts w:ascii="Arial" w:cs="Arial" w:hAnsi="Arial"/>
          <w:b/>
          <w:sz w:val="20"/>
          <w:u w:val="dotted"/>
        </w:rPr>
        <w:t>SINDOU/DOUNA</w:t>
      </w:r>
      <w:r>
        <w:rPr>
          <w:rFonts w:ascii="Arial" w:cs="Arial" w:hAnsi="Arial"/>
          <w:b/>
          <w:sz w:val="20"/>
        </w:rPr>
        <w:t xml:space="preserve">………………………….Date : </w:t>
      </w:r>
      <w:r>
        <w:rPr>
          <w:rFonts w:ascii="Arial" w:cs="Arial" w:hAnsi="Arial"/>
          <w:b/>
          <w:sz w:val="20"/>
          <w:u w:val="dotted"/>
        </w:rPr>
        <w:t>07+08/01/2019</w:t>
      </w:r>
      <w:r>
        <w:rPr>
          <w:rFonts w:ascii="Arial" w:cs="Arial" w:hAnsi="Arial"/>
          <w:b/>
          <w:sz w:val="20"/>
        </w:rPr>
        <w:t>…………………Groupes cibles : Services techniques, Mairie/Préfectures…</w:t>
      </w:r>
    </w:p>
    <w:tbl>
      <w:tblPr>
        <w:tblStyle w:val="style154"/>
        <w:tblW w:w="14425" w:type="dxa"/>
        <w:tblLayout w:type="fixed"/>
        <w:tblLook w:val="04A0" w:firstRow="1" w:lastRow="0" w:firstColumn="1" w:lastColumn="0" w:noHBand="0" w:noVBand="1"/>
      </w:tblPr>
      <w:tblGrid>
        <w:gridCol w:w="619"/>
        <w:gridCol w:w="4962"/>
        <w:gridCol w:w="777"/>
        <w:gridCol w:w="4326"/>
        <w:gridCol w:w="1785"/>
        <w:gridCol w:w="1956"/>
      </w:tblGrid>
      <w:tr>
        <w:trPr>
          <w:tblHeader/>
        </w:trPr>
        <w:tc>
          <w:tcPr>
            <w:tcW w:w="619" w:type="dxa"/>
            <w:tcBorders/>
            <w:vAlign w:val="center"/>
          </w:tcPr>
          <w:p>
            <w:pPr>
              <w:pStyle w:val="style0"/>
              <w:spacing w:before="0"/>
              <w:jc w:val="center"/>
              <w:rPr>
                <w:rFonts w:ascii="Arial" w:cs="Arial" w:hAnsi="Arial"/>
                <w:b/>
              </w:rPr>
            </w:pPr>
            <w:r>
              <w:rPr>
                <w:rFonts w:ascii="Arial" w:cs="Arial" w:hAnsi="Arial"/>
                <w:b/>
              </w:rPr>
              <w:t>N°</w:t>
            </w:r>
          </w:p>
        </w:tc>
        <w:tc>
          <w:tcPr>
            <w:tcW w:w="4962" w:type="dxa"/>
            <w:tcBorders/>
            <w:vAlign w:val="center"/>
          </w:tcPr>
          <w:p>
            <w:pPr>
              <w:pStyle w:val="style0"/>
              <w:spacing w:before="0"/>
              <w:jc w:val="center"/>
              <w:rPr>
                <w:rFonts w:ascii="Arial" w:cs="Arial" w:hAnsi="Arial"/>
                <w:b/>
              </w:rPr>
            </w:pPr>
            <w:r>
              <w:rPr>
                <w:rFonts w:ascii="Arial" w:cs="Arial" w:hAnsi="Arial"/>
                <w:b/>
              </w:rPr>
              <w:t>Nom et prénom (s)</w:t>
            </w:r>
          </w:p>
        </w:tc>
        <w:tc>
          <w:tcPr>
            <w:tcW w:w="777" w:type="dxa"/>
            <w:tcBorders/>
            <w:vAlign w:val="center"/>
          </w:tcPr>
          <w:p>
            <w:pPr>
              <w:pStyle w:val="style0"/>
              <w:spacing w:before="0"/>
              <w:jc w:val="center"/>
              <w:rPr>
                <w:rFonts w:ascii="Arial" w:cs="Arial" w:hAnsi="Arial"/>
                <w:b/>
              </w:rPr>
            </w:pPr>
            <w:r>
              <w:rPr>
                <w:rFonts w:ascii="Arial" w:cs="Arial" w:hAnsi="Arial"/>
                <w:b/>
              </w:rPr>
              <w:t>Sexe</w:t>
            </w:r>
          </w:p>
        </w:tc>
        <w:tc>
          <w:tcPr>
            <w:tcW w:w="4326" w:type="dxa"/>
            <w:tcBorders/>
            <w:vAlign w:val="center"/>
          </w:tcPr>
          <w:p>
            <w:pPr>
              <w:pStyle w:val="style0"/>
              <w:spacing w:before="0"/>
              <w:jc w:val="center"/>
              <w:rPr>
                <w:rFonts w:ascii="Arial" w:cs="Arial" w:hAnsi="Arial"/>
                <w:b/>
              </w:rPr>
            </w:pPr>
            <w:r>
              <w:rPr>
                <w:rFonts w:ascii="Arial" w:cs="Arial" w:hAnsi="Arial"/>
                <w:b/>
              </w:rPr>
              <w:t>Profession</w:t>
            </w:r>
          </w:p>
        </w:tc>
        <w:tc>
          <w:tcPr>
            <w:tcW w:w="1785" w:type="dxa"/>
            <w:tcBorders/>
            <w:vAlign w:val="center"/>
          </w:tcPr>
          <w:p>
            <w:pPr>
              <w:pStyle w:val="style0"/>
              <w:spacing w:before="0"/>
              <w:jc w:val="center"/>
              <w:rPr>
                <w:rFonts w:ascii="Arial" w:cs="Arial" w:hAnsi="Arial"/>
                <w:b/>
              </w:rPr>
            </w:pPr>
            <w:r>
              <w:rPr>
                <w:rFonts w:ascii="Arial" w:cs="Arial" w:hAnsi="Arial"/>
                <w:b/>
              </w:rPr>
              <w:t>Téléphone</w:t>
            </w:r>
          </w:p>
        </w:tc>
        <w:tc>
          <w:tcPr>
            <w:tcW w:w="1956" w:type="dxa"/>
            <w:tcBorders/>
            <w:vAlign w:val="center"/>
          </w:tcPr>
          <w:p>
            <w:pPr>
              <w:pStyle w:val="style0"/>
              <w:spacing w:before="0"/>
              <w:jc w:val="center"/>
              <w:rPr>
                <w:rFonts w:ascii="Arial" w:cs="Arial" w:hAnsi="Arial"/>
                <w:b/>
              </w:rPr>
            </w:pPr>
            <w:r>
              <w:rPr>
                <w:rFonts w:ascii="Arial" w:cs="Arial" w:hAnsi="Arial"/>
                <w:b/>
              </w:rPr>
              <w:t>Signature/Empreinte</w:t>
            </w:r>
          </w:p>
        </w:tc>
      </w:tr>
      <w:tr>
        <w:tblPrEx/>
        <w:trPr/>
        <w:tc>
          <w:tcPr>
            <w:tcW w:w="619" w:type="dxa"/>
            <w:tcBorders/>
            <w:vAlign w:val="center"/>
          </w:tcPr>
          <w:p>
            <w:pPr>
              <w:pStyle w:val="style0"/>
              <w:spacing w:before="0"/>
              <w:jc w:val="center"/>
              <w:rPr>
                <w:rFonts w:ascii="Arial" w:cs="Arial" w:hAnsi="Arial"/>
              </w:rPr>
            </w:pPr>
            <w:r>
              <w:rPr>
                <w:rFonts w:ascii="Arial" w:cs="Arial" w:hAnsi="Arial"/>
              </w:rPr>
              <w:t>01</w:t>
            </w:r>
          </w:p>
        </w:tc>
        <w:tc>
          <w:tcPr>
            <w:tcW w:w="4962" w:type="dxa"/>
            <w:tcBorders/>
            <w:vAlign w:val="center"/>
          </w:tcPr>
          <w:p>
            <w:pPr>
              <w:pStyle w:val="style0"/>
              <w:spacing w:before="0"/>
              <w:rPr>
                <w:rFonts w:ascii="Arial" w:cs="Arial" w:hAnsi="Arial"/>
              </w:rPr>
            </w:pPr>
            <w:r>
              <w:rPr>
                <w:rFonts w:ascii="Arial" w:cs="Arial" w:hAnsi="Arial"/>
              </w:rPr>
              <w:t>TRAORE Louis</w:t>
            </w:r>
          </w:p>
        </w:tc>
        <w:tc>
          <w:tcPr>
            <w:tcW w:w="777" w:type="dxa"/>
            <w:tcBorders/>
          </w:tcPr>
          <w:p>
            <w:pPr>
              <w:pStyle w:val="style0"/>
              <w:spacing w:before="0"/>
              <w:jc w:val="center"/>
              <w:rPr/>
            </w:pPr>
            <w:r>
              <w:rPr>
                <w:rFonts w:ascii="Arial" w:cs="Arial" w:hAnsi="Arial"/>
              </w:rPr>
              <w:t>M</w:t>
            </w:r>
          </w:p>
        </w:tc>
        <w:tc>
          <w:tcPr>
            <w:tcW w:w="4326" w:type="dxa"/>
            <w:tcBorders/>
            <w:vAlign w:val="center"/>
          </w:tcPr>
          <w:p>
            <w:pPr>
              <w:pStyle w:val="style0"/>
              <w:spacing w:before="0"/>
              <w:rPr>
                <w:rFonts w:ascii="Arial" w:cs="Arial" w:hAnsi="Arial"/>
              </w:rPr>
            </w:pPr>
            <w:r>
              <w:rPr>
                <w:rFonts w:ascii="Arial" w:cs="Arial" w:hAnsi="Arial"/>
              </w:rPr>
              <w:t>DPAAH-LRB/Chef SPPER</w:t>
            </w:r>
          </w:p>
        </w:tc>
        <w:tc>
          <w:tcPr>
            <w:tcW w:w="1785" w:type="dxa"/>
            <w:tcBorders/>
            <w:vAlign w:val="center"/>
          </w:tcPr>
          <w:p>
            <w:pPr>
              <w:pStyle w:val="style0"/>
              <w:spacing w:before="0"/>
              <w:jc w:val="center"/>
              <w:rPr>
                <w:rFonts w:ascii="Arial" w:cs="Arial" w:hAnsi="Arial"/>
              </w:rPr>
            </w:pPr>
            <w:r>
              <w:rPr>
                <w:rFonts w:ascii="Arial" w:cs="Arial" w:hAnsi="Arial"/>
              </w:rPr>
              <w:t>70 30 33 18</w:t>
            </w:r>
          </w:p>
        </w:tc>
        <w:tc>
          <w:tcPr>
            <w:tcW w:w="1956" w:type="dxa"/>
            <w:tcBorders/>
            <w:vAlign w:val="center"/>
          </w:tcPr>
          <w:p>
            <w:pPr>
              <w:pStyle w:val="style0"/>
              <w:spacing w:before="0"/>
              <w:jc w:val="center"/>
              <w:rPr>
                <w:rFonts w:ascii="Arial" w:cs="Arial" w:hAnsi="Arial"/>
              </w:rPr>
            </w:pPr>
          </w:p>
        </w:tc>
      </w:tr>
      <w:tr>
        <w:tblPrEx/>
        <w:trPr/>
        <w:tc>
          <w:tcPr>
            <w:tcW w:w="619" w:type="dxa"/>
            <w:tcBorders/>
            <w:vAlign w:val="center"/>
          </w:tcPr>
          <w:p>
            <w:pPr>
              <w:pStyle w:val="style0"/>
              <w:spacing w:before="0"/>
              <w:jc w:val="center"/>
              <w:rPr>
                <w:rFonts w:ascii="Arial" w:cs="Arial" w:hAnsi="Arial"/>
              </w:rPr>
            </w:pPr>
            <w:r>
              <w:rPr>
                <w:rFonts w:ascii="Arial" w:cs="Arial" w:hAnsi="Arial"/>
              </w:rPr>
              <w:t>02</w:t>
            </w:r>
          </w:p>
        </w:tc>
        <w:tc>
          <w:tcPr>
            <w:tcW w:w="4962" w:type="dxa"/>
            <w:tcBorders/>
            <w:vAlign w:val="center"/>
          </w:tcPr>
          <w:p>
            <w:pPr>
              <w:pStyle w:val="style0"/>
              <w:spacing w:before="0"/>
              <w:rPr>
                <w:rFonts w:ascii="Arial" w:cs="Arial" w:hAnsi="Arial"/>
              </w:rPr>
            </w:pPr>
            <w:r>
              <w:rPr>
                <w:rFonts w:ascii="Arial" w:cs="Arial" w:hAnsi="Arial"/>
              </w:rPr>
              <w:t>SERE Fousseni</w:t>
            </w:r>
          </w:p>
        </w:tc>
        <w:tc>
          <w:tcPr>
            <w:tcW w:w="777" w:type="dxa"/>
            <w:tcBorders/>
          </w:tcPr>
          <w:p>
            <w:pPr>
              <w:pStyle w:val="style0"/>
              <w:spacing w:before="0"/>
              <w:jc w:val="center"/>
              <w:rPr/>
            </w:pPr>
            <w:r>
              <w:rPr>
                <w:rFonts w:ascii="Arial" w:cs="Arial" w:hAnsi="Arial"/>
              </w:rPr>
              <w:t>M</w:t>
            </w:r>
          </w:p>
        </w:tc>
        <w:tc>
          <w:tcPr>
            <w:tcW w:w="4326" w:type="dxa"/>
            <w:tcBorders/>
            <w:vAlign w:val="center"/>
          </w:tcPr>
          <w:p>
            <w:pPr>
              <w:pStyle w:val="style0"/>
              <w:spacing w:before="0"/>
              <w:rPr>
                <w:rFonts w:ascii="Arial" w:cs="Arial" w:hAnsi="Arial"/>
              </w:rPr>
            </w:pPr>
            <w:r>
              <w:rPr>
                <w:rFonts w:ascii="Arial" w:cs="Arial" w:hAnsi="Arial"/>
              </w:rPr>
              <w:t>DPAAH-LRB/Agent SPFOMR</w:t>
            </w:r>
          </w:p>
        </w:tc>
        <w:tc>
          <w:tcPr>
            <w:tcW w:w="1785" w:type="dxa"/>
            <w:tcBorders/>
            <w:vAlign w:val="center"/>
          </w:tcPr>
          <w:p>
            <w:pPr>
              <w:pStyle w:val="style0"/>
              <w:spacing w:before="0"/>
              <w:jc w:val="center"/>
              <w:rPr>
                <w:rFonts w:ascii="Arial" w:cs="Arial" w:hAnsi="Arial"/>
              </w:rPr>
            </w:pPr>
            <w:r>
              <w:rPr>
                <w:rFonts w:ascii="Arial" w:cs="Arial" w:hAnsi="Arial"/>
              </w:rPr>
              <w:t>70 02 03 67</w:t>
            </w:r>
          </w:p>
        </w:tc>
        <w:tc>
          <w:tcPr>
            <w:tcW w:w="1956" w:type="dxa"/>
            <w:tcBorders/>
            <w:vAlign w:val="center"/>
          </w:tcPr>
          <w:p>
            <w:pPr>
              <w:pStyle w:val="style0"/>
              <w:spacing w:before="0"/>
              <w:jc w:val="center"/>
              <w:rPr>
                <w:rFonts w:ascii="Arial" w:cs="Arial" w:hAnsi="Arial"/>
              </w:rPr>
            </w:pPr>
          </w:p>
        </w:tc>
      </w:tr>
      <w:tr>
        <w:tblPrEx/>
        <w:trPr/>
        <w:tc>
          <w:tcPr>
            <w:tcW w:w="619" w:type="dxa"/>
            <w:tcBorders/>
            <w:vAlign w:val="center"/>
          </w:tcPr>
          <w:p>
            <w:pPr>
              <w:pStyle w:val="style0"/>
              <w:spacing w:before="0"/>
              <w:jc w:val="center"/>
              <w:rPr>
                <w:rFonts w:ascii="Arial" w:cs="Arial" w:hAnsi="Arial"/>
              </w:rPr>
            </w:pPr>
            <w:r>
              <w:rPr>
                <w:rFonts w:ascii="Arial" w:cs="Arial" w:hAnsi="Arial"/>
              </w:rPr>
              <w:t>03</w:t>
            </w:r>
          </w:p>
        </w:tc>
        <w:tc>
          <w:tcPr>
            <w:tcW w:w="4962" w:type="dxa"/>
            <w:tcBorders/>
            <w:vAlign w:val="center"/>
          </w:tcPr>
          <w:p>
            <w:pPr>
              <w:pStyle w:val="style0"/>
              <w:spacing w:before="0"/>
              <w:rPr>
                <w:rFonts w:ascii="Arial" w:cs="Arial" w:hAnsi="Arial"/>
              </w:rPr>
            </w:pPr>
            <w:r>
              <w:rPr>
                <w:rFonts w:ascii="Arial" w:cs="Arial" w:hAnsi="Arial"/>
              </w:rPr>
              <w:t>KIENTEGA/OUEDRAOGO Adjara</w:t>
            </w:r>
          </w:p>
        </w:tc>
        <w:tc>
          <w:tcPr>
            <w:tcW w:w="777" w:type="dxa"/>
            <w:tcBorders/>
          </w:tcPr>
          <w:p>
            <w:pPr>
              <w:pStyle w:val="style0"/>
              <w:spacing w:before="0"/>
              <w:jc w:val="center"/>
              <w:rPr/>
            </w:pPr>
            <w:r>
              <w:rPr>
                <w:rFonts w:ascii="Arial" w:cs="Arial" w:hAnsi="Arial"/>
              </w:rPr>
              <w:t>F</w:t>
            </w:r>
          </w:p>
        </w:tc>
        <w:tc>
          <w:tcPr>
            <w:tcW w:w="4326" w:type="dxa"/>
            <w:tcBorders/>
            <w:vAlign w:val="center"/>
          </w:tcPr>
          <w:p>
            <w:pPr>
              <w:pStyle w:val="style0"/>
              <w:spacing w:before="0"/>
              <w:rPr>
                <w:rFonts w:ascii="Arial" w:cs="Arial" w:hAnsi="Arial"/>
              </w:rPr>
            </w:pPr>
            <w:r>
              <w:rPr>
                <w:rFonts w:ascii="Arial" w:cs="Arial" w:hAnsi="Arial"/>
              </w:rPr>
              <w:t>HAUT-COMMISSAIRE LERABA</w:t>
            </w:r>
          </w:p>
        </w:tc>
        <w:tc>
          <w:tcPr>
            <w:tcW w:w="1785" w:type="dxa"/>
            <w:tcBorders/>
            <w:vAlign w:val="center"/>
          </w:tcPr>
          <w:p>
            <w:pPr>
              <w:pStyle w:val="style0"/>
              <w:spacing w:before="0"/>
              <w:jc w:val="center"/>
              <w:rPr>
                <w:rFonts w:ascii="Arial" w:cs="Arial" w:hAnsi="Arial"/>
              </w:rPr>
            </w:pPr>
            <w:r>
              <w:rPr>
                <w:rFonts w:ascii="Arial" w:cs="Arial" w:hAnsi="Arial"/>
              </w:rPr>
              <w:t>60 74 44 37</w:t>
            </w:r>
          </w:p>
        </w:tc>
        <w:tc>
          <w:tcPr>
            <w:tcW w:w="1956" w:type="dxa"/>
            <w:tcBorders/>
            <w:vAlign w:val="center"/>
          </w:tcPr>
          <w:p>
            <w:pPr>
              <w:pStyle w:val="style0"/>
              <w:spacing w:before="0"/>
              <w:jc w:val="center"/>
              <w:rPr>
                <w:rFonts w:ascii="Arial" w:cs="Arial" w:hAnsi="Arial"/>
              </w:rPr>
            </w:pPr>
          </w:p>
        </w:tc>
      </w:tr>
      <w:tr>
        <w:tblPrEx/>
        <w:trPr/>
        <w:tc>
          <w:tcPr>
            <w:tcW w:w="619" w:type="dxa"/>
            <w:tcBorders/>
            <w:vAlign w:val="center"/>
          </w:tcPr>
          <w:p>
            <w:pPr>
              <w:pStyle w:val="style0"/>
              <w:spacing w:before="0"/>
              <w:jc w:val="center"/>
              <w:rPr>
                <w:rFonts w:ascii="Arial" w:cs="Arial" w:hAnsi="Arial"/>
              </w:rPr>
            </w:pPr>
            <w:r>
              <w:rPr>
                <w:rFonts w:ascii="Arial" w:cs="Arial" w:hAnsi="Arial"/>
              </w:rPr>
              <w:t>04</w:t>
            </w:r>
          </w:p>
        </w:tc>
        <w:tc>
          <w:tcPr>
            <w:tcW w:w="4962" w:type="dxa"/>
            <w:tcBorders/>
            <w:vAlign w:val="center"/>
          </w:tcPr>
          <w:p>
            <w:pPr>
              <w:pStyle w:val="style0"/>
              <w:spacing w:before="0"/>
              <w:rPr>
                <w:rFonts w:ascii="Arial" w:cs="Arial" w:hAnsi="Arial"/>
              </w:rPr>
            </w:pPr>
            <w:r>
              <w:rPr>
                <w:rFonts w:ascii="Arial" w:cs="Arial" w:hAnsi="Arial"/>
              </w:rPr>
              <w:t>MILLOGO Moussa</w:t>
            </w:r>
          </w:p>
        </w:tc>
        <w:tc>
          <w:tcPr>
            <w:tcW w:w="777" w:type="dxa"/>
            <w:tcBorders/>
          </w:tcPr>
          <w:p>
            <w:pPr>
              <w:pStyle w:val="style0"/>
              <w:spacing w:before="0"/>
              <w:jc w:val="center"/>
              <w:rPr/>
            </w:pPr>
            <w:r>
              <w:rPr>
                <w:rFonts w:ascii="Arial" w:cs="Arial" w:hAnsi="Arial"/>
              </w:rPr>
              <w:t>M</w:t>
            </w:r>
          </w:p>
        </w:tc>
        <w:tc>
          <w:tcPr>
            <w:tcW w:w="4326" w:type="dxa"/>
            <w:tcBorders/>
            <w:vAlign w:val="center"/>
          </w:tcPr>
          <w:p>
            <w:pPr>
              <w:pStyle w:val="style0"/>
              <w:spacing w:before="0"/>
              <w:rPr>
                <w:rFonts w:ascii="Arial" w:cs="Arial" w:hAnsi="Arial"/>
              </w:rPr>
            </w:pPr>
            <w:r>
              <w:rPr>
                <w:rFonts w:ascii="Arial" w:cs="Arial" w:hAnsi="Arial"/>
              </w:rPr>
              <w:t>DPRAH-LERABA</w:t>
            </w:r>
          </w:p>
        </w:tc>
        <w:tc>
          <w:tcPr>
            <w:tcW w:w="1785" w:type="dxa"/>
            <w:tcBorders/>
            <w:vAlign w:val="center"/>
          </w:tcPr>
          <w:p>
            <w:pPr>
              <w:pStyle w:val="style0"/>
              <w:spacing w:before="0"/>
              <w:jc w:val="center"/>
              <w:rPr>
                <w:rFonts w:ascii="Arial" w:cs="Arial" w:hAnsi="Arial"/>
              </w:rPr>
            </w:pPr>
            <w:r>
              <w:rPr>
                <w:rFonts w:ascii="Arial" w:cs="Arial" w:hAnsi="Arial"/>
              </w:rPr>
              <w:t>70 06 31 45</w:t>
            </w:r>
          </w:p>
        </w:tc>
        <w:tc>
          <w:tcPr>
            <w:tcW w:w="1956" w:type="dxa"/>
            <w:tcBorders/>
            <w:vAlign w:val="center"/>
          </w:tcPr>
          <w:p>
            <w:pPr>
              <w:pStyle w:val="style0"/>
              <w:spacing w:before="0"/>
              <w:jc w:val="center"/>
              <w:rPr>
                <w:rFonts w:ascii="Arial" w:cs="Arial" w:hAnsi="Arial"/>
              </w:rPr>
            </w:pPr>
          </w:p>
        </w:tc>
      </w:tr>
      <w:tr>
        <w:tblPrEx/>
        <w:trPr/>
        <w:tc>
          <w:tcPr>
            <w:tcW w:w="619" w:type="dxa"/>
            <w:tcBorders/>
            <w:vAlign w:val="center"/>
          </w:tcPr>
          <w:p>
            <w:pPr>
              <w:pStyle w:val="style0"/>
              <w:spacing w:before="0"/>
              <w:jc w:val="center"/>
              <w:rPr>
                <w:rFonts w:ascii="Arial" w:cs="Arial" w:hAnsi="Arial"/>
              </w:rPr>
            </w:pPr>
            <w:r>
              <w:rPr>
                <w:rFonts w:ascii="Arial" w:cs="Arial" w:hAnsi="Arial"/>
              </w:rPr>
              <w:t>05</w:t>
            </w:r>
          </w:p>
        </w:tc>
        <w:tc>
          <w:tcPr>
            <w:tcW w:w="4962" w:type="dxa"/>
            <w:tcBorders/>
            <w:vAlign w:val="center"/>
          </w:tcPr>
          <w:p>
            <w:pPr>
              <w:pStyle w:val="style0"/>
              <w:spacing w:before="0"/>
              <w:rPr>
                <w:rFonts w:ascii="Arial" w:cs="Arial" w:hAnsi="Arial"/>
              </w:rPr>
            </w:pPr>
            <w:r>
              <w:rPr>
                <w:rFonts w:ascii="Arial" w:cs="Arial" w:hAnsi="Arial"/>
              </w:rPr>
              <w:t>TRAORE Foé André Joseph Bonaventure</w:t>
            </w:r>
          </w:p>
        </w:tc>
        <w:tc>
          <w:tcPr>
            <w:tcW w:w="777" w:type="dxa"/>
            <w:tcBorders/>
          </w:tcPr>
          <w:p>
            <w:pPr>
              <w:pStyle w:val="style0"/>
              <w:spacing w:before="0"/>
              <w:jc w:val="center"/>
              <w:rPr/>
            </w:pPr>
            <w:r>
              <w:rPr>
                <w:rFonts w:ascii="Arial" w:cs="Arial" w:hAnsi="Arial"/>
              </w:rPr>
              <w:t>M</w:t>
            </w:r>
          </w:p>
        </w:tc>
        <w:tc>
          <w:tcPr>
            <w:tcW w:w="4326" w:type="dxa"/>
            <w:tcBorders/>
            <w:vAlign w:val="center"/>
          </w:tcPr>
          <w:p>
            <w:pPr>
              <w:pStyle w:val="style0"/>
              <w:spacing w:before="0"/>
              <w:rPr>
                <w:rFonts w:ascii="Arial" w:cs="Arial" w:hAnsi="Arial"/>
              </w:rPr>
            </w:pPr>
            <w:r>
              <w:rPr>
                <w:rFonts w:ascii="Arial" w:cs="Arial" w:hAnsi="Arial"/>
              </w:rPr>
              <w:t>DPEEVCC-LRB/Directeur Provincial</w:t>
            </w:r>
          </w:p>
        </w:tc>
        <w:tc>
          <w:tcPr>
            <w:tcW w:w="1785" w:type="dxa"/>
            <w:tcBorders/>
            <w:vAlign w:val="center"/>
          </w:tcPr>
          <w:p>
            <w:pPr>
              <w:pStyle w:val="style0"/>
              <w:spacing w:before="0"/>
              <w:jc w:val="center"/>
              <w:rPr>
                <w:rFonts w:ascii="Arial" w:cs="Arial" w:hAnsi="Arial"/>
              </w:rPr>
            </w:pPr>
            <w:r>
              <w:rPr>
                <w:rFonts w:ascii="Arial" w:cs="Arial" w:hAnsi="Arial"/>
              </w:rPr>
              <w:t>70 25 78 52</w:t>
            </w:r>
          </w:p>
        </w:tc>
        <w:tc>
          <w:tcPr>
            <w:tcW w:w="1956" w:type="dxa"/>
            <w:tcBorders/>
            <w:vAlign w:val="center"/>
          </w:tcPr>
          <w:p>
            <w:pPr>
              <w:pStyle w:val="style0"/>
              <w:spacing w:before="0"/>
              <w:jc w:val="center"/>
              <w:rPr>
                <w:rFonts w:ascii="Arial" w:cs="Arial" w:hAnsi="Arial"/>
              </w:rPr>
            </w:pPr>
          </w:p>
        </w:tc>
      </w:tr>
      <w:tr>
        <w:tblPrEx/>
        <w:trPr/>
        <w:tc>
          <w:tcPr>
            <w:tcW w:w="619" w:type="dxa"/>
            <w:tcBorders/>
            <w:vAlign w:val="center"/>
          </w:tcPr>
          <w:p>
            <w:pPr>
              <w:pStyle w:val="style0"/>
              <w:spacing w:before="0"/>
              <w:jc w:val="center"/>
              <w:rPr>
                <w:rFonts w:ascii="Arial" w:cs="Arial" w:hAnsi="Arial"/>
              </w:rPr>
            </w:pPr>
            <w:r>
              <w:rPr>
                <w:rFonts w:ascii="Arial" w:cs="Arial" w:hAnsi="Arial"/>
              </w:rPr>
              <w:t>06</w:t>
            </w:r>
          </w:p>
        </w:tc>
        <w:tc>
          <w:tcPr>
            <w:tcW w:w="4962" w:type="dxa"/>
            <w:tcBorders/>
            <w:vAlign w:val="center"/>
          </w:tcPr>
          <w:p>
            <w:pPr>
              <w:pStyle w:val="style0"/>
              <w:spacing w:before="0"/>
              <w:rPr>
                <w:rFonts w:ascii="Arial" w:cs="Arial" w:hAnsi="Arial"/>
              </w:rPr>
            </w:pPr>
            <w:r>
              <w:rPr>
                <w:rFonts w:ascii="Arial" w:cs="Arial" w:hAnsi="Arial"/>
              </w:rPr>
              <w:t>BARRY Ousmane</w:t>
            </w:r>
          </w:p>
        </w:tc>
        <w:tc>
          <w:tcPr>
            <w:tcW w:w="777" w:type="dxa"/>
            <w:tcBorders/>
          </w:tcPr>
          <w:p>
            <w:pPr>
              <w:pStyle w:val="style0"/>
              <w:spacing w:before="0"/>
              <w:jc w:val="center"/>
              <w:rPr/>
            </w:pPr>
            <w:r>
              <w:rPr>
                <w:rFonts w:ascii="Arial" w:cs="Arial" w:hAnsi="Arial"/>
              </w:rPr>
              <w:t>M</w:t>
            </w:r>
          </w:p>
        </w:tc>
        <w:tc>
          <w:tcPr>
            <w:tcW w:w="4326" w:type="dxa"/>
            <w:tcBorders/>
            <w:vAlign w:val="center"/>
          </w:tcPr>
          <w:p>
            <w:pPr>
              <w:pStyle w:val="style0"/>
              <w:spacing w:before="0"/>
              <w:rPr>
                <w:rFonts w:ascii="Arial" w:cs="Arial" w:hAnsi="Arial"/>
              </w:rPr>
            </w:pPr>
            <w:r>
              <w:rPr>
                <w:rFonts w:ascii="Arial" w:cs="Arial" w:hAnsi="Arial"/>
              </w:rPr>
              <w:t>Préfet Département DOUNA</w:t>
            </w:r>
          </w:p>
        </w:tc>
        <w:tc>
          <w:tcPr>
            <w:tcW w:w="1785" w:type="dxa"/>
            <w:tcBorders/>
            <w:vAlign w:val="center"/>
          </w:tcPr>
          <w:p>
            <w:pPr>
              <w:pStyle w:val="style0"/>
              <w:spacing w:before="0"/>
              <w:jc w:val="center"/>
              <w:rPr>
                <w:rFonts w:ascii="Arial" w:cs="Arial" w:hAnsi="Arial"/>
              </w:rPr>
            </w:pPr>
            <w:r>
              <w:rPr>
                <w:rFonts w:ascii="Arial" w:cs="Arial" w:hAnsi="Arial"/>
              </w:rPr>
              <w:t>72 97 38 17</w:t>
            </w:r>
          </w:p>
        </w:tc>
        <w:tc>
          <w:tcPr>
            <w:tcW w:w="1956" w:type="dxa"/>
            <w:tcBorders/>
            <w:vAlign w:val="center"/>
          </w:tcPr>
          <w:p>
            <w:pPr>
              <w:pStyle w:val="style0"/>
              <w:spacing w:before="0"/>
              <w:jc w:val="center"/>
              <w:rPr>
                <w:rFonts w:ascii="Arial" w:cs="Arial" w:hAnsi="Arial"/>
              </w:rPr>
            </w:pPr>
          </w:p>
        </w:tc>
      </w:tr>
      <w:tr>
        <w:tblPrEx/>
        <w:trPr/>
        <w:tc>
          <w:tcPr>
            <w:tcW w:w="619" w:type="dxa"/>
            <w:tcBorders/>
            <w:vAlign w:val="center"/>
          </w:tcPr>
          <w:p>
            <w:pPr>
              <w:pStyle w:val="style0"/>
              <w:spacing w:before="0"/>
              <w:jc w:val="center"/>
              <w:rPr>
                <w:rFonts w:ascii="Arial" w:cs="Arial" w:hAnsi="Arial"/>
              </w:rPr>
            </w:pPr>
            <w:r>
              <w:rPr>
                <w:rFonts w:ascii="Arial" w:cs="Arial" w:hAnsi="Arial"/>
              </w:rPr>
              <w:t>07</w:t>
            </w:r>
          </w:p>
        </w:tc>
        <w:tc>
          <w:tcPr>
            <w:tcW w:w="4962" w:type="dxa"/>
            <w:tcBorders/>
            <w:vAlign w:val="center"/>
          </w:tcPr>
          <w:p>
            <w:pPr>
              <w:pStyle w:val="style0"/>
              <w:spacing w:before="0"/>
              <w:rPr>
                <w:rFonts w:ascii="Arial" w:cs="Arial" w:hAnsi="Arial"/>
              </w:rPr>
            </w:pPr>
            <w:r>
              <w:rPr>
                <w:rFonts w:ascii="Arial" w:cs="Arial" w:hAnsi="Arial"/>
              </w:rPr>
              <w:t>NANA Mahamoudou</w:t>
            </w:r>
          </w:p>
        </w:tc>
        <w:tc>
          <w:tcPr>
            <w:tcW w:w="777" w:type="dxa"/>
            <w:tcBorders/>
          </w:tcPr>
          <w:p>
            <w:pPr>
              <w:pStyle w:val="style0"/>
              <w:spacing w:before="0"/>
              <w:jc w:val="center"/>
              <w:rPr/>
            </w:pPr>
            <w:r>
              <w:rPr>
                <w:rFonts w:ascii="Arial" w:cs="Arial" w:hAnsi="Arial"/>
              </w:rPr>
              <w:t>M</w:t>
            </w:r>
          </w:p>
        </w:tc>
        <w:tc>
          <w:tcPr>
            <w:tcW w:w="4326" w:type="dxa"/>
            <w:tcBorders/>
            <w:vAlign w:val="center"/>
          </w:tcPr>
          <w:p>
            <w:pPr>
              <w:pStyle w:val="style0"/>
              <w:spacing w:before="0"/>
              <w:rPr>
                <w:rFonts w:ascii="Arial" w:cs="Arial" w:hAnsi="Arial"/>
              </w:rPr>
            </w:pPr>
            <w:r>
              <w:rPr>
                <w:rFonts w:ascii="Arial" w:cs="Arial" w:hAnsi="Arial"/>
              </w:rPr>
              <w:t>Environnement DOUNA</w:t>
            </w:r>
          </w:p>
        </w:tc>
        <w:tc>
          <w:tcPr>
            <w:tcW w:w="1785" w:type="dxa"/>
            <w:tcBorders/>
            <w:vAlign w:val="center"/>
          </w:tcPr>
          <w:p>
            <w:pPr>
              <w:pStyle w:val="style0"/>
              <w:spacing w:before="0"/>
              <w:jc w:val="center"/>
              <w:rPr>
                <w:rFonts w:ascii="Arial" w:cs="Arial" w:hAnsi="Arial"/>
              </w:rPr>
            </w:pPr>
            <w:r>
              <w:rPr>
                <w:rFonts w:ascii="Arial" w:cs="Arial" w:hAnsi="Arial"/>
              </w:rPr>
              <w:t>70 01 56 33</w:t>
            </w:r>
          </w:p>
        </w:tc>
        <w:tc>
          <w:tcPr>
            <w:tcW w:w="1956" w:type="dxa"/>
            <w:tcBorders/>
            <w:vAlign w:val="center"/>
          </w:tcPr>
          <w:p>
            <w:pPr>
              <w:pStyle w:val="style0"/>
              <w:spacing w:before="0"/>
              <w:jc w:val="center"/>
              <w:rPr>
                <w:rFonts w:ascii="Arial" w:cs="Arial" w:hAnsi="Arial"/>
              </w:rPr>
            </w:pPr>
          </w:p>
        </w:tc>
      </w:tr>
      <w:tr>
        <w:tblPrEx/>
        <w:trPr/>
        <w:tc>
          <w:tcPr>
            <w:tcW w:w="619" w:type="dxa"/>
            <w:tcBorders/>
            <w:vAlign w:val="center"/>
          </w:tcPr>
          <w:p>
            <w:pPr>
              <w:pStyle w:val="style0"/>
              <w:spacing w:before="0"/>
              <w:jc w:val="center"/>
              <w:rPr>
                <w:rFonts w:ascii="Arial" w:cs="Arial" w:hAnsi="Arial"/>
              </w:rPr>
            </w:pPr>
            <w:r>
              <w:rPr>
                <w:rFonts w:ascii="Arial" w:cs="Arial" w:hAnsi="Arial"/>
              </w:rPr>
              <w:t>08</w:t>
            </w:r>
          </w:p>
        </w:tc>
        <w:tc>
          <w:tcPr>
            <w:tcW w:w="4962" w:type="dxa"/>
            <w:tcBorders/>
            <w:vAlign w:val="center"/>
          </w:tcPr>
          <w:p>
            <w:pPr>
              <w:pStyle w:val="style0"/>
              <w:spacing w:before="0"/>
              <w:rPr>
                <w:rFonts w:ascii="Arial" w:cs="Arial" w:hAnsi="Arial"/>
              </w:rPr>
            </w:pPr>
            <w:r>
              <w:rPr>
                <w:rFonts w:ascii="Arial" w:cs="Arial" w:hAnsi="Arial"/>
              </w:rPr>
              <w:t>KABORE A C Léaticia</w:t>
            </w:r>
          </w:p>
        </w:tc>
        <w:tc>
          <w:tcPr>
            <w:tcW w:w="777" w:type="dxa"/>
            <w:tcBorders/>
            <w:vAlign w:val="center"/>
          </w:tcPr>
          <w:p>
            <w:pPr>
              <w:pStyle w:val="style0"/>
              <w:spacing w:before="0"/>
              <w:jc w:val="center"/>
              <w:rPr>
                <w:rFonts w:ascii="Arial" w:cs="Arial" w:hAnsi="Arial"/>
              </w:rPr>
            </w:pPr>
            <w:r>
              <w:rPr>
                <w:rFonts w:ascii="Arial" w:cs="Arial" w:hAnsi="Arial"/>
              </w:rPr>
              <w:t>F</w:t>
            </w:r>
          </w:p>
        </w:tc>
        <w:tc>
          <w:tcPr>
            <w:tcW w:w="4326" w:type="dxa"/>
            <w:tcBorders/>
            <w:vAlign w:val="center"/>
          </w:tcPr>
          <w:p>
            <w:pPr>
              <w:pStyle w:val="style0"/>
              <w:spacing w:before="0"/>
              <w:rPr>
                <w:rFonts w:ascii="Arial" w:cs="Arial" w:hAnsi="Arial"/>
              </w:rPr>
            </w:pPr>
            <w:r>
              <w:rPr>
                <w:rFonts w:ascii="Arial" w:cs="Arial" w:hAnsi="Arial"/>
              </w:rPr>
              <w:t>Environnement DOUNA</w:t>
            </w:r>
          </w:p>
        </w:tc>
        <w:tc>
          <w:tcPr>
            <w:tcW w:w="1785" w:type="dxa"/>
            <w:tcBorders/>
            <w:vAlign w:val="center"/>
          </w:tcPr>
          <w:p>
            <w:pPr>
              <w:pStyle w:val="style0"/>
              <w:spacing w:before="0"/>
              <w:jc w:val="center"/>
              <w:rPr>
                <w:rFonts w:ascii="Arial" w:cs="Arial" w:hAnsi="Arial"/>
              </w:rPr>
            </w:pPr>
            <w:r>
              <w:rPr>
                <w:rFonts w:ascii="Arial" w:cs="Arial" w:hAnsi="Arial"/>
              </w:rPr>
              <w:t>71 65 40 95</w:t>
            </w:r>
          </w:p>
        </w:tc>
        <w:tc>
          <w:tcPr>
            <w:tcW w:w="1956" w:type="dxa"/>
            <w:tcBorders/>
            <w:vAlign w:val="center"/>
          </w:tcPr>
          <w:p>
            <w:pPr>
              <w:pStyle w:val="style0"/>
              <w:spacing w:before="0"/>
              <w:jc w:val="center"/>
              <w:rPr>
                <w:rFonts w:ascii="Arial" w:cs="Arial" w:hAnsi="Arial"/>
              </w:rPr>
            </w:pPr>
          </w:p>
        </w:tc>
      </w:tr>
      <w:tr>
        <w:tblPrEx/>
        <w:trPr/>
        <w:tc>
          <w:tcPr>
            <w:tcW w:w="619" w:type="dxa"/>
            <w:tcBorders/>
            <w:vAlign w:val="center"/>
          </w:tcPr>
          <w:p>
            <w:pPr>
              <w:pStyle w:val="style0"/>
              <w:spacing w:before="0"/>
              <w:jc w:val="center"/>
              <w:rPr>
                <w:rFonts w:ascii="Arial" w:cs="Arial" w:hAnsi="Arial"/>
              </w:rPr>
            </w:pPr>
            <w:r>
              <w:rPr>
                <w:rFonts w:ascii="Arial" w:cs="Arial" w:hAnsi="Arial"/>
              </w:rPr>
              <w:t>09</w:t>
            </w:r>
          </w:p>
        </w:tc>
        <w:tc>
          <w:tcPr>
            <w:tcW w:w="4962" w:type="dxa"/>
            <w:tcBorders/>
            <w:vAlign w:val="center"/>
          </w:tcPr>
          <w:p>
            <w:pPr>
              <w:pStyle w:val="style0"/>
              <w:spacing w:before="0"/>
              <w:rPr>
                <w:rFonts w:ascii="Arial" w:cs="Arial" w:hAnsi="Arial"/>
              </w:rPr>
            </w:pPr>
            <w:r>
              <w:rPr>
                <w:rFonts w:ascii="Arial" w:cs="Arial" w:hAnsi="Arial"/>
              </w:rPr>
              <w:t>GANAME Salif</w:t>
            </w:r>
          </w:p>
        </w:tc>
        <w:tc>
          <w:tcPr>
            <w:tcW w:w="777" w:type="dxa"/>
            <w:tcBorders/>
          </w:tcPr>
          <w:p>
            <w:pPr>
              <w:pStyle w:val="style0"/>
              <w:spacing w:before="0"/>
              <w:jc w:val="center"/>
              <w:rPr/>
            </w:pPr>
            <w:r>
              <w:rPr>
                <w:rFonts w:ascii="Arial" w:cs="Arial" w:hAnsi="Arial"/>
              </w:rPr>
              <w:t>M</w:t>
            </w:r>
          </w:p>
        </w:tc>
        <w:tc>
          <w:tcPr>
            <w:tcW w:w="4326" w:type="dxa"/>
            <w:tcBorders/>
            <w:vAlign w:val="center"/>
          </w:tcPr>
          <w:p>
            <w:pPr>
              <w:pStyle w:val="style0"/>
              <w:spacing w:before="0"/>
              <w:rPr>
                <w:rFonts w:ascii="Arial" w:cs="Arial" w:hAnsi="Arial"/>
              </w:rPr>
            </w:pPr>
            <w:r>
              <w:rPr>
                <w:rFonts w:ascii="Arial" w:cs="Arial" w:hAnsi="Arial"/>
              </w:rPr>
              <w:t>PRMV/ND</w:t>
            </w:r>
          </w:p>
        </w:tc>
        <w:tc>
          <w:tcPr>
            <w:tcW w:w="1785" w:type="dxa"/>
            <w:tcBorders/>
            <w:vAlign w:val="center"/>
          </w:tcPr>
          <w:p>
            <w:pPr>
              <w:pStyle w:val="style0"/>
              <w:spacing w:before="0"/>
              <w:jc w:val="center"/>
              <w:rPr>
                <w:rFonts w:ascii="Arial" w:cs="Arial" w:hAnsi="Arial"/>
              </w:rPr>
            </w:pPr>
            <w:r>
              <w:rPr>
                <w:rFonts w:ascii="Arial" w:cs="Arial" w:hAnsi="Arial"/>
              </w:rPr>
              <w:t>71 90 22 40</w:t>
            </w:r>
          </w:p>
        </w:tc>
        <w:tc>
          <w:tcPr>
            <w:tcW w:w="1956" w:type="dxa"/>
            <w:tcBorders/>
            <w:vAlign w:val="center"/>
          </w:tcPr>
          <w:p>
            <w:pPr>
              <w:pStyle w:val="style0"/>
              <w:spacing w:before="0"/>
              <w:jc w:val="center"/>
              <w:rPr>
                <w:rFonts w:ascii="Arial" w:cs="Arial" w:hAnsi="Arial"/>
              </w:rPr>
            </w:pPr>
          </w:p>
        </w:tc>
      </w:tr>
      <w:tr>
        <w:tblPrEx/>
        <w:trPr/>
        <w:tc>
          <w:tcPr>
            <w:tcW w:w="619" w:type="dxa"/>
            <w:tcBorders/>
            <w:vAlign w:val="center"/>
          </w:tcPr>
          <w:p>
            <w:pPr>
              <w:pStyle w:val="style0"/>
              <w:spacing w:before="0"/>
              <w:jc w:val="center"/>
              <w:rPr>
                <w:rFonts w:ascii="Arial" w:cs="Arial" w:hAnsi="Arial"/>
              </w:rPr>
            </w:pPr>
            <w:r>
              <w:rPr>
                <w:rFonts w:ascii="Arial" w:cs="Arial" w:hAnsi="Arial"/>
              </w:rPr>
              <w:t>10</w:t>
            </w:r>
          </w:p>
        </w:tc>
        <w:tc>
          <w:tcPr>
            <w:tcW w:w="4962" w:type="dxa"/>
            <w:tcBorders/>
            <w:vAlign w:val="center"/>
          </w:tcPr>
          <w:p>
            <w:pPr>
              <w:pStyle w:val="style0"/>
              <w:spacing w:before="0"/>
              <w:rPr>
                <w:rFonts w:ascii="Arial" w:cs="Arial" w:hAnsi="Arial"/>
              </w:rPr>
            </w:pPr>
            <w:r>
              <w:rPr>
                <w:rFonts w:ascii="Arial" w:cs="Arial" w:hAnsi="Arial"/>
              </w:rPr>
              <w:t>KAFANDO Boureima</w:t>
            </w:r>
          </w:p>
        </w:tc>
        <w:tc>
          <w:tcPr>
            <w:tcW w:w="777" w:type="dxa"/>
            <w:tcBorders/>
          </w:tcPr>
          <w:p>
            <w:pPr>
              <w:pStyle w:val="style0"/>
              <w:spacing w:before="0"/>
              <w:jc w:val="center"/>
              <w:rPr/>
            </w:pPr>
            <w:r>
              <w:rPr>
                <w:rFonts w:ascii="Arial" w:cs="Arial" w:hAnsi="Arial"/>
              </w:rPr>
              <w:t>M</w:t>
            </w:r>
          </w:p>
        </w:tc>
        <w:tc>
          <w:tcPr>
            <w:tcW w:w="4326" w:type="dxa"/>
            <w:tcBorders/>
            <w:vAlign w:val="center"/>
          </w:tcPr>
          <w:p>
            <w:pPr>
              <w:pStyle w:val="style0"/>
              <w:spacing w:before="0"/>
              <w:rPr>
                <w:rFonts w:ascii="Arial" w:cs="Arial" w:hAnsi="Arial"/>
              </w:rPr>
            </w:pPr>
            <w:r>
              <w:rPr>
                <w:rFonts w:ascii="Arial" w:cs="Arial" w:hAnsi="Arial"/>
              </w:rPr>
              <w:t>PRMV/ND Chef de service production</w:t>
            </w:r>
          </w:p>
        </w:tc>
        <w:tc>
          <w:tcPr>
            <w:tcW w:w="1785" w:type="dxa"/>
            <w:tcBorders/>
            <w:vAlign w:val="center"/>
          </w:tcPr>
          <w:p>
            <w:pPr>
              <w:pStyle w:val="style0"/>
              <w:spacing w:before="0"/>
              <w:jc w:val="center"/>
              <w:rPr>
                <w:rFonts w:ascii="Arial" w:cs="Arial" w:hAnsi="Arial"/>
              </w:rPr>
            </w:pPr>
            <w:r>
              <w:rPr>
                <w:rFonts w:ascii="Arial" w:cs="Arial" w:hAnsi="Arial"/>
              </w:rPr>
              <w:t>70 88 92 90</w:t>
            </w:r>
          </w:p>
        </w:tc>
        <w:tc>
          <w:tcPr>
            <w:tcW w:w="1956" w:type="dxa"/>
            <w:tcBorders/>
            <w:vAlign w:val="center"/>
          </w:tcPr>
          <w:p>
            <w:pPr>
              <w:pStyle w:val="style0"/>
              <w:spacing w:before="0"/>
              <w:jc w:val="center"/>
              <w:rPr>
                <w:rFonts w:ascii="Arial" w:cs="Arial" w:hAnsi="Arial"/>
              </w:rPr>
            </w:pPr>
          </w:p>
        </w:tc>
      </w:tr>
      <w:tr>
        <w:tblPrEx/>
        <w:trPr/>
        <w:tc>
          <w:tcPr>
            <w:tcW w:w="619" w:type="dxa"/>
            <w:tcBorders/>
            <w:vAlign w:val="center"/>
          </w:tcPr>
          <w:p>
            <w:pPr>
              <w:pStyle w:val="style0"/>
              <w:spacing w:before="0"/>
              <w:jc w:val="center"/>
              <w:rPr>
                <w:rFonts w:ascii="Arial" w:cs="Arial" w:hAnsi="Arial"/>
              </w:rPr>
            </w:pPr>
            <w:r>
              <w:rPr>
                <w:rFonts w:ascii="Arial" w:cs="Arial" w:hAnsi="Arial"/>
              </w:rPr>
              <w:t>11</w:t>
            </w:r>
          </w:p>
        </w:tc>
        <w:tc>
          <w:tcPr>
            <w:tcW w:w="4962" w:type="dxa"/>
            <w:tcBorders/>
            <w:vAlign w:val="center"/>
          </w:tcPr>
          <w:p>
            <w:pPr>
              <w:pStyle w:val="style0"/>
              <w:spacing w:before="0"/>
              <w:rPr>
                <w:rFonts w:ascii="Arial" w:cs="Arial" w:hAnsi="Arial"/>
              </w:rPr>
            </w:pPr>
            <w:r>
              <w:rPr>
                <w:rFonts w:ascii="Arial" w:cs="Arial" w:hAnsi="Arial"/>
              </w:rPr>
              <w:t>SON Diaka</w:t>
            </w:r>
          </w:p>
        </w:tc>
        <w:tc>
          <w:tcPr>
            <w:tcW w:w="777" w:type="dxa"/>
            <w:tcBorders/>
          </w:tcPr>
          <w:p>
            <w:pPr>
              <w:pStyle w:val="style0"/>
              <w:spacing w:before="0"/>
              <w:jc w:val="center"/>
              <w:rPr/>
            </w:pPr>
            <w:r>
              <w:rPr>
                <w:rFonts w:ascii="Arial" w:cs="Arial" w:hAnsi="Arial"/>
              </w:rPr>
              <w:t>M</w:t>
            </w:r>
          </w:p>
        </w:tc>
        <w:tc>
          <w:tcPr>
            <w:tcW w:w="4326" w:type="dxa"/>
            <w:tcBorders/>
            <w:vAlign w:val="center"/>
          </w:tcPr>
          <w:p>
            <w:pPr>
              <w:pStyle w:val="style0"/>
              <w:spacing w:before="0"/>
              <w:rPr>
                <w:rFonts w:ascii="Arial" w:cs="Arial" w:hAnsi="Arial"/>
              </w:rPr>
            </w:pPr>
            <w:r>
              <w:rPr>
                <w:rFonts w:ascii="Arial" w:cs="Arial" w:hAnsi="Arial"/>
              </w:rPr>
              <w:t>MAIRIE 1</w:t>
            </w:r>
            <w:r>
              <w:rPr>
                <w:rFonts w:ascii="Arial" w:cs="Arial" w:hAnsi="Arial"/>
                <w:vertAlign w:val="superscript"/>
              </w:rPr>
              <w:t>er</w:t>
            </w:r>
            <w:r>
              <w:rPr>
                <w:rFonts w:ascii="Arial" w:cs="Arial" w:hAnsi="Arial"/>
              </w:rPr>
              <w:t xml:space="preserve"> Adjoint au Maire</w:t>
            </w:r>
          </w:p>
        </w:tc>
        <w:tc>
          <w:tcPr>
            <w:tcW w:w="1785" w:type="dxa"/>
            <w:tcBorders/>
            <w:vAlign w:val="center"/>
          </w:tcPr>
          <w:p>
            <w:pPr>
              <w:pStyle w:val="style0"/>
              <w:spacing w:before="0"/>
              <w:jc w:val="center"/>
              <w:rPr>
                <w:rFonts w:ascii="Arial" w:cs="Arial" w:hAnsi="Arial"/>
              </w:rPr>
            </w:pPr>
            <w:r>
              <w:rPr>
                <w:rFonts w:ascii="Arial" w:cs="Arial" w:hAnsi="Arial"/>
              </w:rPr>
              <w:t>70 07 95 00</w:t>
            </w:r>
          </w:p>
        </w:tc>
        <w:tc>
          <w:tcPr>
            <w:tcW w:w="1956" w:type="dxa"/>
            <w:tcBorders/>
            <w:vAlign w:val="center"/>
          </w:tcPr>
          <w:p>
            <w:pPr>
              <w:pStyle w:val="style0"/>
              <w:spacing w:before="0"/>
              <w:jc w:val="center"/>
              <w:rPr>
                <w:rFonts w:ascii="Arial" w:cs="Arial" w:hAnsi="Arial"/>
              </w:rPr>
            </w:pPr>
          </w:p>
        </w:tc>
      </w:tr>
      <w:tr>
        <w:tblPrEx/>
        <w:trPr/>
        <w:tc>
          <w:tcPr>
            <w:tcW w:w="619" w:type="dxa"/>
            <w:tcBorders/>
            <w:vAlign w:val="center"/>
          </w:tcPr>
          <w:p>
            <w:pPr>
              <w:pStyle w:val="style0"/>
              <w:spacing w:before="0"/>
              <w:jc w:val="center"/>
              <w:rPr>
                <w:rFonts w:ascii="Arial" w:cs="Arial" w:hAnsi="Arial"/>
              </w:rPr>
            </w:pPr>
            <w:r>
              <w:rPr>
                <w:rFonts w:ascii="Arial" w:cs="Arial" w:hAnsi="Arial"/>
              </w:rPr>
              <w:t>12</w:t>
            </w:r>
          </w:p>
        </w:tc>
        <w:tc>
          <w:tcPr>
            <w:tcW w:w="4962" w:type="dxa"/>
            <w:tcBorders/>
            <w:vAlign w:val="center"/>
          </w:tcPr>
          <w:p>
            <w:pPr>
              <w:pStyle w:val="style0"/>
              <w:spacing w:before="0"/>
              <w:rPr>
                <w:rFonts w:ascii="Arial" w:cs="Arial" w:hAnsi="Arial"/>
              </w:rPr>
            </w:pPr>
            <w:r>
              <w:rPr>
                <w:rFonts w:ascii="Arial" w:cs="Arial" w:hAnsi="Arial"/>
              </w:rPr>
              <w:t>SON Douni falémé</w:t>
            </w:r>
          </w:p>
        </w:tc>
        <w:tc>
          <w:tcPr>
            <w:tcW w:w="777" w:type="dxa"/>
            <w:tcBorders/>
            <w:vAlign w:val="center"/>
          </w:tcPr>
          <w:p>
            <w:pPr>
              <w:pStyle w:val="style0"/>
              <w:spacing w:before="0"/>
              <w:jc w:val="center"/>
              <w:rPr/>
            </w:pPr>
            <w:r>
              <w:rPr>
                <w:rFonts w:ascii="Arial" w:cs="Arial" w:hAnsi="Arial"/>
              </w:rPr>
              <w:t>M</w:t>
            </w:r>
          </w:p>
        </w:tc>
        <w:tc>
          <w:tcPr>
            <w:tcW w:w="4326" w:type="dxa"/>
            <w:tcBorders/>
            <w:vAlign w:val="center"/>
          </w:tcPr>
          <w:p>
            <w:pPr>
              <w:pStyle w:val="style0"/>
              <w:spacing w:before="0"/>
              <w:rPr>
                <w:rFonts w:ascii="Arial" w:cs="Arial" w:hAnsi="Arial"/>
              </w:rPr>
            </w:pPr>
            <w:r>
              <w:rPr>
                <w:rFonts w:ascii="Arial" w:cs="Arial" w:hAnsi="Arial"/>
              </w:rPr>
              <w:t>MAIRIE 2</w:t>
            </w:r>
            <w:r>
              <w:rPr>
                <w:rFonts w:ascii="Arial" w:cs="Arial" w:hAnsi="Arial"/>
                <w:vertAlign w:val="superscript"/>
              </w:rPr>
              <w:t>ème</w:t>
            </w:r>
            <w:r>
              <w:rPr>
                <w:rFonts w:ascii="Arial" w:cs="Arial" w:hAnsi="Arial"/>
              </w:rPr>
              <w:t xml:space="preserve"> Adjoint </w:t>
            </w:r>
          </w:p>
        </w:tc>
        <w:tc>
          <w:tcPr>
            <w:tcW w:w="1785" w:type="dxa"/>
            <w:tcBorders/>
            <w:vAlign w:val="center"/>
          </w:tcPr>
          <w:p>
            <w:pPr>
              <w:pStyle w:val="style0"/>
              <w:spacing w:before="0"/>
              <w:jc w:val="center"/>
              <w:rPr>
                <w:rFonts w:ascii="Arial" w:cs="Arial" w:hAnsi="Arial"/>
              </w:rPr>
            </w:pPr>
            <w:r>
              <w:rPr>
                <w:rFonts w:ascii="Arial" w:cs="Arial" w:hAnsi="Arial"/>
              </w:rPr>
              <w:t>70 97 09 13</w:t>
            </w:r>
          </w:p>
          <w:p>
            <w:pPr>
              <w:pStyle w:val="style0"/>
              <w:spacing w:before="0"/>
              <w:jc w:val="center"/>
              <w:rPr>
                <w:rFonts w:ascii="Arial" w:cs="Arial" w:hAnsi="Arial"/>
              </w:rPr>
            </w:pPr>
            <w:r>
              <w:rPr>
                <w:rFonts w:ascii="Arial" w:cs="Arial" w:hAnsi="Arial"/>
              </w:rPr>
              <w:t>761277 61</w:t>
            </w:r>
          </w:p>
        </w:tc>
        <w:tc>
          <w:tcPr>
            <w:tcW w:w="1956" w:type="dxa"/>
            <w:tcBorders/>
            <w:vAlign w:val="center"/>
          </w:tcPr>
          <w:p>
            <w:pPr>
              <w:pStyle w:val="style0"/>
              <w:spacing w:before="0"/>
              <w:jc w:val="center"/>
              <w:rPr>
                <w:rFonts w:ascii="Arial" w:cs="Arial" w:hAnsi="Arial"/>
              </w:rPr>
            </w:pPr>
          </w:p>
        </w:tc>
      </w:tr>
    </w:tbl>
    <w:p>
      <w:pPr>
        <w:pStyle w:val="style0"/>
        <w:spacing w:before="0"/>
        <w:rPr/>
      </w:pPr>
    </w:p>
    <w:tbl>
      <w:tblPr>
        <w:tblStyle w:val="style154"/>
        <w:tblW w:w="14425" w:type="dxa"/>
        <w:tblLayout w:type="fixed"/>
        <w:tblLook w:val="04A0" w:firstRow="1" w:lastRow="0" w:firstColumn="1" w:lastColumn="0" w:noHBand="0" w:noVBand="1"/>
      </w:tblPr>
      <w:tblGrid>
        <w:gridCol w:w="675"/>
        <w:gridCol w:w="4962"/>
        <w:gridCol w:w="777"/>
        <w:gridCol w:w="4326"/>
        <w:gridCol w:w="1729"/>
        <w:gridCol w:w="1956"/>
      </w:tblGrid>
      <w:tr>
        <w:trPr/>
        <w:tc>
          <w:tcPr>
            <w:tcW w:w="675" w:type="dxa"/>
            <w:tcBorders/>
            <w:vAlign w:val="center"/>
          </w:tcPr>
          <w:p>
            <w:pPr>
              <w:pStyle w:val="style0"/>
              <w:spacing w:before="0"/>
              <w:jc w:val="center"/>
              <w:rPr>
                <w:rFonts w:ascii="Arial" w:cs="Arial" w:hAnsi="Arial"/>
              </w:rPr>
            </w:pPr>
            <w:r>
              <w:rPr>
                <w:rFonts w:ascii="Arial" w:cs="Arial" w:hAnsi="Arial"/>
              </w:rPr>
              <w:t>13</w:t>
            </w:r>
          </w:p>
        </w:tc>
        <w:tc>
          <w:tcPr>
            <w:tcW w:w="4962" w:type="dxa"/>
            <w:tcBorders/>
            <w:vAlign w:val="center"/>
          </w:tcPr>
          <w:p>
            <w:pPr>
              <w:pStyle w:val="style0"/>
              <w:spacing w:before="0"/>
              <w:rPr>
                <w:rFonts w:ascii="Arial" w:cs="Arial" w:hAnsi="Arial"/>
              </w:rPr>
            </w:pPr>
            <w:r>
              <w:rPr>
                <w:rFonts w:ascii="Arial" w:cs="Arial" w:hAnsi="Arial"/>
              </w:rPr>
              <w:t>KARA Aousseny</w:t>
            </w:r>
          </w:p>
        </w:tc>
        <w:tc>
          <w:tcPr>
            <w:tcW w:w="777" w:type="dxa"/>
            <w:tcBorders/>
            <w:vAlign w:val="center"/>
          </w:tcPr>
          <w:p>
            <w:pPr>
              <w:pStyle w:val="style0"/>
              <w:spacing w:before="0"/>
              <w:jc w:val="center"/>
              <w:rPr/>
            </w:pPr>
            <w:r>
              <w:rPr>
                <w:rFonts w:ascii="Arial" w:cs="Arial" w:hAnsi="Arial"/>
              </w:rPr>
              <w:t>M</w:t>
            </w:r>
          </w:p>
        </w:tc>
        <w:tc>
          <w:tcPr>
            <w:tcW w:w="4326" w:type="dxa"/>
            <w:tcBorders/>
            <w:vAlign w:val="center"/>
          </w:tcPr>
          <w:p>
            <w:pPr>
              <w:pStyle w:val="style0"/>
              <w:spacing w:before="0"/>
              <w:jc w:val="center"/>
              <w:rPr>
                <w:rFonts w:ascii="Arial" w:cs="Arial" w:hAnsi="Arial"/>
              </w:rPr>
            </w:pPr>
            <w:r>
              <w:rPr>
                <w:rFonts w:ascii="Arial" w:cs="Arial" w:hAnsi="Arial"/>
                <w:sz w:val="21"/>
              </w:rPr>
              <w:t>Président Affaire Général Social et Culturel</w:t>
            </w:r>
          </w:p>
        </w:tc>
        <w:tc>
          <w:tcPr>
            <w:tcW w:w="1729" w:type="dxa"/>
            <w:tcBorders/>
            <w:vAlign w:val="center"/>
          </w:tcPr>
          <w:p>
            <w:pPr>
              <w:pStyle w:val="style0"/>
              <w:spacing w:before="0"/>
              <w:jc w:val="center"/>
              <w:rPr>
                <w:rFonts w:ascii="Arial" w:cs="Arial" w:hAnsi="Arial"/>
              </w:rPr>
            </w:pPr>
            <w:r>
              <w:rPr>
                <w:rFonts w:ascii="Arial" w:cs="Arial" w:hAnsi="Arial"/>
              </w:rPr>
              <w:t>61 93 97 37</w:t>
            </w:r>
          </w:p>
        </w:tc>
        <w:tc>
          <w:tcPr>
            <w:tcW w:w="1956"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14</w:t>
            </w:r>
          </w:p>
        </w:tc>
        <w:tc>
          <w:tcPr>
            <w:tcW w:w="4962" w:type="dxa"/>
            <w:tcBorders/>
            <w:vAlign w:val="center"/>
          </w:tcPr>
          <w:p>
            <w:pPr>
              <w:pStyle w:val="style0"/>
              <w:spacing w:before="0"/>
              <w:rPr>
                <w:rFonts w:ascii="Arial" w:cs="Arial" w:hAnsi="Arial"/>
              </w:rPr>
            </w:pPr>
            <w:r>
              <w:rPr>
                <w:rFonts w:ascii="Arial" w:cs="Arial" w:hAnsi="Arial"/>
              </w:rPr>
              <w:t>OUATTARA Oumar</w:t>
            </w:r>
          </w:p>
        </w:tc>
        <w:tc>
          <w:tcPr>
            <w:tcW w:w="777" w:type="dxa"/>
            <w:tcBorders/>
          </w:tcPr>
          <w:p>
            <w:pPr>
              <w:pStyle w:val="style0"/>
              <w:spacing w:before="0"/>
              <w:jc w:val="center"/>
              <w:rPr/>
            </w:pPr>
            <w:r>
              <w:rPr>
                <w:rFonts w:ascii="Arial" w:cs="Arial" w:hAnsi="Arial"/>
              </w:rPr>
              <w:t>M</w:t>
            </w:r>
          </w:p>
        </w:tc>
        <w:tc>
          <w:tcPr>
            <w:tcW w:w="4326" w:type="dxa"/>
            <w:tcBorders/>
            <w:vAlign w:val="center"/>
          </w:tcPr>
          <w:p>
            <w:pPr>
              <w:pStyle w:val="style0"/>
              <w:spacing w:before="0"/>
              <w:rPr>
                <w:rFonts w:ascii="Arial" w:cs="Arial" w:hAnsi="Arial"/>
              </w:rPr>
            </w:pPr>
            <w:r>
              <w:rPr>
                <w:rFonts w:ascii="Arial" w:cs="Arial" w:hAnsi="Arial"/>
              </w:rPr>
              <w:t>SG/Mairie de DOUNA</w:t>
            </w:r>
          </w:p>
        </w:tc>
        <w:tc>
          <w:tcPr>
            <w:tcW w:w="1729" w:type="dxa"/>
            <w:tcBorders/>
            <w:vAlign w:val="center"/>
          </w:tcPr>
          <w:p>
            <w:pPr>
              <w:pStyle w:val="style0"/>
              <w:spacing w:before="0"/>
              <w:jc w:val="center"/>
              <w:rPr>
                <w:rFonts w:ascii="Arial" w:cs="Arial" w:hAnsi="Arial"/>
              </w:rPr>
            </w:pPr>
            <w:r>
              <w:rPr>
                <w:rFonts w:ascii="Arial" w:cs="Arial" w:hAnsi="Arial"/>
              </w:rPr>
              <w:t>72 30 70 35</w:t>
            </w:r>
          </w:p>
        </w:tc>
        <w:tc>
          <w:tcPr>
            <w:tcW w:w="1956"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15</w:t>
            </w:r>
          </w:p>
        </w:tc>
        <w:tc>
          <w:tcPr>
            <w:tcW w:w="4962" w:type="dxa"/>
            <w:tcBorders/>
            <w:vAlign w:val="center"/>
          </w:tcPr>
          <w:p>
            <w:pPr>
              <w:pStyle w:val="style0"/>
              <w:spacing w:before="0"/>
              <w:rPr>
                <w:rFonts w:ascii="Arial" w:cs="Arial" w:hAnsi="Arial"/>
              </w:rPr>
            </w:pPr>
            <w:r>
              <w:rPr>
                <w:rFonts w:ascii="Arial" w:cs="Arial" w:hAnsi="Arial"/>
              </w:rPr>
              <w:t>SOURA Alasson</w:t>
            </w:r>
          </w:p>
        </w:tc>
        <w:tc>
          <w:tcPr>
            <w:tcW w:w="777" w:type="dxa"/>
            <w:tcBorders/>
          </w:tcPr>
          <w:p>
            <w:pPr>
              <w:pStyle w:val="style0"/>
              <w:spacing w:before="0"/>
              <w:jc w:val="center"/>
              <w:rPr/>
            </w:pPr>
            <w:r>
              <w:rPr>
                <w:rFonts w:ascii="Arial" w:cs="Arial" w:hAnsi="Arial"/>
              </w:rPr>
              <w:t>M</w:t>
            </w:r>
          </w:p>
        </w:tc>
        <w:tc>
          <w:tcPr>
            <w:tcW w:w="4326" w:type="dxa"/>
            <w:tcBorders/>
            <w:vAlign w:val="center"/>
          </w:tcPr>
          <w:p>
            <w:pPr>
              <w:pStyle w:val="style0"/>
              <w:spacing w:before="0"/>
              <w:rPr>
                <w:rFonts w:ascii="Arial" w:cs="Arial" w:hAnsi="Arial"/>
              </w:rPr>
            </w:pPr>
            <w:r>
              <w:rPr>
                <w:rFonts w:ascii="Arial" w:cs="Arial" w:hAnsi="Arial"/>
              </w:rPr>
              <w:t>P E D L</w:t>
            </w:r>
          </w:p>
        </w:tc>
        <w:tc>
          <w:tcPr>
            <w:tcW w:w="1729" w:type="dxa"/>
            <w:tcBorders/>
            <w:vAlign w:val="center"/>
          </w:tcPr>
          <w:p>
            <w:pPr>
              <w:pStyle w:val="style0"/>
              <w:spacing w:before="0"/>
              <w:jc w:val="center"/>
              <w:rPr>
                <w:rFonts w:ascii="Arial" w:cs="Arial" w:hAnsi="Arial"/>
              </w:rPr>
            </w:pPr>
            <w:r>
              <w:rPr>
                <w:rFonts w:ascii="Arial" w:cs="Arial" w:hAnsi="Arial"/>
              </w:rPr>
              <w:t>70 15 93 02</w:t>
            </w:r>
          </w:p>
          <w:p>
            <w:pPr>
              <w:pStyle w:val="style0"/>
              <w:spacing w:before="0"/>
              <w:jc w:val="center"/>
              <w:rPr>
                <w:rFonts w:ascii="Arial" w:cs="Arial" w:hAnsi="Arial"/>
              </w:rPr>
            </w:pPr>
            <w:r>
              <w:rPr>
                <w:rFonts w:ascii="Arial" w:cs="Arial" w:hAnsi="Arial"/>
              </w:rPr>
              <w:t>76 95 26 43</w:t>
            </w:r>
          </w:p>
        </w:tc>
        <w:tc>
          <w:tcPr>
            <w:tcW w:w="1956"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16</w:t>
            </w:r>
          </w:p>
        </w:tc>
        <w:tc>
          <w:tcPr>
            <w:tcW w:w="4962" w:type="dxa"/>
            <w:tcBorders/>
            <w:vAlign w:val="center"/>
          </w:tcPr>
          <w:p>
            <w:pPr>
              <w:pStyle w:val="style0"/>
              <w:spacing w:before="0"/>
              <w:rPr>
                <w:rFonts w:ascii="Arial" w:cs="Arial" w:hAnsi="Arial"/>
              </w:rPr>
            </w:pPr>
            <w:r>
              <w:rPr>
                <w:rFonts w:ascii="Arial" w:cs="Arial" w:hAnsi="Arial"/>
              </w:rPr>
              <w:t>SOURA Mamadou</w:t>
            </w:r>
          </w:p>
        </w:tc>
        <w:tc>
          <w:tcPr>
            <w:tcW w:w="777" w:type="dxa"/>
            <w:tcBorders/>
          </w:tcPr>
          <w:p>
            <w:pPr>
              <w:pStyle w:val="style0"/>
              <w:spacing w:before="0"/>
              <w:jc w:val="center"/>
              <w:rPr/>
            </w:pPr>
            <w:r>
              <w:rPr>
                <w:rFonts w:ascii="Arial" w:cs="Arial" w:hAnsi="Arial"/>
              </w:rPr>
              <w:t>M</w:t>
            </w:r>
          </w:p>
        </w:tc>
        <w:tc>
          <w:tcPr>
            <w:tcW w:w="4326" w:type="dxa"/>
            <w:tcBorders/>
            <w:vAlign w:val="center"/>
          </w:tcPr>
          <w:p>
            <w:pPr>
              <w:pStyle w:val="style0"/>
              <w:spacing w:before="0"/>
              <w:rPr>
                <w:rFonts w:ascii="Arial" w:cs="Arial" w:hAnsi="Arial"/>
              </w:rPr>
            </w:pPr>
            <w:r>
              <w:rPr>
                <w:rFonts w:ascii="Arial" w:cs="Arial" w:hAnsi="Arial"/>
              </w:rPr>
              <w:t>P C E F</w:t>
            </w:r>
          </w:p>
        </w:tc>
        <w:tc>
          <w:tcPr>
            <w:tcW w:w="1729" w:type="dxa"/>
            <w:tcBorders/>
            <w:vAlign w:val="center"/>
          </w:tcPr>
          <w:p>
            <w:pPr>
              <w:pStyle w:val="style0"/>
              <w:spacing w:before="0"/>
              <w:jc w:val="center"/>
              <w:rPr>
                <w:rFonts w:ascii="Arial" w:cs="Arial" w:hAnsi="Arial"/>
              </w:rPr>
            </w:pPr>
            <w:r>
              <w:rPr>
                <w:rFonts w:ascii="Arial" w:cs="Arial" w:hAnsi="Arial"/>
              </w:rPr>
              <w:t>76 28 60 79</w:t>
            </w:r>
          </w:p>
          <w:p>
            <w:pPr>
              <w:pStyle w:val="style0"/>
              <w:spacing w:before="0"/>
              <w:jc w:val="center"/>
              <w:rPr>
                <w:rFonts w:ascii="Arial" w:cs="Arial" w:hAnsi="Arial"/>
              </w:rPr>
            </w:pPr>
            <w:r>
              <w:rPr>
                <w:rFonts w:ascii="Arial" w:cs="Arial" w:hAnsi="Arial"/>
              </w:rPr>
              <w:t>60 28 41 37</w:t>
            </w:r>
          </w:p>
        </w:tc>
        <w:tc>
          <w:tcPr>
            <w:tcW w:w="1956"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17</w:t>
            </w:r>
          </w:p>
        </w:tc>
        <w:tc>
          <w:tcPr>
            <w:tcW w:w="4962" w:type="dxa"/>
            <w:tcBorders/>
            <w:vAlign w:val="center"/>
          </w:tcPr>
          <w:p>
            <w:pPr>
              <w:pStyle w:val="style0"/>
              <w:spacing w:before="0"/>
              <w:rPr>
                <w:rFonts w:ascii="Arial" w:cs="Arial" w:hAnsi="Arial"/>
              </w:rPr>
            </w:pPr>
            <w:r>
              <w:rPr>
                <w:rFonts w:ascii="Arial" w:cs="Arial" w:hAnsi="Arial"/>
              </w:rPr>
              <w:t>Soura Issouf</w:t>
            </w:r>
          </w:p>
        </w:tc>
        <w:tc>
          <w:tcPr>
            <w:tcW w:w="777" w:type="dxa"/>
            <w:tcBorders/>
            <w:vAlign w:val="center"/>
          </w:tcPr>
          <w:p>
            <w:pPr>
              <w:pStyle w:val="style0"/>
              <w:spacing w:before="0"/>
              <w:jc w:val="center"/>
              <w:rPr>
                <w:rFonts w:ascii="Arial" w:cs="Arial" w:hAnsi="Arial"/>
              </w:rPr>
            </w:pPr>
            <w:r>
              <w:rPr>
                <w:rFonts w:ascii="Arial" w:cs="Arial" w:hAnsi="Arial"/>
              </w:rPr>
              <w:t>M</w:t>
            </w:r>
          </w:p>
        </w:tc>
        <w:tc>
          <w:tcPr>
            <w:tcW w:w="4326" w:type="dxa"/>
            <w:tcBorders/>
            <w:vAlign w:val="center"/>
          </w:tcPr>
          <w:p>
            <w:pPr>
              <w:pStyle w:val="style0"/>
              <w:spacing w:before="0"/>
              <w:rPr>
                <w:rFonts w:ascii="Arial" w:cs="Arial" w:hAnsi="Arial"/>
              </w:rPr>
            </w:pPr>
            <w:r>
              <w:rPr>
                <w:rFonts w:ascii="Arial" w:cs="Arial" w:hAnsi="Arial"/>
              </w:rPr>
              <w:t>PCAT GF</w:t>
            </w:r>
          </w:p>
        </w:tc>
        <w:tc>
          <w:tcPr>
            <w:tcW w:w="1729" w:type="dxa"/>
            <w:tcBorders/>
            <w:vAlign w:val="center"/>
          </w:tcPr>
          <w:p>
            <w:pPr>
              <w:pStyle w:val="style0"/>
              <w:spacing w:before="0"/>
              <w:jc w:val="center"/>
              <w:rPr>
                <w:rFonts w:ascii="Arial" w:cs="Arial" w:hAnsi="Arial"/>
              </w:rPr>
            </w:pPr>
            <w:r>
              <w:rPr>
                <w:rFonts w:ascii="Arial" w:cs="Arial" w:hAnsi="Arial"/>
              </w:rPr>
              <w:t>71 17 27 23</w:t>
            </w:r>
          </w:p>
        </w:tc>
        <w:tc>
          <w:tcPr>
            <w:tcW w:w="1956" w:type="dxa"/>
            <w:tcBorders/>
            <w:vAlign w:val="center"/>
          </w:tcPr>
          <w:p>
            <w:pPr>
              <w:pStyle w:val="style0"/>
              <w:spacing w:before="0"/>
              <w:jc w:val="center"/>
              <w:rPr>
                <w:rFonts w:ascii="Arial" w:cs="Arial" w:hAnsi="Arial"/>
              </w:rPr>
            </w:pPr>
          </w:p>
        </w:tc>
      </w:tr>
    </w:tbl>
    <w:p>
      <w:pPr>
        <w:pStyle w:val="style0"/>
        <w:spacing w:before="0"/>
        <w:rPr>
          <w:rFonts w:ascii="Arial" w:cs="Arial" w:hAnsi="Arial"/>
          <w:sz w:val="20"/>
        </w:rPr>
      </w:pPr>
    </w:p>
    <w:p>
      <w:pPr>
        <w:pStyle w:val="style0"/>
        <w:spacing w:before="0"/>
        <w:rPr>
          <w:rFonts w:ascii="Arial" w:cs="Arial" w:hAnsi="Arial"/>
          <w:sz w:val="20"/>
        </w:rPr>
      </w:pPr>
    </w:p>
    <w:p>
      <w:pPr>
        <w:pStyle w:val="style0"/>
        <w:spacing w:before="0"/>
        <w:rPr>
          <w:rFonts w:ascii="Arial" w:cs="Arial" w:hAnsi="Arial"/>
          <w:b/>
        </w:rPr>
      </w:pPr>
      <w:r>
        <w:rPr>
          <w:rFonts w:ascii="Arial" w:cs="Arial" w:hAnsi="Arial"/>
          <w:b/>
          <w:u w:val="dotted"/>
        </w:rPr>
        <w:t>INTITULE DU PROJET/PROGRAMME</w:t>
      </w:r>
      <w:r>
        <w:rPr>
          <w:rFonts w:ascii="Arial" w:cs="Arial" w:hAnsi="Arial"/>
          <w:b/>
        </w:rPr>
        <w:t xml:space="preserve"> : </w:t>
      </w:r>
      <w:r>
        <w:rPr>
          <w:rFonts w:ascii="Arial" w:cs="Arial" w:hAnsi="Arial"/>
          <w:b/>
          <w:u w:val="dotted"/>
        </w:rPr>
        <w:t>PROGRAMME DE DEVELOPPEMENT ET DE COMPETITIVITE AGRICOLE (PDCA)</w:t>
      </w:r>
    </w:p>
    <w:p>
      <w:pPr>
        <w:pStyle w:val="style0"/>
        <w:spacing w:before="0"/>
        <w:jc w:val="center"/>
        <w:rPr>
          <w:rFonts w:ascii="Arial" w:cs="Arial" w:hAnsi="Arial"/>
          <w:b/>
          <w:sz w:val="18"/>
        </w:rPr>
      </w:pPr>
      <w:r>
        <w:rPr>
          <w:rFonts w:ascii="Arial" w:cs="Arial" w:hAnsi="Arial"/>
          <w:b/>
          <w:sz w:val="18"/>
        </w:rPr>
        <w:t>LISTE DES PARTICIPANTS AUX SEANCES DE CONSULTATIONS PUBLIQUES EN VUE DE L’ELABORATION DU CGES/PGPP</w:t>
      </w:r>
      <w:r>
        <w:rPr>
          <w:rFonts w:ascii="Arial" w:cs="Arial" w:hAnsi="Arial"/>
          <w:b/>
          <w:sz w:val="18"/>
        </w:rPr>
        <w:t>/CPR</w:t>
      </w:r>
    </w:p>
    <w:p>
      <w:pPr>
        <w:pStyle w:val="style0"/>
        <w:spacing w:before="0"/>
        <w:rPr>
          <w:rFonts w:ascii="Arial" w:cs="Arial" w:hAnsi="Arial"/>
          <w:b/>
          <w:sz w:val="20"/>
        </w:rPr>
      </w:pPr>
      <w:r>
        <w:rPr>
          <w:rFonts w:ascii="Arial" w:cs="Arial" w:hAnsi="Arial"/>
          <w:b/>
          <w:sz w:val="20"/>
        </w:rPr>
        <w:t xml:space="preserve">Région : </w:t>
      </w:r>
      <w:r>
        <w:rPr>
          <w:rFonts w:ascii="Arial" w:cs="Arial" w:hAnsi="Arial"/>
          <w:b/>
          <w:sz w:val="20"/>
          <w:u w:val="dotted"/>
        </w:rPr>
        <w:t>CASCCADES</w:t>
      </w:r>
      <w:r>
        <w:rPr>
          <w:rFonts w:ascii="Arial" w:cs="Arial" w:hAnsi="Arial"/>
          <w:b/>
          <w:sz w:val="20"/>
        </w:rPr>
        <w:t>…………………………</w:t>
      </w:r>
      <w:r>
        <w:rPr>
          <w:rFonts w:ascii="Arial" w:cs="Arial" w:hAnsi="Arial"/>
          <w:b/>
          <w:sz w:val="20"/>
          <w:u w:val="dotted"/>
        </w:rPr>
        <w:t>Province</w:t>
      </w:r>
      <w:r>
        <w:rPr>
          <w:rFonts w:ascii="Arial" w:cs="Arial" w:hAnsi="Arial"/>
          <w:b/>
          <w:sz w:val="20"/>
        </w:rPr>
        <w:t xml:space="preserve"> : </w:t>
      </w:r>
      <w:r>
        <w:rPr>
          <w:rFonts w:ascii="Arial" w:cs="Arial" w:hAnsi="Arial"/>
          <w:b/>
          <w:sz w:val="20"/>
          <w:u w:val="dotted"/>
        </w:rPr>
        <w:t>LERABA</w:t>
      </w:r>
      <w:r>
        <w:rPr>
          <w:rFonts w:ascii="Arial" w:cs="Arial" w:hAnsi="Arial"/>
          <w:b/>
          <w:sz w:val="20"/>
        </w:rPr>
        <w:t>…………………………….</w:t>
      </w:r>
      <w:r>
        <w:rPr>
          <w:rFonts w:ascii="Arial" w:cs="Arial" w:hAnsi="Arial"/>
          <w:b/>
          <w:sz w:val="20"/>
          <w:u w:val="dotted"/>
        </w:rPr>
        <w:t>Commune</w:t>
      </w:r>
      <w:r>
        <w:rPr>
          <w:rFonts w:ascii="Arial" w:cs="Arial" w:hAnsi="Arial"/>
          <w:b/>
          <w:sz w:val="20"/>
        </w:rPr>
        <w:t xml:space="preserve"> : </w:t>
      </w:r>
      <w:r>
        <w:rPr>
          <w:rFonts w:ascii="Arial" w:cs="Arial" w:hAnsi="Arial"/>
          <w:b/>
          <w:sz w:val="20"/>
          <w:u w:val="dotted"/>
        </w:rPr>
        <w:t>DOUNA</w:t>
      </w:r>
      <w:r>
        <w:rPr>
          <w:rFonts w:ascii="Arial" w:cs="Arial" w:hAnsi="Arial"/>
          <w:b/>
          <w:sz w:val="20"/>
        </w:rPr>
        <w:t>…………………………..</w:t>
      </w:r>
    </w:p>
    <w:p>
      <w:pPr>
        <w:pStyle w:val="style0"/>
        <w:spacing w:before="0"/>
        <w:rPr/>
      </w:pPr>
      <w:r>
        <w:rPr>
          <w:rFonts w:ascii="Arial" w:cs="Arial" w:hAnsi="Arial"/>
          <w:b/>
          <w:sz w:val="20"/>
        </w:rPr>
        <w:t xml:space="preserve">Village : </w:t>
      </w:r>
      <w:r>
        <w:rPr>
          <w:rFonts w:ascii="Arial" w:cs="Arial" w:hAnsi="Arial"/>
          <w:b/>
          <w:sz w:val="20"/>
          <w:u w:val="dotted"/>
        </w:rPr>
        <w:t>DOUNA</w:t>
      </w:r>
      <w:r>
        <w:rPr>
          <w:rFonts w:ascii="Arial" w:cs="Arial" w:hAnsi="Arial"/>
          <w:b/>
          <w:sz w:val="20"/>
        </w:rPr>
        <w:t xml:space="preserve">………………………….Date : </w:t>
      </w:r>
      <w:r>
        <w:rPr>
          <w:rFonts w:ascii="Arial" w:cs="Arial" w:hAnsi="Arial"/>
          <w:b/>
          <w:sz w:val="20"/>
          <w:u w:val="dotted"/>
        </w:rPr>
        <w:t>08/01/2019</w:t>
      </w:r>
      <w:r>
        <w:rPr>
          <w:rFonts w:ascii="Arial" w:cs="Arial" w:hAnsi="Arial"/>
          <w:b/>
          <w:sz w:val="20"/>
        </w:rPr>
        <w:t>…………………</w:t>
      </w:r>
      <w:r>
        <w:rPr>
          <w:rFonts w:ascii="Arial" w:cs="Arial" w:hAnsi="Arial"/>
          <w:b/>
          <w:sz w:val="20"/>
        </w:rPr>
        <w:t xml:space="preserve"> </w:t>
      </w:r>
      <w:r>
        <w:rPr>
          <w:rFonts w:ascii="Arial" w:cs="Arial" w:hAnsi="Arial"/>
          <w:b/>
          <w:sz w:val="20"/>
        </w:rPr>
        <w:t>Groupes cibles : Producteurs/Productrices</w:t>
      </w:r>
    </w:p>
    <w:tbl>
      <w:tblPr>
        <w:tblStyle w:val="style154"/>
        <w:tblW w:w="14771" w:type="dxa"/>
        <w:tblLayout w:type="fixed"/>
        <w:tblLook w:val="04A0" w:firstRow="1" w:lastRow="0" w:firstColumn="1" w:lastColumn="0" w:noHBand="0" w:noVBand="1"/>
      </w:tblPr>
      <w:tblGrid>
        <w:gridCol w:w="675"/>
        <w:gridCol w:w="4962"/>
        <w:gridCol w:w="777"/>
        <w:gridCol w:w="3362"/>
        <w:gridCol w:w="2410"/>
        <w:gridCol w:w="2585"/>
      </w:tblGrid>
      <w:tr>
        <w:trPr/>
        <w:tc>
          <w:tcPr>
            <w:tcW w:w="675" w:type="dxa"/>
            <w:tcBorders/>
            <w:vAlign w:val="center"/>
          </w:tcPr>
          <w:p>
            <w:pPr>
              <w:pStyle w:val="style0"/>
              <w:spacing w:before="0"/>
              <w:jc w:val="center"/>
              <w:rPr>
                <w:rFonts w:ascii="Arial" w:cs="Arial" w:hAnsi="Arial"/>
                <w:b/>
              </w:rPr>
            </w:pPr>
            <w:r>
              <w:rPr>
                <w:rFonts w:ascii="Arial" w:cs="Arial" w:hAnsi="Arial"/>
                <w:b/>
              </w:rPr>
              <w:t>N°</w:t>
            </w:r>
          </w:p>
        </w:tc>
        <w:tc>
          <w:tcPr>
            <w:tcW w:w="4962" w:type="dxa"/>
            <w:tcBorders/>
            <w:vAlign w:val="center"/>
          </w:tcPr>
          <w:p>
            <w:pPr>
              <w:pStyle w:val="style0"/>
              <w:spacing w:before="0"/>
              <w:jc w:val="center"/>
              <w:rPr>
                <w:rFonts w:ascii="Arial" w:cs="Arial" w:hAnsi="Arial"/>
                <w:b/>
              </w:rPr>
            </w:pPr>
            <w:r>
              <w:rPr>
                <w:rFonts w:ascii="Arial" w:cs="Arial" w:hAnsi="Arial"/>
                <w:b/>
              </w:rPr>
              <w:t>Nom et prénom (s)</w:t>
            </w:r>
          </w:p>
        </w:tc>
        <w:tc>
          <w:tcPr>
            <w:tcW w:w="777" w:type="dxa"/>
            <w:tcBorders/>
            <w:vAlign w:val="center"/>
          </w:tcPr>
          <w:p>
            <w:pPr>
              <w:pStyle w:val="style0"/>
              <w:spacing w:before="0"/>
              <w:jc w:val="center"/>
              <w:rPr>
                <w:rFonts w:ascii="Arial" w:cs="Arial" w:hAnsi="Arial"/>
                <w:b/>
              </w:rPr>
            </w:pPr>
            <w:r>
              <w:rPr>
                <w:rFonts w:ascii="Arial" w:cs="Arial" w:hAnsi="Arial"/>
                <w:b/>
              </w:rPr>
              <w:t>Sexe</w:t>
            </w:r>
          </w:p>
        </w:tc>
        <w:tc>
          <w:tcPr>
            <w:tcW w:w="3362" w:type="dxa"/>
            <w:tcBorders/>
            <w:vAlign w:val="center"/>
          </w:tcPr>
          <w:p>
            <w:pPr>
              <w:pStyle w:val="style0"/>
              <w:spacing w:before="0"/>
              <w:jc w:val="center"/>
              <w:rPr>
                <w:rFonts w:ascii="Arial" w:cs="Arial" w:hAnsi="Arial"/>
                <w:b/>
              </w:rPr>
            </w:pPr>
            <w:r>
              <w:rPr>
                <w:rFonts w:ascii="Arial" w:cs="Arial" w:hAnsi="Arial"/>
                <w:b/>
              </w:rPr>
              <w:t>Profession</w:t>
            </w:r>
          </w:p>
        </w:tc>
        <w:tc>
          <w:tcPr>
            <w:tcW w:w="2410" w:type="dxa"/>
            <w:tcBorders/>
            <w:vAlign w:val="center"/>
          </w:tcPr>
          <w:p>
            <w:pPr>
              <w:pStyle w:val="style0"/>
              <w:spacing w:before="0"/>
              <w:jc w:val="center"/>
              <w:rPr>
                <w:rFonts w:ascii="Arial" w:cs="Arial" w:hAnsi="Arial"/>
                <w:b/>
              </w:rPr>
            </w:pPr>
            <w:r>
              <w:rPr>
                <w:rFonts w:ascii="Arial" w:cs="Arial" w:hAnsi="Arial"/>
                <w:b/>
              </w:rPr>
              <w:t>Téléphone</w:t>
            </w:r>
          </w:p>
        </w:tc>
        <w:tc>
          <w:tcPr>
            <w:tcW w:w="2585" w:type="dxa"/>
            <w:tcBorders/>
            <w:vAlign w:val="center"/>
          </w:tcPr>
          <w:p>
            <w:pPr>
              <w:pStyle w:val="style0"/>
              <w:spacing w:before="0"/>
              <w:jc w:val="center"/>
              <w:rPr>
                <w:rFonts w:ascii="Arial" w:cs="Arial" w:hAnsi="Arial"/>
                <w:b/>
              </w:rPr>
            </w:pPr>
            <w:r>
              <w:rPr>
                <w:rFonts w:ascii="Arial" w:cs="Arial" w:hAnsi="Arial"/>
                <w:b/>
              </w:rPr>
              <w:t>Signature/Empreinte</w:t>
            </w:r>
          </w:p>
        </w:tc>
      </w:tr>
      <w:tr>
        <w:tblPrEx/>
        <w:trPr/>
        <w:tc>
          <w:tcPr>
            <w:tcW w:w="675" w:type="dxa"/>
            <w:tcBorders/>
            <w:vAlign w:val="center"/>
          </w:tcPr>
          <w:p>
            <w:pPr>
              <w:pStyle w:val="style0"/>
              <w:spacing w:before="0"/>
              <w:jc w:val="center"/>
              <w:rPr>
                <w:rFonts w:ascii="Arial" w:cs="Arial" w:hAnsi="Arial"/>
              </w:rPr>
            </w:pPr>
            <w:r>
              <w:rPr>
                <w:rFonts w:ascii="Arial" w:cs="Arial" w:hAnsi="Arial"/>
              </w:rPr>
              <w:t>01</w:t>
            </w:r>
          </w:p>
        </w:tc>
        <w:tc>
          <w:tcPr>
            <w:tcW w:w="4962" w:type="dxa"/>
            <w:tcBorders/>
            <w:vAlign w:val="center"/>
          </w:tcPr>
          <w:p>
            <w:pPr>
              <w:pStyle w:val="style0"/>
              <w:spacing w:before="0"/>
              <w:rPr>
                <w:rFonts w:ascii="Arial" w:cs="Arial" w:hAnsi="Arial"/>
              </w:rPr>
            </w:pPr>
            <w:r>
              <w:rPr>
                <w:rFonts w:ascii="Arial" w:cs="Arial" w:hAnsi="Arial"/>
              </w:rPr>
              <w:t>KARA Abdoulaye Djel</w:t>
            </w:r>
          </w:p>
        </w:tc>
        <w:tc>
          <w:tcPr>
            <w:tcW w:w="777" w:type="dxa"/>
            <w:tcBorders/>
          </w:tcPr>
          <w:p>
            <w:pPr>
              <w:pStyle w:val="style0"/>
              <w:spacing w:before="0"/>
              <w:jc w:val="center"/>
              <w:rPr/>
            </w:pPr>
            <w:r>
              <w:rPr>
                <w:rFonts w:ascii="Arial" w:cs="Arial" w:hAnsi="Arial"/>
              </w:rPr>
              <w:t>M</w:t>
            </w:r>
          </w:p>
        </w:tc>
        <w:tc>
          <w:tcPr>
            <w:tcW w:w="3362" w:type="dxa"/>
            <w:tcBorders/>
            <w:vAlign w:val="center"/>
          </w:tcPr>
          <w:p>
            <w:pPr>
              <w:pStyle w:val="style0"/>
              <w:spacing w:before="0"/>
              <w:rPr>
                <w:rFonts w:ascii="Arial" w:cs="Arial" w:hAnsi="Arial"/>
              </w:rPr>
            </w:pPr>
            <w:r>
              <w:rPr>
                <w:rFonts w:ascii="Arial" w:cs="Arial" w:hAnsi="Arial"/>
              </w:rPr>
              <w:t>Producteur</w:t>
            </w:r>
          </w:p>
        </w:tc>
        <w:tc>
          <w:tcPr>
            <w:tcW w:w="2410" w:type="dxa"/>
            <w:tcBorders/>
            <w:vAlign w:val="center"/>
          </w:tcPr>
          <w:p>
            <w:pPr>
              <w:pStyle w:val="style0"/>
              <w:spacing w:before="0"/>
              <w:jc w:val="center"/>
              <w:rPr>
                <w:rFonts w:ascii="Arial" w:cs="Arial" w:hAnsi="Arial"/>
              </w:rPr>
            </w:pPr>
            <w:r>
              <w:rPr>
                <w:rFonts w:ascii="Arial" w:cs="Arial" w:hAnsi="Arial"/>
              </w:rPr>
              <w:t>70 97 09 66</w:t>
            </w:r>
          </w:p>
        </w:tc>
        <w:tc>
          <w:tcPr>
            <w:tcW w:w="2585"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02</w:t>
            </w:r>
          </w:p>
        </w:tc>
        <w:tc>
          <w:tcPr>
            <w:tcW w:w="4962" w:type="dxa"/>
            <w:tcBorders/>
            <w:vAlign w:val="center"/>
          </w:tcPr>
          <w:p>
            <w:pPr>
              <w:pStyle w:val="style0"/>
              <w:spacing w:before="0"/>
              <w:rPr>
                <w:rFonts w:ascii="Arial" w:cs="Arial" w:hAnsi="Arial"/>
              </w:rPr>
            </w:pPr>
            <w:r>
              <w:rPr>
                <w:rFonts w:ascii="Arial" w:cs="Arial" w:hAnsi="Arial"/>
              </w:rPr>
              <w:t>KARA Abdoulaye</w:t>
            </w:r>
          </w:p>
        </w:tc>
        <w:tc>
          <w:tcPr>
            <w:tcW w:w="777" w:type="dxa"/>
            <w:tcBorders/>
          </w:tcPr>
          <w:p>
            <w:pPr>
              <w:pStyle w:val="style0"/>
              <w:spacing w:before="0"/>
              <w:jc w:val="center"/>
              <w:rPr/>
            </w:pPr>
            <w:r>
              <w:rPr>
                <w:rFonts w:ascii="Arial" w:cs="Arial" w:hAnsi="Arial"/>
              </w:rPr>
              <w:t>M</w:t>
            </w:r>
          </w:p>
        </w:tc>
        <w:tc>
          <w:tcPr>
            <w:tcW w:w="3362" w:type="dxa"/>
            <w:tcBorders/>
            <w:vAlign w:val="center"/>
          </w:tcPr>
          <w:p>
            <w:pPr>
              <w:pStyle w:val="style0"/>
              <w:spacing w:before="0"/>
              <w:rPr>
                <w:rFonts w:ascii="Arial" w:cs="Arial" w:hAnsi="Arial"/>
              </w:rPr>
            </w:pPr>
            <w:r>
              <w:rPr>
                <w:rFonts w:ascii="Arial" w:cs="Arial" w:hAnsi="Arial"/>
              </w:rPr>
              <w:t>Producteur</w:t>
            </w:r>
          </w:p>
        </w:tc>
        <w:tc>
          <w:tcPr>
            <w:tcW w:w="2410" w:type="dxa"/>
            <w:tcBorders/>
            <w:vAlign w:val="center"/>
          </w:tcPr>
          <w:p>
            <w:pPr>
              <w:pStyle w:val="style0"/>
              <w:spacing w:before="0"/>
              <w:jc w:val="center"/>
              <w:rPr>
                <w:rFonts w:ascii="Arial" w:cs="Arial" w:hAnsi="Arial"/>
              </w:rPr>
            </w:pPr>
            <w:r>
              <w:rPr>
                <w:rFonts w:ascii="Arial" w:cs="Arial" w:hAnsi="Arial"/>
              </w:rPr>
              <w:t>71 71 01 76</w:t>
            </w:r>
          </w:p>
        </w:tc>
        <w:tc>
          <w:tcPr>
            <w:tcW w:w="2585"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03</w:t>
            </w:r>
          </w:p>
        </w:tc>
        <w:tc>
          <w:tcPr>
            <w:tcW w:w="4962" w:type="dxa"/>
            <w:tcBorders/>
            <w:vAlign w:val="center"/>
          </w:tcPr>
          <w:p>
            <w:pPr>
              <w:pStyle w:val="style0"/>
              <w:spacing w:before="0"/>
              <w:rPr>
                <w:rFonts w:ascii="Arial" w:cs="Arial" w:hAnsi="Arial"/>
              </w:rPr>
            </w:pPr>
            <w:r>
              <w:rPr>
                <w:rFonts w:ascii="Arial" w:cs="Arial" w:hAnsi="Arial"/>
              </w:rPr>
              <w:t>SON Souleymane</w:t>
            </w:r>
          </w:p>
        </w:tc>
        <w:tc>
          <w:tcPr>
            <w:tcW w:w="777" w:type="dxa"/>
            <w:tcBorders/>
          </w:tcPr>
          <w:p>
            <w:pPr>
              <w:pStyle w:val="style0"/>
              <w:spacing w:before="0"/>
              <w:jc w:val="center"/>
              <w:rPr/>
            </w:pPr>
            <w:r>
              <w:rPr>
                <w:rFonts w:ascii="Arial" w:cs="Arial" w:hAnsi="Arial"/>
              </w:rPr>
              <w:t>M</w:t>
            </w:r>
          </w:p>
        </w:tc>
        <w:tc>
          <w:tcPr>
            <w:tcW w:w="3362" w:type="dxa"/>
            <w:tcBorders/>
            <w:vAlign w:val="center"/>
          </w:tcPr>
          <w:p>
            <w:pPr>
              <w:pStyle w:val="style0"/>
              <w:spacing w:before="0"/>
              <w:rPr>
                <w:rFonts w:ascii="Arial" w:cs="Arial" w:hAnsi="Arial"/>
              </w:rPr>
            </w:pPr>
            <w:r>
              <w:rPr>
                <w:rFonts w:ascii="Arial" w:cs="Arial" w:hAnsi="Arial"/>
              </w:rPr>
              <w:t>Producteur</w:t>
            </w:r>
          </w:p>
        </w:tc>
        <w:tc>
          <w:tcPr>
            <w:tcW w:w="2410" w:type="dxa"/>
            <w:tcBorders/>
            <w:vAlign w:val="center"/>
          </w:tcPr>
          <w:p>
            <w:pPr>
              <w:pStyle w:val="style0"/>
              <w:spacing w:before="0"/>
              <w:jc w:val="center"/>
              <w:rPr>
                <w:rFonts w:ascii="Arial" w:cs="Arial" w:hAnsi="Arial"/>
              </w:rPr>
            </w:pPr>
            <w:r>
              <w:rPr>
                <w:rFonts w:ascii="Arial" w:cs="Arial" w:hAnsi="Arial"/>
              </w:rPr>
              <w:t>63 00 69 25</w:t>
            </w:r>
          </w:p>
        </w:tc>
        <w:tc>
          <w:tcPr>
            <w:tcW w:w="2585"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04</w:t>
            </w:r>
          </w:p>
        </w:tc>
        <w:tc>
          <w:tcPr>
            <w:tcW w:w="4962" w:type="dxa"/>
            <w:tcBorders/>
            <w:vAlign w:val="center"/>
          </w:tcPr>
          <w:p>
            <w:pPr>
              <w:pStyle w:val="style0"/>
              <w:spacing w:before="0"/>
              <w:rPr>
                <w:rFonts w:ascii="Arial" w:cs="Arial" w:hAnsi="Arial"/>
              </w:rPr>
            </w:pPr>
            <w:r>
              <w:rPr>
                <w:rFonts w:ascii="Arial" w:cs="Arial" w:hAnsi="Arial"/>
              </w:rPr>
              <w:t>Soura Kémahauya</w:t>
            </w:r>
          </w:p>
        </w:tc>
        <w:tc>
          <w:tcPr>
            <w:tcW w:w="777" w:type="dxa"/>
            <w:tcBorders/>
          </w:tcPr>
          <w:p>
            <w:pPr>
              <w:pStyle w:val="style0"/>
              <w:spacing w:before="0"/>
              <w:jc w:val="center"/>
              <w:rPr/>
            </w:pPr>
            <w:r>
              <w:rPr>
                <w:rFonts w:ascii="Arial" w:cs="Arial" w:hAnsi="Arial"/>
              </w:rPr>
              <w:t>M</w:t>
            </w:r>
          </w:p>
        </w:tc>
        <w:tc>
          <w:tcPr>
            <w:tcW w:w="3362" w:type="dxa"/>
            <w:tcBorders/>
            <w:vAlign w:val="center"/>
          </w:tcPr>
          <w:p>
            <w:pPr>
              <w:pStyle w:val="style0"/>
              <w:spacing w:before="0"/>
              <w:rPr>
                <w:rFonts w:ascii="Arial" w:cs="Arial" w:hAnsi="Arial"/>
              </w:rPr>
            </w:pPr>
            <w:r>
              <w:rPr>
                <w:rFonts w:ascii="Arial" w:cs="Arial" w:hAnsi="Arial"/>
              </w:rPr>
              <w:t>Producteur</w:t>
            </w:r>
          </w:p>
        </w:tc>
        <w:tc>
          <w:tcPr>
            <w:tcW w:w="2410" w:type="dxa"/>
            <w:tcBorders/>
            <w:vAlign w:val="center"/>
          </w:tcPr>
          <w:p>
            <w:pPr>
              <w:pStyle w:val="style0"/>
              <w:spacing w:before="0"/>
              <w:jc w:val="center"/>
              <w:rPr>
                <w:rFonts w:ascii="Arial" w:cs="Arial" w:hAnsi="Arial"/>
              </w:rPr>
            </w:pPr>
            <w:r>
              <w:rPr>
                <w:rFonts w:ascii="Arial" w:cs="Arial" w:hAnsi="Arial"/>
              </w:rPr>
              <w:t>70 05 24 10</w:t>
            </w:r>
          </w:p>
        </w:tc>
        <w:tc>
          <w:tcPr>
            <w:tcW w:w="2585"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05</w:t>
            </w:r>
          </w:p>
        </w:tc>
        <w:tc>
          <w:tcPr>
            <w:tcW w:w="4962" w:type="dxa"/>
            <w:tcBorders/>
            <w:vAlign w:val="center"/>
          </w:tcPr>
          <w:p>
            <w:pPr>
              <w:pStyle w:val="style0"/>
              <w:spacing w:before="0"/>
              <w:rPr>
                <w:rFonts w:ascii="Arial" w:cs="Arial" w:hAnsi="Arial"/>
              </w:rPr>
            </w:pPr>
            <w:r>
              <w:rPr>
                <w:rFonts w:ascii="Arial" w:cs="Arial" w:hAnsi="Arial"/>
              </w:rPr>
              <w:t>SON Sibiry</w:t>
            </w:r>
          </w:p>
        </w:tc>
        <w:tc>
          <w:tcPr>
            <w:tcW w:w="777" w:type="dxa"/>
            <w:tcBorders/>
          </w:tcPr>
          <w:p>
            <w:pPr>
              <w:pStyle w:val="style0"/>
              <w:spacing w:before="0"/>
              <w:jc w:val="center"/>
              <w:rPr/>
            </w:pPr>
            <w:r>
              <w:rPr>
                <w:rFonts w:ascii="Arial" w:cs="Arial" w:hAnsi="Arial"/>
              </w:rPr>
              <w:t>M</w:t>
            </w:r>
          </w:p>
        </w:tc>
        <w:tc>
          <w:tcPr>
            <w:tcW w:w="3362" w:type="dxa"/>
            <w:tcBorders/>
            <w:vAlign w:val="center"/>
          </w:tcPr>
          <w:p>
            <w:pPr>
              <w:pStyle w:val="style0"/>
              <w:spacing w:before="0"/>
              <w:rPr>
                <w:rFonts w:ascii="Arial" w:cs="Arial" w:hAnsi="Arial"/>
              </w:rPr>
            </w:pPr>
            <w:r>
              <w:rPr>
                <w:rFonts w:ascii="Arial" w:cs="Arial" w:hAnsi="Arial"/>
              </w:rPr>
              <w:t>Producteur</w:t>
            </w:r>
          </w:p>
        </w:tc>
        <w:tc>
          <w:tcPr>
            <w:tcW w:w="2410" w:type="dxa"/>
            <w:tcBorders/>
            <w:vAlign w:val="center"/>
          </w:tcPr>
          <w:p>
            <w:pPr>
              <w:pStyle w:val="style0"/>
              <w:spacing w:before="0"/>
              <w:jc w:val="center"/>
              <w:rPr>
                <w:rFonts w:ascii="Arial" w:cs="Arial" w:hAnsi="Arial"/>
              </w:rPr>
            </w:pPr>
            <w:r>
              <w:rPr>
                <w:rFonts w:ascii="Arial" w:cs="Arial" w:hAnsi="Arial"/>
              </w:rPr>
              <w:t>76 72 17 95</w:t>
            </w:r>
          </w:p>
        </w:tc>
        <w:tc>
          <w:tcPr>
            <w:tcW w:w="2585"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06</w:t>
            </w:r>
          </w:p>
        </w:tc>
        <w:tc>
          <w:tcPr>
            <w:tcW w:w="4962" w:type="dxa"/>
            <w:tcBorders/>
            <w:vAlign w:val="center"/>
          </w:tcPr>
          <w:p>
            <w:pPr>
              <w:pStyle w:val="style0"/>
              <w:spacing w:before="0"/>
              <w:rPr>
                <w:rFonts w:ascii="Arial" w:cs="Arial" w:hAnsi="Arial"/>
              </w:rPr>
            </w:pPr>
            <w:r>
              <w:rPr>
                <w:rFonts w:ascii="Arial" w:cs="Arial" w:hAnsi="Arial"/>
              </w:rPr>
              <w:t>KARA Issa</w:t>
            </w:r>
          </w:p>
        </w:tc>
        <w:tc>
          <w:tcPr>
            <w:tcW w:w="777" w:type="dxa"/>
            <w:tcBorders/>
          </w:tcPr>
          <w:p>
            <w:pPr>
              <w:pStyle w:val="style0"/>
              <w:spacing w:before="0"/>
              <w:jc w:val="center"/>
              <w:rPr/>
            </w:pPr>
            <w:r>
              <w:rPr>
                <w:rFonts w:ascii="Arial" w:cs="Arial" w:hAnsi="Arial"/>
              </w:rPr>
              <w:t>M</w:t>
            </w:r>
          </w:p>
        </w:tc>
        <w:tc>
          <w:tcPr>
            <w:tcW w:w="3362" w:type="dxa"/>
            <w:tcBorders/>
            <w:vAlign w:val="center"/>
          </w:tcPr>
          <w:p>
            <w:pPr>
              <w:pStyle w:val="style0"/>
              <w:spacing w:before="0"/>
              <w:rPr>
                <w:rFonts w:ascii="Arial" w:cs="Arial" w:hAnsi="Arial"/>
              </w:rPr>
            </w:pPr>
            <w:r>
              <w:rPr>
                <w:rFonts w:ascii="Arial" w:cs="Arial" w:hAnsi="Arial"/>
              </w:rPr>
              <w:t>Producteur</w:t>
            </w:r>
          </w:p>
        </w:tc>
        <w:tc>
          <w:tcPr>
            <w:tcW w:w="2410" w:type="dxa"/>
            <w:tcBorders/>
            <w:vAlign w:val="center"/>
          </w:tcPr>
          <w:p>
            <w:pPr>
              <w:pStyle w:val="style0"/>
              <w:spacing w:before="0"/>
              <w:jc w:val="center"/>
              <w:rPr>
                <w:rFonts w:ascii="Arial" w:cs="Arial" w:hAnsi="Arial"/>
              </w:rPr>
            </w:pPr>
            <w:r>
              <w:rPr>
                <w:rFonts w:ascii="Arial" w:cs="Arial" w:hAnsi="Arial"/>
              </w:rPr>
              <w:t>76 99 69 68</w:t>
            </w:r>
          </w:p>
        </w:tc>
        <w:tc>
          <w:tcPr>
            <w:tcW w:w="2585"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07</w:t>
            </w:r>
          </w:p>
        </w:tc>
        <w:tc>
          <w:tcPr>
            <w:tcW w:w="4962" w:type="dxa"/>
            <w:tcBorders/>
            <w:vAlign w:val="center"/>
          </w:tcPr>
          <w:p>
            <w:pPr>
              <w:pStyle w:val="style0"/>
              <w:spacing w:before="0"/>
              <w:rPr>
                <w:rFonts w:ascii="Arial" w:cs="Arial" w:hAnsi="Arial"/>
              </w:rPr>
            </w:pPr>
            <w:r>
              <w:rPr>
                <w:rFonts w:ascii="Arial" w:cs="Arial" w:hAnsi="Arial"/>
              </w:rPr>
              <w:t>KARA Ardiouma</w:t>
            </w:r>
          </w:p>
        </w:tc>
        <w:tc>
          <w:tcPr>
            <w:tcW w:w="777" w:type="dxa"/>
            <w:tcBorders/>
          </w:tcPr>
          <w:p>
            <w:pPr>
              <w:pStyle w:val="style0"/>
              <w:spacing w:before="0"/>
              <w:jc w:val="center"/>
              <w:rPr/>
            </w:pPr>
            <w:r>
              <w:rPr>
                <w:rFonts w:ascii="Arial" w:cs="Arial" w:hAnsi="Arial"/>
              </w:rPr>
              <w:t>M</w:t>
            </w:r>
          </w:p>
        </w:tc>
        <w:tc>
          <w:tcPr>
            <w:tcW w:w="3362" w:type="dxa"/>
            <w:tcBorders/>
            <w:vAlign w:val="center"/>
          </w:tcPr>
          <w:p>
            <w:pPr>
              <w:pStyle w:val="style0"/>
              <w:spacing w:before="0"/>
              <w:rPr>
                <w:rFonts w:ascii="Arial" w:cs="Arial" w:hAnsi="Arial"/>
              </w:rPr>
            </w:pPr>
            <w:r>
              <w:rPr>
                <w:rFonts w:ascii="Arial" w:cs="Arial" w:hAnsi="Arial"/>
              </w:rPr>
              <w:t>Producteur/CVD</w:t>
            </w:r>
          </w:p>
        </w:tc>
        <w:tc>
          <w:tcPr>
            <w:tcW w:w="2410" w:type="dxa"/>
            <w:tcBorders/>
            <w:vAlign w:val="center"/>
          </w:tcPr>
          <w:p>
            <w:pPr>
              <w:pStyle w:val="style0"/>
              <w:spacing w:before="0"/>
              <w:jc w:val="center"/>
              <w:rPr>
                <w:rFonts w:ascii="Arial" w:cs="Arial" w:hAnsi="Arial"/>
              </w:rPr>
            </w:pPr>
            <w:r>
              <w:rPr>
                <w:rFonts w:ascii="Arial" w:cs="Arial" w:hAnsi="Arial"/>
              </w:rPr>
              <w:t>62 49 94 14</w:t>
            </w:r>
          </w:p>
        </w:tc>
        <w:tc>
          <w:tcPr>
            <w:tcW w:w="2585"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08</w:t>
            </w:r>
          </w:p>
        </w:tc>
        <w:tc>
          <w:tcPr>
            <w:tcW w:w="4962" w:type="dxa"/>
            <w:tcBorders/>
            <w:vAlign w:val="center"/>
          </w:tcPr>
          <w:p>
            <w:pPr>
              <w:pStyle w:val="style0"/>
              <w:spacing w:before="0"/>
              <w:rPr>
                <w:rFonts w:ascii="Arial" w:cs="Arial" w:hAnsi="Arial"/>
              </w:rPr>
            </w:pPr>
            <w:r>
              <w:rPr>
                <w:rFonts w:ascii="Arial" w:cs="Arial" w:hAnsi="Arial"/>
              </w:rPr>
              <w:t>SOURA Bassara</w:t>
            </w:r>
          </w:p>
        </w:tc>
        <w:tc>
          <w:tcPr>
            <w:tcW w:w="777" w:type="dxa"/>
            <w:tcBorders/>
            <w:vAlign w:val="center"/>
          </w:tcPr>
          <w:p>
            <w:pPr>
              <w:pStyle w:val="style0"/>
              <w:spacing w:before="0"/>
              <w:jc w:val="center"/>
              <w:rPr>
                <w:rFonts w:ascii="Arial" w:cs="Arial" w:hAnsi="Arial"/>
              </w:rPr>
            </w:pPr>
            <w:r>
              <w:rPr>
                <w:rFonts w:ascii="Arial" w:cs="Arial" w:hAnsi="Arial"/>
              </w:rPr>
              <w:t>M</w:t>
            </w:r>
          </w:p>
        </w:tc>
        <w:tc>
          <w:tcPr>
            <w:tcW w:w="3362" w:type="dxa"/>
            <w:tcBorders/>
            <w:vAlign w:val="center"/>
          </w:tcPr>
          <w:p>
            <w:pPr>
              <w:pStyle w:val="style0"/>
              <w:spacing w:before="0"/>
              <w:rPr>
                <w:rFonts w:ascii="Arial" w:cs="Arial" w:hAnsi="Arial"/>
              </w:rPr>
            </w:pPr>
            <w:r>
              <w:rPr>
                <w:rFonts w:ascii="Arial" w:cs="Arial" w:hAnsi="Arial"/>
              </w:rPr>
              <w:t>Producteur/CVD</w:t>
            </w:r>
          </w:p>
        </w:tc>
        <w:tc>
          <w:tcPr>
            <w:tcW w:w="2410" w:type="dxa"/>
            <w:tcBorders/>
            <w:vAlign w:val="center"/>
          </w:tcPr>
          <w:p>
            <w:pPr>
              <w:pStyle w:val="style0"/>
              <w:spacing w:before="0"/>
              <w:jc w:val="center"/>
              <w:rPr>
                <w:rFonts w:ascii="Arial" w:cs="Arial" w:hAnsi="Arial"/>
              </w:rPr>
            </w:pPr>
            <w:r>
              <w:rPr>
                <w:rFonts w:ascii="Arial" w:cs="Arial" w:hAnsi="Arial"/>
              </w:rPr>
              <w:t>70 05 24 15</w:t>
            </w:r>
          </w:p>
        </w:tc>
        <w:tc>
          <w:tcPr>
            <w:tcW w:w="2585"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09</w:t>
            </w:r>
          </w:p>
        </w:tc>
        <w:tc>
          <w:tcPr>
            <w:tcW w:w="4962" w:type="dxa"/>
            <w:tcBorders/>
            <w:vAlign w:val="center"/>
          </w:tcPr>
          <w:p>
            <w:pPr>
              <w:pStyle w:val="style0"/>
              <w:spacing w:before="0"/>
              <w:rPr>
                <w:rFonts w:ascii="Arial" w:cs="Arial" w:hAnsi="Arial"/>
              </w:rPr>
            </w:pPr>
            <w:r>
              <w:rPr>
                <w:rFonts w:ascii="Arial" w:cs="Arial" w:hAnsi="Arial"/>
              </w:rPr>
              <w:t>HIE Tombli</w:t>
            </w:r>
          </w:p>
        </w:tc>
        <w:tc>
          <w:tcPr>
            <w:tcW w:w="777" w:type="dxa"/>
            <w:tcBorders/>
          </w:tcPr>
          <w:p>
            <w:pPr>
              <w:pStyle w:val="style0"/>
              <w:spacing w:before="0"/>
              <w:jc w:val="center"/>
              <w:rPr>
                <w:rFonts w:ascii="Arial" w:cs="Arial" w:hAnsi="Arial"/>
              </w:rPr>
            </w:pPr>
            <w:r>
              <w:rPr>
                <w:rFonts w:ascii="Arial" w:cs="Arial" w:hAnsi="Arial"/>
              </w:rPr>
              <w:t>F</w:t>
            </w:r>
          </w:p>
        </w:tc>
        <w:tc>
          <w:tcPr>
            <w:tcW w:w="3362" w:type="dxa"/>
            <w:tcBorders/>
            <w:vAlign w:val="center"/>
          </w:tcPr>
          <w:p>
            <w:pPr>
              <w:pStyle w:val="style0"/>
              <w:spacing w:before="0"/>
              <w:rPr>
                <w:rFonts w:ascii="Arial" w:cs="Arial" w:hAnsi="Arial"/>
              </w:rPr>
            </w:pPr>
            <w:r>
              <w:rPr>
                <w:rFonts w:ascii="Arial" w:cs="Arial" w:hAnsi="Arial"/>
              </w:rPr>
              <w:t>Productrice</w:t>
            </w:r>
          </w:p>
        </w:tc>
        <w:tc>
          <w:tcPr>
            <w:tcW w:w="2410" w:type="dxa"/>
            <w:tcBorders/>
            <w:vAlign w:val="center"/>
          </w:tcPr>
          <w:p>
            <w:pPr>
              <w:pStyle w:val="style0"/>
              <w:spacing w:before="0"/>
              <w:jc w:val="center"/>
              <w:rPr>
                <w:rFonts w:ascii="Arial" w:cs="Arial" w:hAnsi="Arial"/>
              </w:rPr>
            </w:pPr>
            <w:r>
              <w:rPr>
                <w:rFonts w:ascii="Arial" w:cs="Arial" w:hAnsi="Arial"/>
              </w:rPr>
              <w:t>-</w:t>
            </w:r>
          </w:p>
        </w:tc>
        <w:tc>
          <w:tcPr>
            <w:tcW w:w="2585"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10</w:t>
            </w:r>
          </w:p>
        </w:tc>
        <w:tc>
          <w:tcPr>
            <w:tcW w:w="4962" w:type="dxa"/>
            <w:tcBorders/>
            <w:vAlign w:val="center"/>
          </w:tcPr>
          <w:p>
            <w:pPr>
              <w:pStyle w:val="style0"/>
              <w:spacing w:before="0"/>
              <w:rPr>
                <w:rFonts w:ascii="Arial" w:cs="Arial" w:hAnsi="Arial"/>
              </w:rPr>
            </w:pPr>
            <w:r>
              <w:rPr>
                <w:rFonts w:ascii="Arial" w:cs="Arial" w:hAnsi="Arial"/>
              </w:rPr>
              <w:t>SOURA Mariam</w:t>
            </w:r>
          </w:p>
        </w:tc>
        <w:tc>
          <w:tcPr>
            <w:tcW w:w="777" w:type="dxa"/>
            <w:tcBorders/>
          </w:tcPr>
          <w:p>
            <w:pPr>
              <w:pStyle w:val="style0"/>
              <w:spacing w:before="0"/>
              <w:jc w:val="center"/>
              <w:rPr/>
            </w:pPr>
            <w:r>
              <w:rPr>
                <w:rFonts w:ascii="Arial" w:cs="Arial" w:hAnsi="Arial"/>
              </w:rPr>
              <w:t>F</w:t>
            </w:r>
          </w:p>
        </w:tc>
        <w:tc>
          <w:tcPr>
            <w:tcW w:w="3362" w:type="dxa"/>
            <w:tcBorders/>
            <w:vAlign w:val="center"/>
          </w:tcPr>
          <w:p>
            <w:pPr>
              <w:pStyle w:val="style0"/>
              <w:spacing w:before="0"/>
              <w:rPr>
                <w:rFonts w:ascii="Arial" w:cs="Arial" w:hAnsi="Arial"/>
              </w:rPr>
            </w:pPr>
            <w:r>
              <w:rPr>
                <w:rFonts w:ascii="Arial" w:cs="Arial" w:hAnsi="Arial"/>
              </w:rPr>
              <w:t>Productrice</w:t>
            </w:r>
          </w:p>
        </w:tc>
        <w:tc>
          <w:tcPr>
            <w:tcW w:w="2410" w:type="dxa"/>
            <w:tcBorders/>
            <w:vAlign w:val="center"/>
          </w:tcPr>
          <w:p>
            <w:pPr>
              <w:pStyle w:val="style0"/>
              <w:spacing w:before="0"/>
              <w:jc w:val="center"/>
              <w:rPr>
                <w:rFonts w:ascii="Arial" w:cs="Arial" w:hAnsi="Arial"/>
              </w:rPr>
            </w:pPr>
            <w:r>
              <w:rPr>
                <w:rFonts w:ascii="Arial" w:cs="Arial" w:hAnsi="Arial"/>
              </w:rPr>
              <w:t>-</w:t>
            </w:r>
          </w:p>
        </w:tc>
        <w:tc>
          <w:tcPr>
            <w:tcW w:w="2585"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11</w:t>
            </w:r>
          </w:p>
        </w:tc>
        <w:tc>
          <w:tcPr>
            <w:tcW w:w="4962" w:type="dxa"/>
            <w:tcBorders/>
            <w:vAlign w:val="center"/>
          </w:tcPr>
          <w:p>
            <w:pPr>
              <w:pStyle w:val="style0"/>
              <w:spacing w:before="0"/>
              <w:rPr>
                <w:rFonts w:ascii="Arial" w:cs="Arial" w:hAnsi="Arial"/>
              </w:rPr>
            </w:pPr>
            <w:r>
              <w:rPr>
                <w:rFonts w:ascii="Arial" w:cs="Arial" w:hAnsi="Arial"/>
              </w:rPr>
              <w:t>SON Salimata</w:t>
            </w:r>
          </w:p>
        </w:tc>
        <w:tc>
          <w:tcPr>
            <w:tcW w:w="777" w:type="dxa"/>
            <w:tcBorders/>
          </w:tcPr>
          <w:p>
            <w:pPr>
              <w:pStyle w:val="style0"/>
              <w:spacing w:before="0"/>
              <w:jc w:val="center"/>
              <w:rPr/>
            </w:pPr>
            <w:r>
              <w:rPr>
                <w:rFonts w:ascii="Arial" w:cs="Arial" w:hAnsi="Arial"/>
              </w:rPr>
              <w:t>F</w:t>
            </w:r>
          </w:p>
        </w:tc>
        <w:tc>
          <w:tcPr>
            <w:tcW w:w="3362" w:type="dxa"/>
            <w:tcBorders/>
            <w:vAlign w:val="center"/>
          </w:tcPr>
          <w:p>
            <w:pPr>
              <w:pStyle w:val="style0"/>
              <w:spacing w:before="0"/>
              <w:rPr>
                <w:rFonts w:ascii="Arial" w:cs="Arial" w:hAnsi="Arial"/>
              </w:rPr>
            </w:pPr>
            <w:r>
              <w:rPr>
                <w:rFonts w:ascii="Arial" w:cs="Arial" w:hAnsi="Arial"/>
              </w:rPr>
              <w:t>Productrice</w:t>
            </w:r>
          </w:p>
        </w:tc>
        <w:tc>
          <w:tcPr>
            <w:tcW w:w="2410" w:type="dxa"/>
            <w:tcBorders/>
            <w:vAlign w:val="center"/>
          </w:tcPr>
          <w:p>
            <w:pPr>
              <w:pStyle w:val="style0"/>
              <w:spacing w:before="0"/>
              <w:jc w:val="center"/>
              <w:rPr>
                <w:rFonts w:ascii="Arial" w:cs="Arial" w:hAnsi="Arial"/>
              </w:rPr>
            </w:pPr>
            <w:r>
              <w:rPr>
                <w:rFonts w:ascii="Arial" w:cs="Arial" w:hAnsi="Arial"/>
              </w:rPr>
              <w:t>54 39 27 73</w:t>
            </w:r>
          </w:p>
        </w:tc>
        <w:tc>
          <w:tcPr>
            <w:tcW w:w="2585"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12</w:t>
            </w:r>
          </w:p>
        </w:tc>
        <w:tc>
          <w:tcPr>
            <w:tcW w:w="4962" w:type="dxa"/>
            <w:tcBorders/>
            <w:vAlign w:val="center"/>
          </w:tcPr>
          <w:p>
            <w:pPr>
              <w:pStyle w:val="style0"/>
              <w:spacing w:before="0"/>
              <w:rPr>
                <w:rFonts w:ascii="Arial" w:cs="Arial" w:hAnsi="Arial"/>
              </w:rPr>
            </w:pPr>
            <w:r>
              <w:rPr>
                <w:rFonts w:ascii="Arial" w:cs="Arial" w:hAnsi="Arial"/>
              </w:rPr>
              <w:t>SIRI Ma Fanassé</w:t>
            </w:r>
          </w:p>
        </w:tc>
        <w:tc>
          <w:tcPr>
            <w:tcW w:w="777" w:type="dxa"/>
            <w:tcBorders/>
          </w:tcPr>
          <w:p>
            <w:pPr>
              <w:pStyle w:val="style0"/>
              <w:spacing w:before="0"/>
              <w:jc w:val="center"/>
              <w:rPr/>
            </w:pPr>
            <w:r>
              <w:rPr>
                <w:rFonts w:ascii="Arial" w:cs="Arial" w:hAnsi="Arial"/>
              </w:rPr>
              <w:t>F</w:t>
            </w:r>
          </w:p>
        </w:tc>
        <w:tc>
          <w:tcPr>
            <w:tcW w:w="3362" w:type="dxa"/>
            <w:tcBorders/>
            <w:vAlign w:val="center"/>
          </w:tcPr>
          <w:p>
            <w:pPr>
              <w:pStyle w:val="style0"/>
              <w:spacing w:before="0"/>
              <w:rPr>
                <w:rFonts w:ascii="Arial" w:cs="Arial" w:hAnsi="Arial"/>
              </w:rPr>
            </w:pPr>
            <w:r>
              <w:rPr>
                <w:rFonts w:ascii="Arial" w:cs="Arial" w:hAnsi="Arial"/>
              </w:rPr>
              <w:t>Etuveuse</w:t>
            </w:r>
          </w:p>
        </w:tc>
        <w:tc>
          <w:tcPr>
            <w:tcW w:w="2410" w:type="dxa"/>
            <w:tcBorders/>
            <w:vAlign w:val="center"/>
          </w:tcPr>
          <w:p>
            <w:pPr>
              <w:pStyle w:val="style0"/>
              <w:spacing w:before="0"/>
              <w:jc w:val="center"/>
              <w:rPr>
                <w:rFonts w:ascii="Arial" w:cs="Arial" w:hAnsi="Arial"/>
              </w:rPr>
            </w:pPr>
            <w:r>
              <w:rPr>
                <w:rFonts w:ascii="Arial" w:cs="Arial" w:hAnsi="Arial"/>
              </w:rPr>
              <w:t>75 07 32 32</w:t>
            </w:r>
          </w:p>
        </w:tc>
        <w:tc>
          <w:tcPr>
            <w:tcW w:w="2585"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13</w:t>
            </w:r>
          </w:p>
        </w:tc>
        <w:tc>
          <w:tcPr>
            <w:tcW w:w="4962" w:type="dxa"/>
            <w:tcBorders/>
            <w:vAlign w:val="center"/>
          </w:tcPr>
          <w:p>
            <w:pPr>
              <w:pStyle w:val="style0"/>
              <w:spacing w:before="0"/>
              <w:rPr>
                <w:rFonts w:ascii="Arial" w:cs="Arial" w:hAnsi="Arial"/>
              </w:rPr>
            </w:pPr>
            <w:r>
              <w:rPr>
                <w:rFonts w:ascii="Arial" w:cs="Arial" w:hAnsi="Arial"/>
              </w:rPr>
              <w:t>KARA Tiakou</w:t>
            </w:r>
          </w:p>
        </w:tc>
        <w:tc>
          <w:tcPr>
            <w:tcW w:w="777" w:type="dxa"/>
            <w:tcBorders/>
          </w:tcPr>
          <w:p>
            <w:pPr>
              <w:pStyle w:val="style0"/>
              <w:spacing w:before="0"/>
              <w:jc w:val="center"/>
              <w:rPr/>
            </w:pPr>
            <w:r>
              <w:rPr>
                <w:rFonts w:ascii="Arial" w:cs="Arial" w:hAnsi="Arial"/>
              </w:rPr>
              <w:t>F</w:t>
            </w:r>
          </w:p>
        </w:tc>
        <w:tc>
          <w:tcPr>
            <w:tcW w:w="3362" w:type="dxa"/>
            <w:tcBorders/>
            <w:vAlign w:val="center"/>
          </w:tcPr>
          <w:p>
            <w:pPr>
              <w:pStyle w:val="style0"/>
              <w:spacing w:before="0"/>
              <w:rPr>
                <w:rFonts w:ascii="Arial" w:cs="Arial" w:hAnsi="Arial"/>
              </w:rPr>
            </w:pPr>
            <w:r>
              <w:rPr>
                <w:rFonts w:ascii="Arial" w:cs="Arial" w:hAnsi="Arial"/>
              </w:rPr>
              <w:t>Productrice</w:t>
            </w:r>
          </w:p>
        </w:tc>
        <w:tc>
          <w:tcPr>
            <w:tcW w:w="2410" w:type="dxa"/>
            <w:tcBorders/>
            <w:vAlign w:val="center"/>
          </w:tcPr>
          <w:p>
            <w:pPr>
              <w:pStyle w:val="style0"/>
              <w:spacing w:before="0"/>
              <w:jc w:val="center"/>
              <w:rPr>
                <w:rFonts w:ascii="Arial" w:cs="Arial" w:hAnsi="Arial"/>
              </w:rPr>
            </w:pPr>
            <w:r>
              <w:rPr>
                <w:rFonts w:ascii="Arial" w:cs="Arial" w:hAnsi="Arial"/>
              </w:rPr>
              <w:t>60 66 69 58</w:t>
            </w:r>
          </w:p>
        </w:tc>
        <w:tc>
          <w:tcPr>
            <w:tcW w:w="2585"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14</w:t>
            </w:r>
          </w:p>
        </w:tc>
        <w:tc>
          <w:tcPr>
            <w:tcW w:w="4962" w:type="dxa"/>
            <w:tcBorders/>
            <w:vAlign w:val="center"/>
          </w:tcPr>
          <w:p>
            <w:pPr>
              <w:pStyle w:val="style0"/>
              <w:spacing w:before="0"/>
              <w:rPr>
                <w:rFonts w:ascii="Arial" w:cs="Arial" w:hAnsi="Arial"/>
              </w:rPr>
            </w:pPr>
            <w:r>
              <w:rPr>
                <w:rFonts w:ascii="Arial" w:cs="Arial" w:hAnsi="Arial"/>
              </w:rPr>
              <w:t>SOURA Djouma</w:t>
            </w:r>
          </w:p>
        </w:tc>
        <w:tc>
          <w:tcPr>
            <w:tcW w:w="777" w:type="dxa"/>
            <w:tcBorders/>
          </w:tcPr>
          <w:p>
            <w:pPr>
              <w:pStyle w:val="style0"/>
              <w:spacing w:before="0"/>
              <w:jc w:val="center"/>
              <w:rPr/>
            </w:pPr>
            <w:r>
              <w:rPr>
                <w:rFonts w:ascii="Arial" w:cs="Arial" w:hAnsi="Arial"/>
              </w:rPr>
              <w:t>F</w:t>
            </w:r>
          </w:p>
        </w:tc>
        <w:tc>
          <w:tcPr>
            <w:tcW w:w="3362" w:type="dxa"/>
            <w:tcBorders/>
            <w:vAlign w:val="center"/>
          </w:tcPr>
          <w:p>
            <w:pPr>
              <w:pStyle w:val="style0"/>
              <w:spacing w:before="0"/>
              <w:rPr>
                <w:rFonts w:ascii="Arial" w:cs="Arial" w:hAnsi="Arial"/>
              </w:rPr>
            </w:pPr>
            <w:r>
              <w:rPr>
                <w:rFonts w:ascii="Arial" w:cs="Arial" w:hAnsi="Arial"/>
              </w:rPr>
              <w:t>Etuveuse</w:t>
            </w:r>
          </w:p>
        </w:tc>
        <w:tc>
          <w:tcPr>
            <w:tcW w:w="2410" w:type="dxa"/>
            <w:tcBorders/>
            <w:vAlign w:val="center"/>
          </w:tcPr>
          <w:p>
            <w:pPr>
              <w:pStyle w:val="style0"/>
              <w:spacing w:before="0"/>
              <w:jc w:val="center"/>
              <w:rPr>
                <w:rFonts w:ascii="Arial" w:cs="Arial" w:hAnsi="Arial"/>
              </w:rPr>
            </w:pPr>
            <w:r>
              <w:rPr>
                <w:rFonts w:ascii="Arial" w:cs="Arial" w:hAnsi="Arial"/>
              </w:rPr>
              <w:t>70 58 22 81</w:t>
            </w:r>
          </w:p>
        </w:tc>
        <w:tc>
          <w:tcPr>
            <w:tcW w:w="2585"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15</w:t>
            </w:r>
          </w:p>
        </w:tc>
        <w:tc>
          <w:tcPr>
            <w:tcW w:w="4962" w:type="dxa"/>
            <w:tcBorders/>
            <w:vAlign w:val="center"/>
          </w:tcPr>
          <w:p>
            <w:pPr>
              <w:pStyle w:val="style0"/>
              <w:spacing w:before="0"/>
              <w:rPr>
                <w:rFonts w:ascii="Arial" w:cs="Arial" w:hAnsi="Arial"/>
              </w:rPr>
            </w:pPr>
            <w:r>
              <w:rPr>
                <w:rFonts w:ascii="Arial" w:cs="Arial" w:hAnsi="Arial"/>
              </w:rPr>
              <w:t>HIE Dramane</w:t>
            </w:r>
          </w:p>
        </w:tc>
        <w:tc>
          <w:tcPr>
            <w:tcW w:w="777" w:type="dxa"/>
            <w:tcBorders/>
          </w:tcPr>
          <w:p>
            <w:pPr>
              <w:pStyle w:val="style0"/>
              <w:spacing w:before="0"/>
              <w:jc w:val="center"/>
              <w:rPr>
                <w:rFonts w:ascii="Arial" w:cs="Arial" w:hAnsi="Arial"/>
              </w:rPr>
            </w:pPr>
            <w:r>
              <w:rPr>
                <w:rFonts w:ascii="Arial" w:cs="Arial" w:hAnsi="Arial"/>
              </w:rPr>
              <w:t>M</w:t>
            </w:r>
          </w:p>
        </w:tc>
        <w:tc>
          <w:tcPr>
            <w:tcW w:w="3362" w:type="dxa"/>
            <w:tcBorders/>
          </w:tcPr>
          <w:p>
            <w:pPr>
              <w:pStyle w:val="style0"/>
              <w:spacing w:before="0"/>
              <w:rPr/>
            </w:pPr>
            <w:r>
              <w:rPr>
                <w:rFonts w:ascii="Arial" w:cs="Arial" w:hAnsi="Arial"/>
              </w:rPr>
              <w:t>Producteur</w:t>
            </w:r>
          </w:p>
        </w:tc>
        <w:tc>
          <w:tcPr>
            <w:tcW w:w="2410" w:type="dxa"/>
            <w:tcBorders/>
            <w:vAlign w:val="center"/>
          </w:tcPr>
          <w:p>
            <w:pPr>
              <w:pStyle w:val="style0"/>
              <w:spacing w:before="0"/>
              <w:jc w:val="center"/>
              <w:rPr>
                <w:rFonts w:ascii="Arial" w:cs="Arial" w:hAnsi="Arial"/>
              </w:rPr>
            </w:pPr>
            <w:r>
              <w:rPr>
                <w:rFonts w:ascii="Arial" w:cs="Arial" w:hAnsi="Arial"/>
              </w:rPr>
              <w:t>76 23 68 97</w:t>
            </w:r>
          </w:p>
        </w:tc>
        <w:tc>
          <w:tcPr>
            <w:tcW w:w="2585"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16</w:t>
            </w:r>
          </w:p>
        </w:tc>
        <w:tc>
          <w:tcPr>
            <w:tcW w:w="4962" w:type="dxa"/>
            <w:tcBorders/>
            <w:vAlign w:val="center"/>
          </w:tcPr>
          <w:p>
            <w:pPr>
              <w:pStyle w:val="style0"/>
              <w:spacing w:before="0"/>
              <w:rPr>
                <w:rFonts w:ascii="Arial" w:cs="Arial" w:hAnsi="Arial"/>
              </w:rPr>
            </w:pPr>
            <w:r>
              <w:rPr>
                <w:rFonts w:ascii="Arial" w:cs="Arial" w:hAnsi="Arial"/>
              </w:rPr>
              <w:t>SON Souleymane</w:t>
            </w:r>
          </w:p>
        </w:tc>
        <w:tc>
          <w:tcPr>
            <w:tcW w:w="777" w:type="dxa"/>
            <w:tcBorders/>
          </w:tcPr>
          <w:p>
            <w:pPr>
              <w:pStyle w:val="style0"/>
              <w:spacing w:before="0"/>
              <w:jc w:val="center"/>
              <w:rPr/>
            </w:pPr>
            <w:r>
              <w:rPr>
                <w:rFonts w:ascii="Arial" w:cs="Arial" w:hAnsi="Arial"/>
              </w:rPr>
              <w:t>M</w:t>
            </w:r>
          </w:p>
        </w:tc>
        <w:tc>
          <w:tcPr>
            <w:tcW w:w="3362" w:type="dxa"/>
            <w:tcBorders/>
          </w:tcPr>
          <w:p>
            <w:pPr>
              <w:pStyle w:val="style0"/>
              <w:spacing w:before="0"/>
              <w:rPr/>
            </w:pPr>
            <w:r>
              <w:rPr>
                <w:rFonts w:ascii="Arial" w:cs="Arial" w:hAnsi="Arial"/>
              </w:rPr>
              <w:t>Producteur</w:t>
            </w:r>
          </w:p>
        </w:tc>
        <w:tc>
          <w:tcPr>
            <w:tcW w:w="2410" w:type="dxa"/>
            <w:tcBorders/>
            <w:vAlign w:val="center"/>
          </w:tcPr>
          <w:p>
            <w:pPr>
              <w:pStyle w:val="style0"/>
              <w:spacing w:before="0"/>
              <w:jc w:val="center"/>
              <w:rPr>
                <w:rFonts w:ascii="Arial" w:cs="Arial" w:hAnsi="Arial"/>
              </w:rPr>
            </w:pPr>
            <w:r>
              <w:rPr>
                <w:rFonts w:ascii="Arial" w:cs="Arial" w:hAnsi="Arial"/>
              </w:rPr>
              <w:t>76 88 17 42</w:t>
            </w:r>
          </w:p>
        </w:tc>
        <w:tc>
          <w:tcPr>
            <w:tcW w:w="2585"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17</w:t>
            </w:r>
          </w:p>
        </w:tc>
        <w:tc>
          <w:tcPr>
            <w:tcW w:w="4962" w:type="dxa"/>
            <w:tcBorders/>
            <w:vAlign w:val="center"/>
          </w:tcPr>
          <w:p>
            <w:pPr>
              <w:pStyle w:val="style0"/>
              <w:spacing w:before="0"/>
              <w:rPr>
                <w:rFonts w:ascii="Arial" w:cs="Arial" w:hAnsi="Arial"/>
              </w:rPr>
            </w:pPr>
            <w:r>
              <w:rPr>
                <w:rFonts w:ascii="Arial" w:cs="Arial" w:hAnsi="Arial"/>
              </w:rPr>
              <w:t>SOURA Lassina</w:t>
            </w:r>
          </w:p>
        </w:tc>
        <w:tc>
          <w:tcPr>
            <w:tcW w:w="777" w:type="dxa"/>
            <w:tcBorders/>
          </w:tcPr>
          <w:p>
            <w:pPr>
              <w:pStyle w:val="style0"/>
              <w:spacing w:before="0"/>
              <w:jc w:val="center"/>
              <w:rPr/>
            </w:pPr>
            <w:r>
              <w:rPr>
                <w:rFonts w:ascii="Arial" w:cs="Arial" w:hAnsi="Arial"/>
              </w:rPr>
              <w:t>M</w:t>
            </w:r>
          </w:p>
        </w:tc>
        <w:tc>
          <w:tcPr>
            <w:tcW w:w="3362" w:type="dxa"/>
            <w:tcBorders/>
          </w:tcPr>
          <w:p>
            <w:pPr>
              <w:pStyle w:val="style0"/>
              <w:spacing w:before="0"/>
              <w:rPr/>
            </w:pPr>
            <w:r>
              <w:rPr>
                <w:rFonts w:ascii="Arial" w:cs="Arial" w:hAnsi="Arial"/>
              </w:rPr>
              <w:t>Producteur</w:t>
            </w:r>
          </w:p>
        </w:tc>
        <w:tc>
          <w:tcPr>
            <w:tcW w:w="2410" w:type="dxa"/>
            <w:tcBorders/>
            <w:vAlign w:val="center"/>
          </w:tcPr>
          <w:p>
            <w:pPr>
              <w:pStyle w:val="style0"/>
              <w:spacing w:before="0"/>
              <w:jc w:val="center"/>
              <w:rPr>
                <w:rFonts w:ascii="Arial" w:cs="Arial" w:hAnsi="Arial"/>
              </w:rPr>
            </w:pPr>
            <w:r>
              <w:rPr>
                <w:rFonts w:ascii="Arial" w:cs="Arial" w:hAnsi="Arial"/>
              </w:rPr>
              <w:t>75 25 65 84</w:t>
            </w:r>
          </w:p>
        </w:tc>
        <w:tc>
          <w:tcPr>
            <w:tcW w:w="2585" w:type="dxa"/>
            <w:tcBorders/>
            <w:vAlign w:val="center"/>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18</w:t>
            </w:r>
          </w:p>
        </w:tc>
        <w:tc>
          <w:tcPr>
            <w:tcW w:w="4962" w:type="dxa"/>
            <w:tcBorders/>
          </w:tcPr>
          <w:p>
            <w:pPr>
              <w:pStyle w:val="style0"/>
              <w:spacing w:before="0"/>
              <w:rPr>
                <w:rFonts w:ascii="Arial" w:cs="Arial" w:hAnsi="Arial"/>
              </w:rPr>
            </w:pPr>
            <w:r>
              <w:rPr>
                <w:rFonts w:ascii="Arial" w:cs="Arial" w:hAnsi="Arial"/>
              </w:rPr>
              <w:t>KARA Fonlibié</w:t>
            </w:r>
          </w:p>
        </w:tc>
        <w:tc>
          <w:tcPr>
            <w:tcW w:w="777" w:type="dxa"/>
            <w:tcBorders/>
          </w:tcPr>
          <w:p>
            <w:pPr>
              <w:pStyle w:val="style0"/>
              <w:spacing w:before="0"/>
              <w:jc w:val="center"/>
              <w:rPr/>
            </w:pPr>
            <w:r>
              <w:rPr>
                <w:rFonts w:ascii="Arial" w:cs="Arial" w:hAnsi="Arial"/>
              </w:rPr>
              <w:t>M</w:t>
            </w:r>
          </w:p>
        </w:tc>
        <w:tc>
          <w:tcPr>
            <w:tcW w:w="3362" w:type="dxa"/>
            <w:tcBorders/>
          </w:tcPr>
          <w:p>
            <w:pPr>
              <w:pStyle w:val="style0"/>
              <w:spacing w:before="0"/>
              <w:rPr/>
            </w:pPr>
            <w:r>
              <w:rPr>
                <w:rFonts w:ascii="Arial" w:cs="Arial" w:hAnsi="Arial"/>
              </w:rPr>
              <w:t>Producteur</w:t>
            </w:r>
          </w:p>
        </w:tc>
        <w:tc>
          <w:tcPr>
            <w:tcW w:w="2410" w:type="dxa"/>
            <w:tcBorders/>
          </w:tcPr>
          <w:p>
            <w:pPr>
              <w:pStyle w:val="style0"/>
              <w:spacing w:before="0"/>
              <w:jc w:val="center"/>
              <w:rPr>
                <w:rFonts w:ascii="Arial" w:cs="Arial" w:hAnsi="Arial"/>
              </w:rPr>
            </w:pPr>
            <w:r>
              <w:rPr>
                <w:rFonts w:ascii="Arial" w:cs="Arial" w:hAnsi="Arial"/>
              </w:rPr>
              <w:t>73 30 39 45</w:t>
            </w:r>
          </w:p>
        </w:tc>
        <w:tc>
          <w:tcPr>
            <w:tcW w:w="2585" w:type="dxa"/>
            <w:tcBorders/>
          </w:tcPr>
          <w:p>
            <w:pPr>
              <w:pStyle w:val="style0"/>
              <w:spacing w:before="0"/>
              <w:jc w:val="center"/>
              <w:rPr>
                <w:rFonts w:ascii="Arial" w:cs="Arial" w:hAnsi="Arial"/>
              </w:rPr>
            </w:pPr>
          </w:p>
        </w:tc>
      </w:tr>
      <w:tr>
        <w:tblPrEx/>
        <w:trPr/>
        <w:tc>
          <w:tcPr>
            <w:tcW w:w="675" w:type="dxa"/>
            <w:tcBorders/>
            <w:vAlign w:val="center"/>
          </w:tcPr>
          <w:p>
            <w:pPr>
              <w:pStyle w:val="style0"/>
              <w:spacing w:before="0"/>
              <w:rPr>
                <w:rFonts w:ascii="Arial" w:cs="Arial" w:hAnsi="Arial"/>
              </w:rPr>
            </w:pPr>
            <w:r>
              <w:rPr>
                <w:rFonts w:ascii="Arial" w:cs="Arial" w:hAnsi="Arial"/>
              </w:rPr>
              <w:t>19</w:t>
            </w:r>
          </w:p>
        </w:tc>
        <w:tc>
          <w:tcPr>
            <w:tcW w:w="4962" w:type="dxa"/>
            <w:tcBorders/>
            <w:vAlign w:val="center"/>
          </w:tcPr>
          <w:p>
            <w:pPr>
              <w:pStyle w:val="style0"/>
              <w:spacing w:before="0"/>
              <w:rPr>
                <w:rFonts w:ascii="Arial" w:cs="Arial" w:hAnsi="Arial"/>
              </w:rPr>
            </w:pPr>
            <w:r>
              <w:rPr>
                <w:rFonts w:ascii="Arial" w:cs="Arial" w:hAnsi="Arial"/>
              </w:rPr>
              <w:t>SON Bawala</w:t>
            </w:r>
          </w:p>
        </w:tc>
        <w:tc>
          <w:tcPr>
            <w:tcW w:w="777" w:type="dxa"/>
            <w:tcBorders/>
          </w:tcPr>
          <w:p>
            <w:pPr>
              <w:pStyle w:val="style0"/>
              <w:spacing w:before="0"/>
              <w:jc w:val="center"/>
              <w:rPr/>
            </w:pPr>
            <w:r>
              <w:rPr>
                <w:rFonts w:ascii="Arial" w:cs="Arial" w:hAnsi="Arial"/>
              </w:rPr>
              <w:t>M</w:t>
            </w:r>
          </w:p>
        </w:tc>
        <w:tc>
          <w:tcPr>
            <w:tcW w:w="3362" w:type="dxa"/>
            <w:tcBorders/>
          </w:tcPr>
          <w:p>
            <w:pPr>
              <w:pStyle w:val="style0"/>
              <w:spacing w:before="0"/>
              <w:rPr/>
            </w:pPr>
            <w:r>
              <w:rPr>
                <w:rFonts w:ascii="Arial" w:cs="Arial" w:hAnsi="Arial"/>
              </w:rPr>
              <w:t>Producteur</w:t>
            </w:r>
          </w:p>
        </w:tc>
        <w:tc>
          <w:tcPr>
            <w:tcW w:w="2410" w:type="dxa"/>
            <w:tcBorders/>
          </w:tcPr>
          <w:p>
            <w:pPr>
              <w:pStyle w:val="style0"/>
              <w:spacing w:before="0"/>
              <w:jc w:val="center"/>
              <w:rPr>
                <w:rFonts w:ascii="Arial" w:cs="Arial" w:hAnsi="Arial"/>
              </w:rPr>
            </w:pPr>
            <w:r>
              <w:rPr>
                <w:rFonts w:ascii="Arial" w:cs="Arial" w:hAnsi="Arial"/>
              </w:rPr>
              <w:t>76 17 49 88</w:t>
            </w:r>
          </w:p>
        </w:tc>
        <w:tc>
          <w:tcPr>
            <w:tcW w:w="2585" w:type="dxa"/>
            <w:tcBorders/>
          </w:tcPr>
          <w:p>
            <w:pPr>
              <w:pStyle w:val="style0"/>
              <w:spacing w:before="0"/>
              <w:jc w:val="center"/>
              <w:rPr>
                <w:rFonts w:ascii="Arial" w:cs="Arial" w:hAnsi="Arial"/>
              </w:rPr>
            </w:pPr>
          </w:p>
        </w:tc>
      </w:tr>
      <w:tr>
        <w:tblPrEx/>
        <w:trPr/>
        <w:tc>
          <w:tcPr>
            <w:tcW w:w="675" w:type="dxa"/>
            <w:tcBorders/>
            <w:vAlign w:val="center"/>
          </w:tcPr>
          <w:p>
            <w:pPr>
              <w:pStyle w:val="style0"/>
              <w:spacing w:before="0"/>
              <w:rPr>
                <w:rFonts w:ascii="Arial" w:cs="Arial" w:hAnsi="Arial"/>
              </w:rPr>
            </w:pPr>
            <w:r>
              <w:rPr>
                <w:rFonts w:ascii="Arial" w:cs="Arial" w:hAnsi="Arial"/>
              </w:rPr>
              <w:t>20</w:t>
            </w:r>
          </w:p>
        </w:tc>
        <w:tc>
          <w:tcPr>
            <w:tcW w:w="4962" w:type="dxa"/>
            <w:tcBorders/>
            <w:vAlign w:val="center"/>
          </w:tcPr>
          <w:p>
            <w:pPr>
              <w:pStyle w:val="style0"/>
              <w:spacing w:before="0"/>
              <w:rPr>
                <w:rFonts w:ascii="Arial" w:cs="Arial" w:hAnsi="Arial"/>
              </w:rPr>
            </w:pPr>
            <w:r>
              <w:rPr>
                <w:rFonts w:ascii="Arial" w:cs="Arial" w:hAnsi="Arial"/>
              </w:rPr>
              <w:t>HIE Sibié</w:t>
            </w:r>
          </w:p>
        </w:tc>
        <w:tc>
          <w:tcPr>
            <w:tcW w:w="777" w:type="dxa"/>
            <w:tcBorders/>
          </w:tcPr>
          <w:p>
            <w:pPr>
              <w:pStyle w:val="style0"/>
              <w:spacing w:before="0"/>
              <w:jc w:val="center"/>
              <w:rPr/>
            </w:pPr>
            <w:r>
              <w:rPr>
                <w:rFonts w:ascii="Arial" w:cs="Arial" w:hAnsi="Arial"/>
              </w:rPr>
              <w:t>M</w:t>
            </w:r>
          </w:p>
        </w:tc>
        <w:tc>
          <w:tcPr>
            <w:tcW w:w="3362" w:type="dxa"/>
            <w:tcBorders/>
          </w:tcPr>
          <w:p>
            <w:pPr>
              <w:pStyle w:val="style0"/>
              <w:spacing w:before="0"/>
              <w:rPr>
                <w:rFonts w:ascii="Arial" w:cs="Arial" w:hAnsi="Arial"/>
              </w:rPr>
            </w:pPr>
            <w:r>
              <w:rPr>
                <w:rFonts w:ascii="Arial" w:cs="Arial" w:hAnsi="Arial"/>
              </w:rPr>
              <w:t>Producteur</w:t>
            </w:r>
          </w:p>
        </w:tc>
        <w:tc>
          <w:tcPr>
            <w:tcW w:w="2410" w:type="dxa"/>
            <w:tcBorders/>
          </w:tcPr>
          <w:p>
            <w:pPr>
              <w:pStyle w:val="style0"/>
              <w:spacing w:before="0"/>
              <w:jc w:val="center"/>
              <w:rPr>
                <w:rFonts w:ascii="Arial" w:cs="Arial" w:hAnsi="Arial"/>
              </w:rPr>
            </w:pPr>
            <w:r>
              <w:rPr>
                <w:rFonts w:ascii="Arial" w:cs="Arial" w:hAnsi="Arial"/>
              </w:rPr>
              <w:t>63 22 31 10</w:t>
            </w:r>
          </w:p>
        </w:tc>
        <w:tc>
          <w:tcPr>
            <w:tcW w:w="2585" w:type="dxa"/>
            <w:tcBorders/>
          </w:tcPr>
          <w:p>
            <w:pPr>
              <w:pStyle w:val="style0"/>
              <w:spacing w:before="0"/>
              <w:jc w:val="center"/>
              <w:rPr>
                <w:rFonts w:ascii="Arial" w:cs="Arial" w:hAnsi="Arial"/>
              </w:rPr>
            </w:pPr>
          </w:p>
        </w:tc>
      </w:tr>
      <w:tr>
        <w:tblPrEx/>
        <w:trPr/>
        <w:tc>
          <w:tcPr>
            <w:tcW w:w="675" w:type="dxa"/>
            <w:tcBorders/>
            <w:vAlign w:val="center"/>
          </w:tcPr>
          <w:p>
            <w:pPr>
              <w:pStyle w:val="style0"/>
              <w:spacing w:before="0"/>
              <w:rPr>
                <w:rFonts w:ascii="Arial" w:cs="Arial" w:hAnsi="Arial"/>
              </w:rPr>
            </w:pPr>
            <w:r>
              <w:rPr>
                <w:rFonts w:ascii="Arial" w:cs="Arial" w:hAnsi="Arial"/>
              </w:rPr>
              <w:t>21</w:t>
            </w:r>
          </w:p>
        </w:tc>
        <w:tc>
          <w:tcPr>
            <w:tcW w:w="4962" w:type="dxa"/>
            <w:tcBorders/>
            <w:vAlign w:val="center"/>
          </w:tcPr>
          <w:p>
            <w:pPr>
              <w:pStyle w:val="style0"/>
              <w:spacing w:before="0"/>
              <w:rPr>
                <w:rFonts w:ascii="Arial" w:cs="Arial" w:hAnsi="Arial"/>
              </w:rPr>
            </w:pPr>
            <w:r>
              <w:rPr>
                <w:rFonts w:ascii="Arial" w:cs="Arial" w:hAnsi="Arial"/>
              </w:rPr>
              <w:t>BAZEMO Aimé</w:t>
            </w:r>
          </w:p>
        </w:tc>
        <w:tc>
          <w:tcPr>
            <w:tcW w:w="777" w:type="dxa"/>
            <w:tcBorders/>
          </w:tcPr>
          <w:p>
            <w:pPr>
              <w:pStyle w:val="style0"/>
              <w:spacing w:before="0"/>
              <w:jc w:val="center"/>
              <w:rPr>
                <w:rFonts w:ascii="Arial" w:cs="Arial" w:hAnsi="Arial"/>
              </w:rPr>
            </w:pPr>
            <w:r>
              <w:rPr>
                <w:rFonts w:ascii="Arial" w:cs="Arial" w:hAnsi="Arial"/>
              </w:rPr>
              <w:t>M</w:t>
            </w:r>
          </w:p>
        </w:tc>
        <w:tc>
          <w:tcPr>
            <w:tcW w:w="3362" w:type="dxa"/>
            <w:tcBorders/>
          </w:tcPr>
          <w:p>
            <w:pPr>
              <w:pStyle w:val="style0"/>
              <w:spacing w:before="0"/>
              <w:rPr>
                <w:rFonts w:ascii="Arial" w:cs="Arial" w:hAnsi="Arial"/>
              </w:rPr>
            </w:pPr>
            <w:r>
              <w:rPr>
                <w:rFonts w:ascii="Arial" w:cs="Arial" w:hAnsi="Arial"/>
              </w:rPr>
              <w:t>Agent/PRMV</w:t>
            </w:r>
          </w:p>
        </w:tc>
        <w:tc>
          <w:tcPr>
            <w:tcW w:w="2410" w:type="dxa"/>
            <w:tcBorders/>
          </w:tcPr>
          <w:p>
            <w:pPr>
              <w:pStyle w:val="style0"/>
              <w:spacing w:before="0"/>
              <w:jc w:val="center"/>
              <w:rPr>
                <w:rFonts w:ascii="Arial" w:cs="Arial" w:hAnsi="Arial"/>
              </w:rPr>
            </w:pPr>
            <w:r>
              <w:rPr>
                <w:rFonts w:ascii="Arial" w:cs="Arial" w:hAnsi="Arial"/>
              </w:rPr>
              <w:t>75 24 61 13</w:t>
            </w:r>
          </w:p>
        </w:tc>
        <w:tc>
          <w:tcPr>
            <w:tcW w:w="2585" w:type="dxa"/>
            <w:tcBorders/>
          </w:tcPr>
          <w:p>
            <w:pPr>
              <w:pStyle w:val="style0"/>
              <w:spacing w:before="0"/>
              <w:jc w:val="center"/>
              <w:rPr>
                <w:rFonts w:ascii="Arial" w:cs="Arial" w:hAnsi="Arial"/>
              </w:rPr>
            </w:pPr>
          </w:p>
        </w:tc>
      </w:tr>
      <w:tr>
        <w:tblPrEx/>
        <w:trPr/>
        <w:tc>
          <w:tcPr>
            <w:tcW w:w="675" w:type="dxa"/>
            <w:tcBorders/>
            <w:vAlign w:val="center"/>
          </w:tcPr>
          <w:p>
            <w:pPr>
              <w:pStyle w:val="style0"/>
              <w:spacing w:before="0"/>
              <w:rPr>
                <w:rFonts w:ascii="Arial" w:cs="Arial" w:hAnsi="Arial"/>
              </w:rPr>
            </w:pPr>
            <w:r>
              <w:rPr>
                <w:rFonts w:ascii="Arial" w:cs="Arial" w:hAnsi="Arial"/>
              </w:rPr>
              <w:t>22</w:t>
            </w:r>
          </w:p>
        </w:tc>
        <w:tc>
          <w:tcPr>
            <w:tcW w:w="4962" w:type="dxa"/>
            <w:tcBorders/>
            <w:vAlign w:val="center"/>
          </w:tcPr>
          <w:p>
            <w:pPr>
              <w:pStyle w:val="style0"/>
              <w:spacing w:before="0"/>
              <w:rPr>
                <w:rFonts w:ascii="Arial" w:cs="Arial" w:hAnsi="Arial"/>
              </w:rPr>
            </w:pPr>
            <w:r>
              <w:rPr>
                <w:rFonts w:ascii="Arial" w:cs="Arial" w:hAnsi="Arial"/>
              </w:rPr>
              <w:t>SAWADOGO Edmond</w:t>
            </w:r>
          </w:p>
        </w:tc>
        <w:tc>
          <w:tcPr>
            <w:tcW w:w="777" w:type="dxa"/>
            <w:tcBorders/>
          </w:tcPr>
          <w:p>
            <w:pPr>
              <w:pStyle w:val="style0"/>
              <w:spacing w:before="0"/>
              <w:jc w:val="center"/>
              <w:rPr>
                <w:rFonts w:ascii="Arial" w:cs="Arial" w:hAnsi="Arial"/>
              </w:rPr>
            </w:pPr>
            <w:r>
              <w:rPr>
                <w:rFonts w:ascii="Arial" w:cs="Arial" w:hAnsi="Arial"/>
              </w:rPr>
              <w:t>M</w:t>
            </w:r>
          </w:p>
        </w:tc>
        <w:tc>
          <w:tcPr>
            <w:tcW w:w="3362" w:type="dxa"/>
            <w:tcBorders/>
          </w:tcPr>
          <w:p>
            <w:pPr>
              <w:pStyle w:val="style0"/>
              <w:spacing w:before="0"/>
              <w:rPr>
                <w:rFonts w:ascii="Arial" w:cs="Arial" w:hAnsi="Arial"/>
              </w:rPr>
            </w:pPr>
            <w:r>
              <w:rPr>
                <w:rFonts w:ascii="Arial" w:cs="Arial" w:hAnsi="Arial"/>
              </w:rPr>
              <w:t>Agent/PRMV</w:t>
            </w:r>
          </w:p>
        </w:tc>
        <w:tc>
          <w:tcPr>
            <w:tcW w:w="2410" w:type="dxa"/>
            <w:tcBorders/>
          </w:tcPr>
          <w:p>
            <w:pPr>
              <w:pStyle w:val="style0"/>
              <w:spacing w:before="0"/>
              <w:jc w:val="center"/>
              <w:rPr>
                <w:rFonts w:ascii="Arial" w:cs="Arial" w:hAnsi="Arial"/>
              </w:rPr>
            </w:pPr>
            <w:r>
              <w:rPr>
                <w:rFonts w:ascii="Arial" w:cs="Arial" w:hAnsi="Arial"/>
              </w:rPr>
              <w:t>70 04 96 09</w:t>
            </w:r>
          </w:p>
        </w:tc>
        <w:tc>
          <w:tcPr>
            <w:tcW w:w="2585" w:type="dxa"/>
            <w:tcBorders/>
          </w:tcPr>
          <w:p>
            <w:pPr>
              <w:pStyle w:val="style0"/>
              <w:spacing w:before="0"/>
              <w:jc w:val="center"/>
              <w:rPr>
                <w:rFonts w:ascii="Arial" w:cs="Arial" w:hAnsi="Arial"/>
              </w:rPr>
            </w:pPr>
          </w:p>
        </w:tc>
      </w:tr>
      <w:tr>
        <w:tblPrEx/>
        <w:trPr/>
        <w:tc>
          <w:tcPr>
            <w:tcW w:w="675" w:type="dxa"/>
            <w:tcBorders/>
            <w:vAlign w:val="center"/>
          </w:tcPr>
          <w:p>
            <w:pPr>
              <w:pStyle w:val="style0"/>
              <w:spacing w:before="0"/>
              <w:rPr>
                <w:rFonts w:ascii="Arial" w:cs="Arial" w:hAnsi="Arial"/>
              </w:rPr>
            </w:pPr>
            <w:r>
              <w:rPr>
                <w:rFonts w:ascii="Arial" w:cs="Arial" w:hAnsi="Arial"/>
              </w:rPr>
              <w:t>23</w:t>
            </w:r>
          </w:p>
        </w:tc>
        <w:tc>
          <w:tcPr>
            <w:tcW w:w="4962" w:type="dxa"/>
            <w:tcBorders/>
            <w:vAlign w:val="center"/>
          </w:tcPr>
          <w:p>
            <w:pPr>
              <w:pStyle w:val="style0"/>
              <w:spacing w:before="0"/>
              <w:rPr>
                <w:rFonts w:ascii="Arial" w:cs="Arial" w:hAnsi="Arial"/>
              </w:rPr>
            </w:pPr>
            <w:r>
              <w:rPr>
                <w:rFonts w:ascii="Arial" w:cs="Arial" w:hAnsi="Arial"/>
              </w:rPr>
              <w:t>BAMBA Nasminata</w:t>
            </w:r>
          </w:p>
        </w:tc>
        <w:tc>
          <w:tcPr>
            <w:tcW w:w="777" w:type="dxa"/>
            <w:tcBorders/>
          </w:tcPr>
          <w:p>
            <w:pPr>
              <w:pStyle w:val="style0"/>
              <w:spacing w:before="0"/>
              <w:jc w:val="center"/>
              <w:rPr>
                <w:rFonts w:ascii="Arial" w:cs="Arial" w:hAnsi="Arial"/>
              </w:rPr>
            </w:pPr>
            <w:r>
              <w:rPr>
                <w:rFonts w:ascii="Arial" w:cs="Arial" w:hAnsi="Arial"/>
              </w:rPr>
              <w:t>F</w:t>
            </w:r>
          </w:p>
        </w:tc>
        <w:tc>
          <w:tcPr>
            <w:tcW w:w="3362" w:type="dxa"/>
            <w:tcBorders/>
          </w:tcPr>
          <w:p>
            <w:pPr>
              <w:pStyle w:val="style0"/>
              <w:spacing w:before="0"/>
              <w:rPr>
                <w:rFonts w:ascii="Arial" w:cs="Arial" w:hAnsi="Arial"/>
              </w:rPr>
            </w:pPr>
            <w:r>
              <w:rPr>
                <w:rFonts w:ascii="Arial" w:cs="Arial" w:hAnsi="Arial"/>
              </w:rPr>
              <w:t>Stagiaire</w:t>
            </w:r>
          </w:p>
        </w:tc>
        <w:tc>
          <w:tcPr>
            <w:tcW w:w="2410" w:type="dxa"/>
            <w:tcBorders/>
          </w:tcPr>
          <w:p>
            <w:pPr>
              <w:pStyle w:val="style0"/>
              <w:spacing w:before="0"/>
              <w:jc w:val="center"/>
              <w:rPr>
                <w:rFonts w:ascii="Arial" w:cs="Arial" w:hAnsi="Arial"/>
              </w:rPr>
            </w:pPr>
            <w:r>
              <w:rPr>
                <w:rFonts w:ascii="Arial" w:cs="Arial" w:hAnsi="Arial"/>
              </w:rPr>
              <w:t>51 97 72 67</w:t>
            </w:r>
          </w:p>
        </w:tc>
        <w:tc>
          <w:tcPr>
            <w:tcW w:w="2585" w:type="dxa"/>
            <w:tcBorders/>
          </w:tcPr>
          <w:p>
            <w:pPr>
              <w:pStyle w:val="style0"/>
              <w:spacing w:before="0"/>
              <w:jc w:val="center"/>
              <w:rPr>
                <w:rFonts w:ascii="Arial" w:cs="Arial" w:hAnsi="Arial"/>
              </w:rPr>
            </w:pPr>
          </w:p>
        </w:tc>
      </w:tr>
      <w:tr>
        <w:tblPrEx/>
        <w:trPr/>
        <w:tc>
          <w:tcPr>
            <w:tcW w:w="675" w:type="dxa"/>
            <w:tcBorders/>
            <w:vAlign w:val="center"/>
          </w:tcPr>
          <w:p>
            <w:pPr>
              <w:pStyle w:val="style0"/>
              <w:spacing w:before="0"/>
              <w:rPr>
                <w:rFonts w:ascii="Arial" w:cs="Arial" w:hAnsi="Arial"/>
              </w:rPr>
            </w:pPr>
            <w:r>
              <w:rPr>
                <w:rFonts w:ascii="Arial" w:cs="Arial" w:hAnsi="Arial"/>
              </w:rPr>
              <w:t>24</w:t>
            </w:r>
          </w:p>
        </w:tc>
        <w:tc>
          <w:tcPr>
            <w:tcW w:w="4962" w:type="dxa"/>
            <w:tcBorders/>
            <w:vAlign w:val="center"/>
          </w:tcPr>
          <w:p>
            <w:pPr>
              <w:pStyle w:val="style0"/>
              <w:spacing w:before="0"/>
              <w:rPr>
                <w:rFonts w:ascii="Arial" w:cs="Arial" w:hAnsi="Arial"/>
              </w:rPr>
            </w:pPr>
            <w:r>
              <w:rPr>
                <w:rFonts w:ascii="Arial" w:cs="Arial" w:hAnsi="Arial"/>
              </w:rPr>
              <w:t>SIDIBE Binta</w:t>
            </w:r>
          </w:p>
        </w:tc>
        <w:tc>
          <w:tcPr>
            <w:tcW w:w="777" w:type="dxa"/>
            <w:tcBorders/>
          </w:tcPr>
          <w:p>
            <w:pPr>
              <w:pStyle w:val="style0"/>
              <w:spacing w:before="0"/>
              <w:jc w:val="center"/>
              <w:rPr>
                <w:rFonts w:ascii="Arial" w:cs="Arial" w:hAnsi="Arial"/>
              </w:rPr>
            </w:pPr>
            <w:r>
              <w:rPr>
                <w:rFonts w:ascii="Arial" w:cs="Arial" w:hAnsi="Arial"/>
              </w:rPr>
              <w:t>F</w:t>
            </w:r>
          </w:p>
        </w:tc>
        <w:tc>
          <w:tcPr>
            <w:tcW w:w="3362" w:type="dxa"/>
            <w:tcBorders/>
          </w:tcPr>
          <w:p>
            <w:pPr>
              <w:pStyle w:val="style0"/>
              <w:spacing w:before="0"/>
              <w:rPr>
                <w:rFonts w:ascii="Arial" w:cs="Arial" w:hAnsi="Arial"/>
              </w:rPr>
            </w:pPr>
            <w:r>
              <w:rPr>
                <w:rFonts w:ascii="Arial" w:cs="Arial" w:hAnsi="Arial"/>
              </w:rPr>
              <w:t>Agent/PRMV</w:t>
            </w:r>
          </w:p>
        </w:tc>
        <w:tc>
          <w:tcPr>
            <w:tcW w:w="2410" w:type="dxa"/>
            <w:tcBorders/>
          </w:tcPr>
          <w:p>
            <w:pPr>
              <w:pStyle w:val="style0"/>
              <w:spacing w:before="0"/>
              <w:jc w:val="center"/>
              <w:rPr>
                <w:rFonts w:ascii="Arial" w:cs="Arial" w:hAnsi="Arial"/>
              </w:rPr>
            </w:pPr>
            <w:r>
              <w:rPr>
                <w:rFonts w:ascii="Arial" w:cs="Arial" w:hAnsi="Arial"/>
              </w:rPr>
              <w:t>61 63 82 85</w:t>
            </w:r>
          </w:p>
        </w:tc>
        <w:tc>
          <w:tcPr>
            <w:tcW w:w="2585" w:type="dxa"/>
            <w:tcBorders/>
          </w:tcPr>
          <w:p>
            <w:pPr>
              <w:pStyle w:val="style0"/>
              <w:spacing w:before="0"/>
              <w:jc w:val="center"/>
              <w:rPr>
                <w:rFonts w:ascii="Arial" w:cs="Arial" w:hAnsi="Arial"/>
              </w:rPr>
            </w:pPr>
          </w:p>
        </w:tc>
      </w:tr>
      <w:tr>
        <w:tblPrEx/>
        <w:trPr/>
        <w:tc>
          <w:tcPr>
            <w:tcW w:w="675" w:type="dxa"/>
            <w:tcBorders/>
            <w:vAlign w:val="center"/>
          </w:tcPr>
          <w:p>
            <w:pPr>
              <w:pStyle w:val="style0"/>
              <w:spacing w:before="0"/>
              <w:rPr>
                <w:rFonts w:ascii="Arial" w:cs="Arial" w:hAnsi="Arial"/>
              </w:rPr>
            </w:pPr>
            <w:r>
              <w:rPr>
                <w:rFonts w:ascii="Arial" w:cs="Arial" w:hAnsi="Arial"/>
              </w:rPr>
              <w:t>25</w:t>
            </w:r>
          </w:p>
        </w:tc>
        <w:tc>
          <w:tcPr>
            <w:tcW w:w="4962" w:type="dxa"/>
            <w:tcBorders/>
            <w:vAlign w:val="center"/>
          </w:tcPr>
          <w:p>
            <w:pPr>
              <w:pStyle w:val="style0"/>
              <w:spacing w:before="0"/>
              <w:rPr>
                <w:rFonts w:ascii="Arial" w:cs="Arial" w:hAnsi="Arial"/>
              </w:rPr>
            </w:pPr>
            <w:r>
              <w:rPr>
                <w:rFonts w:ascii="Arial" w:cs="Arial" w:hAnsi="Arial"/>
              </w:rPr>
              <w:t>SANDWIDI Ali</w:t>
            </w:r>
          </w:p>
        </w:tc>
        <w:tc>
          <w:tcPr>
            <w:tcW w:w="777" w:type="dxa"/>
            <w:tcBorders/>
          </w:tcPr>
          <w:p>
            <w:pPr>
              <w:pStyle w:val="style0"/>
              <w:spacing w:before="0"/>
              <w:jc w:val="center"/>
              <w:rPr>
                <w:rFonts w:ascii="Arial" w:cs="Arial" w:hAnsi="Arial"/>
              </w:rPr>
            </w:pPr>
            <w:r>
              <w:rPr>
                <w:rFonts w:ascii="Arial" w:cs="Arial" w:hAnsi="Arial"/>
              </w:rPr>
              <w:t>M</w:t>
            </w:r>
          </w:p>
        </w:tc>
        <w:tc>
          <w:tcPr>
            <w:tcW w:w="3362" w:type="dxa"/>
            <w:tcBorders/>
          </w:tcPr>
          <w:p>
            <w:pPr>
              <w:pStyle w:val="style0"/>
              <w:spacing w:before="0"/>
              <w:rPr>
                <w:rFonts w:ascii="Arial" w:cs="Arial" w:hAnsi="Arial"/>
              </w:rPr>
            </w:pPr>
            <w:r>
              <w:rPr>
                <w:rFonts w:ascii="Arial" w:cs="Arial" w:hAnsi="Arial"/>
              </w:rPr>
              <w:t>PRMV/ND</w:t>
            </w:r>
          </w:p>
        </w:tc>
        <w:tc>
          <w:tcPr>
            <w:tcW w:w="2410" w:type="dxa"/>
            <w:tcBorders/>
          </w:tcPr>
          <w:p>
            <w:pPr>
              <w:pStyle w:val="style0"/>
              <w:spacing w:before="0"/>
              <w:jc w:val="center"/>
              <w:rPr>
                <w:rFonts w:ascii="Arial" w:cs="Arial" w:hAnsi="Arial"/>
              </w:rPr>
            </w:pPr>
            <w:r>
              <w:rPr>
                <w:rFonts w:ascii="Arial" w:cs="Arial" w:hAnsi="Arial"/>
              </w:rPr>
              <w:t>70 77 83 82</w:t>
            </w:r>
          </w:p>
        </w:tc>
        <w:tc>
          <w:tcPr>
            <w:tcW w:w="2585" w:type="dxa"/>
            <w:tcBorders/>
          </w:tcPr>
          <w:p>
            <w:pPr>
              <w:pStyle w:val="style0"/>
              <w:spacing w:before="0"/>
              <w:jc w:val="center"/>
              <w:rPr>
                <w:rFonts w:ascii="Arial" w:cs="Arial" w:hAnsi="Arial"/>
              </w:rPr>
            </w:pPr>
          </w:p>
        </w:tc>
      </w:tr>
      <w:tr>
        <w:tblPrEx/>
        <w:trPr/>
        <w:tc>
          <w:tcPr>
            <w:tcW w:w="675" w:type="dxa"/>
            <w:tcBorders/>
            <w:vAlign w:val="center"/>
          </w:tcPr>
          <w:p>
            <w:pPr>
              <w:pStyle w:val="style0"/>
              <w:spacing w:before="0"/>
              <w:rPr>
                <w:rFonts w:ascii="Arial" w:cs="Arial" w:hAnsi="Arial"/>
              </w:rPr>
            </w:pPr>
            <w:r>
              <w:rPr>
                <w:rFonts w:ascii="Arial" w:cs="Arial" w:hAnsi="Arial"/>
              </w:rPr>
              <w:t>26</w:t>
            </w:r>
          </w:p>
        </w:tc>
        <w:tc>
          <w:tcPr>
            <w:tcW w:w="4962" w:type="dxa"/>
            <w:tcBorders/>
            <w:vAlign w:val="center"/>
          </w:tcPr>
          <w:p>
            <w:pPr>
              <w:pStyle w:val="style0"/>
              <w:spacing w:before="0"/>
              <w:rPr>
                <w:rFonts w:ascii="Arial" w:cs="Arial" w:hAnsi="Arial"/>
              </w:rPr>
            </w:pPr>
            <w:r>
              <w:rPr>
                <w:rFonts w:ascii="Arial" w:cs="Arial" w:hAnsi="Arial"/>
              </w:rPr>
              <w:t>HIE Sita</w:t>
            </w:r>
          </w:p>
        </w:tc>
        <w:tc>
          <w:tcPr>
            <w:tcW w:w="777" w:type="dxa"/>
            <w:tcBorders/>
            <w:vAlign w:val="center"/>
          </w:tcPr>
          <w:p>
            <w:pPr>
              <w:pStyle w:val="style0"/>
              <w:spacing w:before="0"/>
              <w:rPr>
                <w:rFonts w:ascii="Arial" w:cs="Arial" w:hAnsi="Arial"/>
              </w:rPr>
            </w:pPr>
            <w:r>
              <w:rPr>
                <w:rFonts w:ascii="Arial" w:cs="Arial" w:hAnsi="Arial"/>
              </w:rPr>
              <w:t>F</w:t>
            </w:r>
          </w:p>
        </w:tc>
        <w:tc>
          <w:tcPr>
            <w:tcW w:w="3362" w:type="dxa"/>
            <w:tcBorders/>
            <w:vAlign w:val="center"/>
          </w:tcPr>
          <w:p>
            <w:pPr>
              <w:pStyle w:val="style0"/>
              <w:spacing w:before="0"/>
              <w:rPr>
                <w:rFonts w:ascii="Arial" w:cs="Arial" w:hAnsi="Arial"/>
              </w:rPr>
            </w:pPr>
            <w:r>
              <w:rPr>
                <w:rFonts w:ascii="Arial" w:cs="Arial" w:hAnsi="Arial"/>
              </w:rPr>
              <w:t>SG/Etuveuses de riz de Douna (UDE/D)</w:t>
            </w:r>
          </w:p>
        </w:tc>
        <w:tc>
          <w:tcPr>
            <w:tcW w:w="2410" w:type="dxa"/>
            <w:tcBorders/>
            <w:vAlign w:val="center"/>
          </w:tcPr>
          <w:p>
            <w:pPr>
              <w:pStyle w:val="style0"/>
              <w:spacing w:before="0"/>
              <w:rPr>
                <w:rFonts w:ascii="Arial" w:cs="Arial" w:hAnsi="Arial"/>
              </w:rPr>
            </w:pPr>
            <w:r>
              <w:rPr>
                <w:rFonts w:ascii="Arial" w:cs="Arial" w:hAnsi="Arial"/>
              </w:rPr>
              <w:t>75 76 78 68</w:t>
            </w:r>
          </w:p>
        </w:tc>
        <w:tc>
          <w:tcPr>
            <w:tcW w:w="2585" w:type="dxa"/>
            <w:tcBorders/>
          </w:tcPr>
          <w:p>
            <w:pPr>
              <w:pStyle w:val="style0"/>
              <w:spacing w:before="0"/>
              <w:jc w:val="center"/>
              <w:rPr>
                <w:rFonts w:ascii="Arial" w:cs="Arial" w:hAnsi="Arial"/>
              </w:rPr>
            </w:pPr>
          </w:p>
        </w:tc>
      </w:tr>
    </w:tbl>
    <w:p>
      <w:pPr>
        <w:pStyle w:val="style0"/>
        <w:spacing w:before="0"/>
        <w:rPr>
          <w:rFonts w:ascii="Arial" w:cs="Arial" w:hAnsi="Arial"/>
          <w:sz w:val="20"/>
        </w:rPr>
      </w:pPr>
    </w:p>
    <w:p>
      <w:pPr>
        <w:pStyle w:val="style0"/>
        <w:spacing w:before="0"/>
        <w:rPr>
          <w:rFonts w:ascii="Arial" w:cs="Arial" w:hAnsi="Arial"/>
          <w:sz w:val="20"/>
        </w:rPr>
      </w:pPr>
    </w:p>
    <w:p>
      <w:pPr>
        <w:pStyle w:val="style0"/>
        <w:spacing w:after="120"/>
        <w:jc w:val="center"/>
        <w:rPr>
          <w:b/>
          <w:sz w:val="28"/>
        </w:rPr>
      </w:pPr>
      <w:r>
        <w:rPr>
          <w:b/>
          <w:sz w:val="28"/>
        </w:rPr>
        <w:t>Programme de Développement et de Compétitivité Agricole (PDCA)</w:t>
      </w:r>
    </w:p>
    <w:p>
      <w:pPr>
        <w:pStyle w:val="style0"/>
        <w:spacing w:after="120"/>
        <w:jc w:val="center"/>
        <w:rPr>
          <w:b/>
          <w:sz w:val="28"/>
        </w:rPr>
      </w:pPr>
      <w:r>
        <w:rPr>
          <w:b/>
          <w:sz w:val="28"/>
        </w:rPr>
        <w:t>Région des Hauts Bassins</w:t>
      </w:r>
    </w:p>
    <w:p>
      <w:pPr>
        <w:pStyle w:val="style0"/>
        <w:jc w:val="center"/>
        <w:rPr>
          <w:b/>
          <w:sz w:val="28"/>
        </w:rPr>
      </w:pPr>
      <w:r>
        <w:rPr>
          <w:b/>
          <w:sz w:val="28"/>
        </w:rPr>
        <w:t>Province</w:t>
      </w:r>
      <w:r>
        <w:rPr>
          <w:b/>
          <w:sz w:val="28"/>
        </w:rPr>
        <w:t xml:space="preserve"> </w:t>
      </w:r>
      <w:r>
        <w:rPr>
          <w:b/>
          <w:sz w:val="28"/>
        </w:rPr>
        <w:t>du Kénédougou</w:t>
      </w:r>
    </w:p>
    <w:p>
      <w:pPr>
        <w:pStyle w:val="style0"/>
        <w:jc w:val="center"/>
        <w:rPr>
          <w:b/>
          <w:sz w:val="28"/>
        </w:rPr>
      </w:pPr>
      <w:r>
        <w:rPr>
          <w:b/>
          <w:sz w:val="28"/>
        </w:rPr>
        <w:t>Commune</w:t>
      </w:r>
      <w:r>
        <w:rPr>
          <w:b/>
          <w:sz w:val="28"/>
        </w:rPr>
        <w:t xml:space="preserve"> </w:t>
      </w:r>
      <w:r>
        <w:rPr>
          <w:b/>
          <w:sz w:val="28"/>
        </w:rPr>
        <w:t>de Orodara</w:t>
      </w:r>
    </w:p>
    <w:p>
      <w:pPr>
        <w:pStyle w:val="style0"/>
        <w:jc w:val="center"/>
        <w:rPr>
          <w:b/>
          <w:sz w:val="28"/>
        </w:rPr>
      </w:pPr>
      <w:r>
        <w:rPr>
          <w:b/>
          <w:sz w:val="28"/>
        </w:rPr>
        <w:t>Village de Banzon</w:t>
      </w:r>
    </w:p>
    <w:p>
      <w:pPr>
        <w:pStyle w:val="style0"/>
        <w:rPr>
          <w:b/>
        </w:rPr>
      </w:pPr>
    </w:p>
    <w:p>
      <w:pPr>
        <w:pStyle w:val="style0"/>
        <w:jc w:val="center"/>
        <w:rPr>
          <w:b/>
          <w:sz w:val="28"/>
        </w:rPr>
      </w:pPr>
      <w:r>
        <w:rPr>
          <w:b/>
          <w:sz w:val="28"/>
        </w:rPr>
        <w:t>Procès-verbal de séance de consultation du public</w:t>
      </w:r>
    </w:p>
    <w:p>
      <w:pPr>
        <w:pStyle w:val="style0"/>
        <w:rPr/>
      </w:pPr>
      <w:r>
        <w:t xml:space="preserve">L’an </w:t>
      </w:r>
      <w:r>
        <w:t xml:space="preserve">deux mille </w:t>
      </w:r>
      <w:r>
        <w:t>dix-neuf</w:t>
      </w:r>
      <w:r>
        <w:t xml:space="preserve"> et le dix janvier s’est tenu au siège de la coopérative du périmètre rizicole de Banzon, la rencontre de consultation du public dans le cadre du Programme de Développement et de Compétitivité Agricole (PDCA).</w:t>
      </w:r>
    </w:p>
    <w:p>
      <w:pPr>
        <w:pStyle w:val="style0"/>
        <w:rPr/>
      </w:pPr>
      <w:r>
        <w:t xml:space="preserve">Outre les autorités locales (chef de village, préfet, maire), les participants à </w:t>
      </w:r>
      <w:r>
        <w:t>ladite</w:t>
      </w:r>
      <w:r>
        <w:t xml:space="preserve"> rencontre étaient composé de soixante-seize (76) personnes. (voir liste de présence en annexe. Les échanges avec les parties prenantes au projet se sont bien déroulés et ont porté sur les points suivants.</w:t>
      </w:r>
    </w:p>
    <w:p>
      <w:pPr>
        <w:pStyle w:val="style0"/>
        <w:rPr>
          <w:b/>
          <w:sz w:val="28"/>
        </w:rPr>
      </w:pPr>
      <w:r>
        <w:rPr>
          <w:b/>
          <w:sz w:val="28"/>
        </w:rPr>
        <w:t>Informations et connaissance sur le projet</w:t>
      </w:r>
    </w:p>
    <w:p>
      <w:pPr>
        <w:pStyle w:val="style0"/>
        <w:rPr/>
      </w:pPr>
      <w:r>
        <w:t xml:space="preserve">Sur cette question, les parties prenantes sont bien informées sur le projet car beaucoup de missions ont été conduites dans le cadre du dit projet. </w:t>
      </w:r>
    </w:p>
    <w:p>
      <w:pPr>
        <w:pStyle w:val="style0"/>
        <w:rPr>
          <w:b/>
          <w:sz w:val="28"/>
        </w:rPr>
      </w:pPr>
      <w:r>
        <w:rPr>
          <w:b/>
          <w:sz w:val="28"/>
        </w:rPr>
        <w:t>Attitude vis-à-vis du projet</w:t>
      </w:r>
    </w:p>
    <w:p>
      <w:pPr>
        <w:pStyle w:val="style0"/>
        <w:rPr/>
      </w:pPr>
      <w:r>
        <w:t xml:space="preserve">Les parties prenantes sont favorables à la mise en œuvre du projet et souhaitent son installation rapide sur le terrain. </w:t>
      </w:r>
    </w:p>
    <w:p>
      <w:pPr>
        <w:pStyle w:val="style0"/>
        <w:rPr>
          <w:b/>
          <w:sz w:val="28"/>
        </w:rPr>
      </w:pPr>
      <w:r>
        <w:rPr>
          <w:b/>
          <w:sz w:val="28"/>
        </w:rPr>
        <w:t>Souhaits / idées exprimés et à prendre en compte dans l’exécution du projet</w:t>
      </w:r>
    </w:p>
    <w:p>
      <w:pPr>
        <w:pStyle w:val="style0"/>
        <w:rPr/>
      </w:pPr>
      <w:r>
        <w:t>Les souhaits exprimés sont les suivants :</w:t>
      </w:r>
    </w:p>
    <w:p>
      <w:pPr>
        <w:pStyle w:val="style179"/>
        <w:numPr>
          <w:ilvl w:val="0"/>
          <w:numId w:val="70"/>
        </w:numPr>
        <w:spacing w:before="0" w:after="200" w:lineRule="auto" w:line="276"/>
        <w:jc w:val="left"/>
        <w:contextualSpacing/>
        <w:rPr/>
      </w:pPr>
      <w:r>
        <w:t>Prioriser les occupants actuels du site de l’extension après aménagement dans l’attribution des parcelles ;</w:t>
      </w:r>
    </w:p>
    <w:p>
      <w:pPr>
        <w:pStyle w:val="style179"/>
        <w:numPr>
          <w:ilvl w:val="0"/>
          <w:numId w:val="70"/>
        </w:numPr>
        <w:spacing w:before="0" w:after="200" w:lineRule="auto" w:line="276"/>
        <w:jc w:val="left"/>
        <w:contextualSpacing/>
        <w:rPr/>
      </w:pPr>
      <w:r>
        <w:t>Sécuriser les exploitants du périmètre à travers une immatriculation des parcelles ;</w:t>
      </w:r>
    </w:p>
    <w:p>
      <w:pPr>
        <w:pStyle w:val="style179"/>
        <w:numPr>
          <w:ilvl w:val="0"/>
          <w:numId w:val="70"/>
        </w:numPr>
        <w:spacing w:before="0" w:after="200" w:lineRule="auto" w:line="276"/>
        <w:jc w:val="left"/>
        <w:contextualSpacing/>
        <w:rPr/>
      </w:pPr>
      <w:r>
        <w:t>Prioriser la main d’œuvre locale pendant les travaux de réhabilitation et d’extension du périmètre ;</w:t>
      </w:r>
    </w:p>
    <w:p>
      <w:pPr>
        <w:pStyle w:val="style179"/>
        <w:numPr>
          <w:ilvl w:val="0"/>
          <w:numId w:val="70"/>
        </w:numPr>
        <w:spacing w:before="0" w:after="200" w:lineRule="auto" w:line="276"/>
        <w:jc w:val="left"/>
        <w:contextualSpacing/>
        <w:rPr/>
      </w:pPr>
      <w:r>
        <w:t>Réhabiliter la plaine y compris la prise d’eau ;</w:t>
      </w:r>
    </w:p>
    <w:p>
      <w:pPr>
        <w:pStyle w:val="style179"/>
        <w:numPr>
          <w:ilvl w:val="0"/>
          <w:numId w:val="70"/>
        </w:numPr>
        <w:spacing w:before="0" w:after="200" w:lineRule="auto" w:line="276"/>
        <w:jc w:val="left"/>
        <w:contextualSpacing/>
        <w:rPr/>
      </w:pPr>
      <w:r>
        <w:t>Augmenter les capacités de production et de transformation du riz dans la commune de Banzon ;</w:t>
      </w:r>
      <w:r>
        <w:t xml:space="preserve"> </w:t>
      </w:r>
    </w:p>
    <w:p>
      <w:pPr>
        <w:pStyle w:val="style179"/>
        <w:numPr>
          <w:ilvl w:val="0"/>
          <w:numId w:val="70"/>
        </w:numPr>
        <w:spacing w:before="0" w:after="200" w:lineRule="auto" w:line="276"/>
        <w:jc w:val="left"/>
        <w:contextualSpacing/>
        <w:rPr/>
      </w:pPr>
      <w:r>
        <w:t>Prise en compte des pertes de campagnes pendant la réhabilitation et l’extension du périmètre ;</w:t>
      </w:r>
    </w:p>
    <w:p>
      <w:pPr>
        <w:pStyle w:val="style179"/>
        <w:numPr>
          <w:ilvl w:val="0"/>
          <w:numId w:val="70"/>
        </w:numPr>
        <w:spacing w:before="0" w:after="200" w:lineRule="auto" w:line="276"/>
        <w:jc w:val="left"/>
        <w:contextualSpacing/>
        <w:rPr/>
      </w:pPr>
      <w:r>
        <w:t>Accompagnement des producteurs pour la limitation des dégâts causés par les animaux sauvages principalement les hippopotames ;</w:t>
      </w:r>
    </w:p>
    <w:p>
      <w:pPr>
        <w:pStyle w:val="style179"/>
        <w:numPr>
          <w:ilvl w:val="0"/>
          <w:numId w:val="70"/>
        </w:numPr>
        <w:spacing w:before="0" w:after="200" w:lineRule="auto" w:line="276"/>
        <w:jc w:val="left"/>
        <w:contextualSpacing/>
        <w:rPr/>
      </w:pPr>
      <w:r>
        <w:t>Faciliter l’écoulement de la production à travers la réhabilitation de la route Dindéresso-Banzon-Samorogouan ;</w:t>
      </w:r>
    </w:p>
    <w:p>
      <w:pPr>
        <w:pStyle w:val="style179"/>
        <w:numPr>
          <w:ilvl w:val="0"/>
          <w:numId w:val="70"/>
        </w:numPr>
        <w:spacing w:before="0" w:after="200" w:lineRule="auto" w:line="276"/>
        <w:jc w:val="left"/>
        <w:contextualSpacing/>
        <w:rPr/>
      </w:pPr>
      <w:r>
        <w:t>Réhabiliter le siège de la coopérative rizicole.</w:t>
      </w:r>
    </w:p>
    <w:p>
      <w:pPr>
        <w:pStyle w:val="style0"/>
        <w:rPr>
          <w:b/>
          <w:sz w:val="28"/>
        </w:rPr>
      </w:pPr>
      <w:r>
        <w:rPr>
          <w:b/>
          <w:sz w:val="28"/>
        </w:rPr>
        <w:t>Questions / Réponses lors des échanges</w:t>
      </w:r>
    </w:p>
    <w:p>
      <w:pPr>
        <w:pStyle w:val="style0"/>
        <w:rPr>
          <w:sz w:val="28"/>
        </w:rPr>
      </w:pPr>
      <w:r>
        <w:rPr>
          <w:sz w:val="28"/>
        </w:rPr>
        <w:t>Les questions posées lors des échanges sont les suivantes :</w:t>
      </w:r>
    </w:p>
    <w:p>
      <w:pPr>
        <w:pStyle w:val="style179"/>
        <w:numPr>
          <w:ilvl w:val="0"/>
          <w:numId w:val="117"/>
        </w:numPr>
        <w:tabs>
          <w:tab w:val="left" w:leader="none" w:pos="4080"/>
        </w:tabs>
        <w:spacing w:after="120" w:lineRule="auto" w:line="276"/>
        <w:jc w:val="left"/>
        <w:contextualSpacing/>
        <w:rPr>
          <w:szCs w:val="22"/>
        </w:rPr>
      </w:pPr>
      <w:r>
        <w:rPr>
          <w:szCs w:val="22"/>
        </w:rPr>
        <w:t>Avez-vous déjà entendu parler du Programme de Développement et de Compétitivité Agricole (PDCA) ?</w:t>
      </w:r>
    </w:p>
    <w:p>
      <w:pPr>
        <w:pStyle w:val="style179"/>
        <w:numPr>
          <w:ilvl w:val="0"/>
          <w:numId w:val="117"/>
        </w:numPr>
        <w:tabs>
          <w:tab w:val="left" w:leader="none" w:pos="4080"/>
        </w:tabs>
        <w:spacing w:after="120" w:lineRule="auto" w:line="276"/>
        <w:jc w:val="left"/>
        <w:contextualSpacing/>
        <w:rPr>
          <w:szCs w:val="22"/>
        </w:rPr>
      </w:pPr>
      <w:r>
        <w:rPr>
          <w:szCs w:val="22"/>
        </w:rPr>
        <w:t>Quelles sont les difficultés que vous rencontrées actuellement sur le périmètre ?</w:t>
      </w:r>
    </w:p>
    <w:p>
      <w:pPr>
        <w:pStyle w:val="style179"/>
        <w:numPr>
          <w:ilvl w:val="0"/>
          <w:numId w:val="117"/>
        </w:numPr>
        <w:tabs>
          <w:tab w:val="left" w:leader="none" w:pos="4080"/>
        </w:tabs>
        <w:spacing w:after="120" w:lineRule="auto" w:line="276"/>
        <w:jc w:val="left"/>
        <w:contextualSpacing/>
        <w:rPr>
          <w:szCs w:val="22"/>
        </w:rPr>
      </w:pPr>
      <w:r>
        <w:rPr>
          <w:szCs w:val="22"/>
        </w:rPr>
        <w:t>Quelles sont vos attentes vis-à-vis de ce programme ?</w:t>
      </w:r>
    </w:p>
    <w:p>
      <w:pPr>
        <w:pStyle w:val="style179"/>
        <w:numPr>
          <w:ilvl w:val="0"/>
          <w:numId w:val="117"/>
        </w:numPr>
        <w:tabs>
          <w:tab w:val="left" w:leader="none" w:pos="4080"/>
        </w:tabs>
        <w:spacing w:after="120" w:lineRule="auto" w:line="276"/>
        <w:jc w:val="left"/>
        <w:contextualSpacing/>
        <w:rPr>
          <w:szCs w:val="22"/>
        </w:rPr>
      </w:pPr>
      <w:r>
        <w:rPr>
          <w:szCs w:val="22"/>
        </w:rPr>
        <w:t>Quelles sont vos craintes/ risques dans la mise en œuvre du programme ?</w:t>
      </w:r>
    </w:p>
    <w:p>
      <w:pPr>
        <w:pStyle w:val="style179"/>
        <w:numPr>
          <w:ilvl w:val="0"/>
          <w:numId w:val="117"/>
        </w:numPr>
        <w:tabs>
          <w:tab w:val="left" w:leader="none" w:pos="4080"/>
        </w:tabs>
        <w:spacing w:after="120" w:lineRule="auto" w:line="276"/>
        <w:jc w:val="left"/>
        <w:contextualSpacing/>
        <w:rPr>
          <w:sz w:val="28"/>
        </w:rPr>
      </w:pPr>
      <w:r>
        <w:rPr>
          <w:szCs w:val="22"/>
        </w:rPr>
        <w:t>Quelles sont vos recommandations / suggestions pour une bonne mise en œuvre du programme dans la province ?</w:t>
      </w:r>
    </w:p>
    <w:p>
      <w:pPr>
        <w:pStyle w:val="style0"/>
        <w:rPr>
          <w:b/>
          <w:sz w:val="28"/>
        </w:rPr>
      </w:pPr>
      <w:r>
        <w:rPr>
          <w:b/>
          <w:sz w:val="28"/>
        </w:rPr>
        <w:t>Observations</w:t>
      </w:r>
    </w:p>
    <w:p>
      <w:pPr>
        <w:pStyle w:val="style0"/>
        <w:rPr/>
      </w:pPr>
      <w:r>
        <w:t>Le site concerné p</w:t>
      </w:r>
      <w:r>
        <w:t>ou</w:t>
      </w:r>
      <w:r>
        <w:t xml:space="preserve">r l’extension du périmètre de Banzon </w:t>
      </w:r>
      <w:r>
        <w:t xml:space="preserve">couvre une superficie de 100 ha et </w:t>
      </w:r>
      <w:r>
        <w:t>a été partiellement am</w:t>
      </w:r>
      <w:r>
        <w:t>é</w:t>
      </w:r>
      <w:r>
        <w:t>nagé par le Projet Riz Pluvial (PRP) sur 40 ha et par la FAO sur 30 ha</w:t>
      </w:r>
      <w:r>
        <w:t xml:space="preserve">. L’exploitation rizicole se fait en ce moment sur le site. On y observe des plantations de manguiers, de palmiers, eucalyptus. </w:t>
      </w:r>
    </w:p>
    <w:p>
      <w:pPr>
        <w:pStyle w:val="style0"/>
        <w:rPr/>
      </w:pPr>
      <w:r>
        <w:t>Le site ne comporterait pas de lieux de culte, ni proche d’une aire classée.</w:t>
      </w:r>
    </w:p>
    <w:p>
      <w:pPr>
        <w:pStyle w:val="style0"/>
        <w:rPr/>
      </w:pPr>
      <w:r>
        <w:t xml:space="preserve">Pour la réhabilitation du périmètre, l’une des préoccupations majeures posées par les producteurs est la perte de production lors des travaux. </w:t>
      </w:r>
    </w:p>
    <w:p>
      <w:pPr>
        <w:pStyle w:val="style0"/>
        <w:spacing w:before="0"/>
        <w:rPr>
          <w:rFonts w:ascii="Arial" w:cs="Arial" w:hAnsi="Arial"/>
          <w:sz w:val="20"/>
        </w:rPr>
      </w:pPr>
    </w:p>
    <w:p>
      <w:pPr>
        <w:pStyle w:val="style0"/>
        <w:spacing w:before="0"/>
        <w:rPr>
          <w:rFonts w:ascii="Arial" w:cs="Arial" w:hAnsi="Arial"/>
          <w:b/>
        </w:rPr>
      </w:pPr>
      <w:r>
        <w:rPr>
          <w:rFonts w:ascii="Arial" w:cs="Arial" w:hAnsi="Arial"/>
          <w:b/>
          <w:u w:val="dotted"/>
        </w:rPr>
        <w:t>INTITULE DU PROJET/PROGRAMME</w:t>
      </w:r>
      <w:r>
        <w:rPr>
          <w:rFonts w:ascii="Arial" w:cs="Arial" w:hAnsi="Arial"/>
          <w:b/>
        </w:rPr>
        <w:t xml:space="preserve"> : </w:t>
      </w:r>
      <w:r>
        <w:rPr>
          <w:rFonts w:ascii="Arial" w:cs="Arial" w:hAnsi="Arial"/>
          <w:b/>
          <w:u w:val="dotted"/>
        </w:rPr>
        <w:t>PROGRAMME DE DEVELOPPEMENT ET DE COMPETITIVITE AGRICOLE (PDCA)</w:t>
      </w:r>
    </w:p>
    <w:p>
      <w:pPr>
        <w:pStyle w:val="style0"/>
        <w:spacing w:before="0"/>
        <w:jc w:val="center"/>
        <w:rPr>
          <w:rFonts w:ascii="Arial" w:cs="Arial" w:hAnsi="Arial"/>
          <w:b/>
          <w:sz w:val="18"/>
        </w:rPr>
      </w:pPr>
      <w:r>
        <w:rPr>
          <w:rFonts w:ascii="Arial" w:cs="Arial" w:hAnsi="Arial"/>
          <w:b/>
          <w:sz w:val="18"/>
        </w:rPr>
        <w:t>LISTE DES PARTICIPANTS AUX SEANCES DE CONSULTATIONS PUBLIQUES EN VUE DE L’ELABORATION DU CGES/PGPP</w:t>
      </w:r>
      <w:r>
        <w:rPr>
          <w:rFonts w:ascii="Arial" w:cs="Arial" w:hAnsi="Arial"/>
          <w:b/>
          <w:sz w:val="18"/>
        </w:rPr>
        <w:t>/CPR</w:t>
      </w:r>
    </w:p>
    <w:p>
      <w:pPr>
        <w:pStyle w:val="style0"/>
        <w:spacing w:before="0"/>
        <w:rPr>
          <w:rFonts w:ascii="Arial" w:cs="Arial" w:hAnsi="Arial"/>
          <w:b/>
          <w:sz w:val="20"/>
        </w:rPr>
      </w:pPr>
      <w:r>
        <w:rPr>
          <w:rFonts w:ascii="Arial" w:cs="Arial" w:hAnsi="Arial"/>
          <w:b/>
          <w:sz w:val="20"/>
        </w:rPr>
        <w:t xml:space="preserve">Région : </w:t>
      </w:r>
      <w:r>
        <w:rPr>
          <w:rFonts w:ascii="Arial" w:cs="Arial" w:hAnsi="Arial"/>
          <w:b/>
          <w:sz w:val="20"/>
          <w:u w:val="dotted"/>
        </w:rPr>
        <w:t>HAUTS BASSINS</w:t>
      </w:r>
      <w:r>
        <w:rPr>
          <w:rFonts w:ascii="Arial" w:cs="Arial" w:hAnsi="Arial"/>
          <w:b/>
          <w:sz w:val="20"/>
        </w:rPr>
        <w:t>…………………………</w:t>
      </w:r>
      <w:r>
        <w:rPr>
          <w:rFonts w:ascii="Arial" w:cs="Arial" w:hAnsi="Arial"/>
          <w:b/>
          <w:sz w:val="20"/>
          <w:u w:val="dotted"/>
        </w:rPr>
        <w:t>Province</w:t>
      </w:r>
      <w:r>
        <w:rPr>
          <w:rFonts w:ascii="Arial" w:cs="Arial" w:hAnsi="Arial"/>
          <w:b/>
          <w:sz w:val="20"/>
        </w:rPr>
        <w:t xml:space="preserve"> : </w:t>
      </w:r>
      <w:r>
        <w:rPr>
          <w:rFonts w:ascii="Arial" w:cs="Arial" w:hAnsi="Arial"/>
          <w:b/>
          <w:sz w:val="20"/>
          <w:u w:val="dotted"/>
        </w:rPr>
        <w:t>KENEDOUGOU</w:t>
      </w:r>
      <w:r>
        <w:rPr>
          <w:rFonts w:ascii="Arial" w:cs="Arial" w:hAnsi="Arial"/>
          <w:b/>
          <w:sz w:val="20"/>
        </w:rPr>
        <w:t>…………………………….</w:t>
      </w:r>
      <w:r>
        <w:rPr>
          <w:rFonts w:ascii="Arial" w:cs="Arial" w:hAnsi="Arial"/>
          <w:b/>
          <w:sz w:val="20"/>
          <w:u w:val="dotted"/>
        </w:rPr>
        <w:t>Commune</w:t>
      </w:r>
      <w:r>
        <w:rPr>
          <w:rFonts w:ascii="Arial" w:cs="Arial" w:hAnsi="Arial"/>
          <w:b/>
          <w:sz w:val="20"/>
        </w:rPr>
        <w:t xml:space="preserve"> : </w:t>
      </w:r>
      <w:r>
        <w:rPr>
          <w:rFonts w:ascii="Arial" w:cs="Arial" w:hAnsi="Arial"/>
          <w:b/>
          <w:sz w:val="20"/>
          <w:u w:val="dotted"/>
        </w:rPr>
        <w:t>BANZON</w:t>
      </w:r>
      <w:r>
        <w:rPr>
          <w:rFonts w:ascii="Arial" w:cs="Arial" w:hAnsi="Arial"/>
          <w:b/>
          <w:sz w:val="20"/>
        </w:rPr>
        <w:t>…………………………..</w:t>
      </w:r>
    </w:p>
    <w:p>
      <w:pPr>
        <w:pStyle w:val="style0"/>
        <w:spacing w:before="0"/>
        <w:rPr/>
      </w:pPr>
      <w:r>
        <w:rPr>
          <w:rFonts w:ascii="Arial" w:cs="Arial" w:hAnsi="Arial"/>
          <w:b/>
          <w:sz w:val="20"/>
        </w:rPr>
        <w:t xml:space="preserve">Village : </w:t>
      </w:r>
      <w:r>
        <w:rPr>
          <w:rFonts w:ascii="Arial" w:cs="Arial" w:hAnsi="Arial"/>
          <w:b/>
          <w:sz w:val="20"/>
          <w:u w:val="dotted"/>
        </w:rPr>
        <w:t>BANZON</w:t>
      </w:r>
      <w:r>
        <w:rPr>
          <w:rFonts w:ascii="Arial" w:cs="Arial" w:hAnsi="Arial"/>
          <w:b/>
          <w:sz w:val="20"/>
        </w:rPr>
        <w:t xml:space="preserve">………………………….Date : </w:t>
      </w:r>
      <w:r>
        <w:rPr>
          <w:rFonts w:ascii="Arial" w:cs="Arial" w:hAnsi="Arial"/>
          <w:b/>
          <w:sz w:val="20"/>
          <w:u w:val="dotted"/>
        </w:rPr>
        <w:t>10</w:t>
      </w:r>
      <w:r>
        <w:rPr>
          <w:rFonts w:ascii="Arial" w:cs="Arial" w:hAnsi="Arial"/>
          <w:b/>
          <w:sz w:val="20"/>
          <w:u w:val="dotted"/>
        </w:rPr>
        <w:t>/01/2019</w:t>
      </w:r>
      <w:r>
        <w:rPr>
          <w:rFonts w:ascii="Arial" w:cs="Arial" w:hAnsi="Arial"/>
          <w:b/>
          <w:sz w:val="20"/>
        </w:rPr>
        <w:t>…………………</w:t>
      </w:r>
      <w:r>
        <w:rPr>
          <w:rFonts w:ascii="Arial" w:cs="Arial" w:hAnsi="Arial"/>
          <w:b/>
          <w:sz w:val="20"/>
        </w:rPr>
        <w:t xml:space="preserve"> </w:t>
      </w:r>
      <w:r>
        <w:rPr>
          <w:rFonts w:ascii="Arial" w:cs="Arial" w:hAnsi="Arial"/>
          <w:b/>
          <w:sz w:val="20"/>
        </w:rPr>
        <w:t>Groupes cibles : Services techniques, Mairie/Préfectures/Producteurs…</w:t>
      </w:r>
    </w:p>
    <w:tbl>
      <w:tblPr>
        <w:tblStyle w:val="style154"/>
        <w:tblW w:w="14737" w:type="dxa"/>
        <w:tblLayout w:type="fixed"/>
        <w:tblLook w:val="04A0" w:firstRow="1" w:lastRow="0" w:firstColumn="1" w:lastColumn="0" w:noHBand="0" w:noVBand="1"/>
      </w:tblPr>
      <w:tblGrid>
        <w:gridCol w:w="675"/>
        <w:gridCol w:w="4962"/>
        <w:gridCol w:w="777"/>
        <w:gridCol w:w="3396"/>
        <w:gridCol w:w="2234"/>
        <w:gridCol w:w="2693"/>
      </w:tblGrid>
      <w:tr>
        <w:trPr/>
        <w:tc>
          <w:tcPr>
            <w:tcW w:w="675" w:type="dxa"/>
            <w:tcBorders/>
            <w:vAlign w:val="center"/>
          </w:tcPr>
          <w:p>
            <w:pPr>
              <w:pStyle w:val="style0"/>
              <w:spacing w:before="0"/>
              <w:jc w:val="center"/>
              <w:rPr>
                <w:rFonts w:ascii="Arial" w:cs="Arial" w:hAnsi="Arial"/>
                <w:b/>
              </w:rPr>
            </w:pPr>
            <w:r>
              <w:rPr>
                <w:rFonts w:ascii="Arial" w:cs="Arial" w:hAnsi="Arial"/>
                <w:b/>
              </w:rPr>
              <w:t>N°</w:t>
            </w:r>
          </w:p>
        </w:tc>
        <w:tc>
          <w:tcPr>
            <w:tcW w:w="4962" w:type="dxa"/>
            <w:tcBorders/>
            <w:vAlign w:val="center"/>
          </w:tcPr>
          <w:p>
            <w:pPr>
              <w:pStyle w:val="style0"/>
              <w:spacing w:before="0"/>
              <w:jc w:val="center"/>
              <w:rPr>
                <w:rFonts w:ascii="Arial" w:cs="Arial" w:hAnsi="Arial"/>
                <w:b/>
              </w:rPr>
            </w:pPr>
            <w:r>
              <w:rPr>
                <w:rFonts w:ascii="Arial" w:cs="Arial" w:hAnsi="Arial"/>
                <w:b/>
              </w:rPr>
              <w:t>Nom et prénom (s)</w:t>
            </w:r>
          </w:p>
        </w:tc>
        <w:tc>
          <w:tcPr>
            <w:tcW w:w="777" w:type="dxa"/>
            <w:tcBorders/>
            <w:vAlign w:val="center"/>
          </w:tcPr>
          <w:p>
            <w:pPr>
              <w:pStyle w:val="style0"/>
              <w:spacing w:before="0"/>
              <w:jc w:val="center"/>
              <w:rPr>
                <w:rFonts w:ascii="Arial" w:cs="Arial" w:hAnsi="Arial"/>
                <w:b/>
              </w:rPr>
            </w:pPr>
            <w:r>
              <w:rPr>
                <w:rFonts w:ascii="Arial" w:cs="Arial" w:hAnsi="Arial"/>
                <w:b/>
              </w:rPr>
              <w:t>Sexe</w:t>
            </w:r>
          </w:p>
        </w:tc>
        <w:tc>
          <w:tcPr>
            <w:tcW w:w="3396" w:type="dxa"/>
            <w:tcBorders/>
            <w:vAlign w:val="center"/>
          </w:tcPr>
          <w:p>
            <w:pPr>
              <w:pStyle w:val="style0"/>
              <w:spacing w:before="0"/>
              <w:jc w:val="center"/>
              <w:rPr>
                <w:rFonts w:ascii="Arial" w:cs="Arial" w:hAnsi="Arial"/>
                <w:b/>
              </w:rPr>
            </w:pPr>
            <w:r>
              <w:rPr>
                <w:rFonts w:ascii="Arial" w:cs="Arial" w:hAnsi="Arial"/>
                <w:b/>
              </w:rPr>
              <w:t>Profession</w:t>
            </w:r>
          </w:p>
        </w:tc>
        <w:tc>
          <w:tcPr>
            <w:tcW w:w="2234" w:type="dxa"/>
            <w:tcBorders/>
            <w:vAlign w:val="center"/>
          </w:tcPr>
          <w:p>
            <w:pPr>
              <w:pStyle w:val="style0"/>
              <w:spacing w:before="0"/>
              <w:jc w:val="center"/>
              <w:rPr>
                <w:rFonts w:ascii="Arial" w:cs="Arial" w:hAnsi="Arial"/>
                <w:b/>
              </w:rPr>
            </w:pPr>
            <w:r>
              <w:rPr>
                <w:rFonts w:ascii="Arial" w:cs="Arial" w:hAnsi="Arial"/>
                <w:b/>
              </w:rPr>
              <w:t>Téléphone</w:t>
            </w:r>
          </w:p>
        </w:tc>
        <w:tc>
          <w:tcPr>
            <w:tcW w:w="2693" w:type="dxa"/>
            <w:tcBorders/>
            <w:vAlign w:val="center"/>
          </w:tcPr>
          <w:p>
            <w:pPr>
              <w:pStyle w:val="style0"/>
              <w:spacing w:before="0"/>
              <w:jc w:val="center"/>
              <w:rPr>
                <w:rFonts w:ascii="Arial" w:cs="Arial" w:hAnsi="Arial"/>
                <w:b/>
              </w:rPr>
            </w:pPr>
            <w:r>
              <w:rPr>
                <w:rFonts w:ascii="Arial" w:cs="Arial" w:hAnsi="Arial"/>
                <w:b/>
              </w:rPr>
              <w:t>Signature/Empreinte</w:t>
            </w:r>
          </w:p>
        </w:tc>
      </w:tr>
      <w:tr>
        <w:tblPrEx/>
        <w:trPr/>
        <w:tc>
          <w:tcPr>
            <w:tcW w:w="675" w:type="dxa"/>
            <w:tcBorders/>
            <w:vAlign w:val="center"/>
          </w:tcPr>
          <w:p>
            <w:pPr>
              <w:pStyle w:val="style0"/>
              <w:spacing w:before="0"/>
              <w:jc w:val="center"/>
              <w:rPr>
                <w:rFonts w:ascii="Arial" w:cs="Arial" w:hAnsi="Arial"/>
              </w:rPr>
            </w:pPr>
            <w:r>
              <w:rPr>
                <w:rFonts w:ascii="Arial" w:cs="Arial" w:hAnsi="Arial"/>
              </w:rPr>
              <w:t>01</w:t>
            </w:r>
          </w:p>
        </w:tc>
        <w:tc>
          <w:tcPr>
            <w:tcW w:w="4962" w:type="dxa"/>
            <w:tcBorders/>
            <w:vAlign w:val="center"/>
          </w:tcPr>
          <w:p>
            <w:pPr>
              <w:pStyle w:val="style0"/>
              <w:spacing w:before="0"/>
              <w:rPr>
                <w:rFonts w:ascii="Arial" w:cs="Arial" w:hAnsi="Arial"/>
              </w:rPr>
            </w:pPr>
            <w:r>
              <w:rPr>
                <w:rFonts w:ascii="Arial" w:cs="Arial" w:hAnsi="Arial"/>
              </w:rPr>
              <w:t>YERBANGA R. Ali</w:t>
            </w:r>
          </w:p>
        </w:tc>
        <w:tc>
          <w:tcPr>
            <w:tcW w:w="777" w:type="dxa"/>
            <w:tcBorders/>
          </w:tcPr>
          <w:p>
            <w:pPr>
              <w:pStyle w:val="style0"/>
              <w:spacing w:before="0"/>
              <w:jc w:val="center"/>
              <w:rPr>
                <w:rFonts w:ascii="Arial" w:cs="Arial" w:hAnsi="Arial"/>
              </w:rPr>
            </w:pPr>
            <w:r>
              <w:rPr>
                <w:rFonts w:ascii="Arial" w:cs="Arial" w:hAnsi="Arial"/>
              </w:rPr>
              <w:t>M</w:t>
            </w:r>
          </w:p>
        </w:tc>
        <w:tc>
          <w:tcPr>
            <w:tcW w:w="3396" w:type="dxa"/>
            <w:tcBorders/>
            <w:vAlign w:val="center"/>
          </w:tcPr>
          <w:p>
            <w:pPr>
              <w:pStyle w:val="style0"/>
              <w:spacing w:before="0"/>
              <w:rPr>
                <w:rFonts w:ascii="Arial" w:cs="Arial" w:hAnsi="Arial"/>
              </w:rPr>
            </w:pPr>
            <w:r>
              <w:rPr>
                <w:rFonts w:ascii="Arial" w:cs="Arial" w:hAnsi="Arial"/>
              </w:rPr>
              <w:t>Agent d’Agriculture</w:t>
            </w:r>
          </w:p>
        </w:tc>
        <w:tc>
          <w:tcPr>
            <w:tcW w:w="2234" w:type="dxa"/>
            <w:tcBorders/>
            <w:vAlign w:val="center"/>
          </w:tcPr>
          <w:p>
            <w:pPr>
              <w:pStyle w:val="style0"/>
              <w:spacing w:before="0"/>
              <w:jc w:val="center"/>
              <w:rPr>
                <w:rFonts w:ascii="Arial" w:cs="Arial" w:hAnsi="Arial"/>
              </w:rPr>
            </w:pPr>
            <w:r>
              <w:rPr>
                <w:rFonts w:ascii="Arial" w:cs="Arial" w:hAnsi="Arial"/>
              </w:rPr>
              <w:t>71 31 10 96</w:t>
            </w:r>
          </w:p>
          <w:p>
            <w:pPr>
              <w:pStyle w:val="style0"/>
              <w:spacing w:before="0"/>
              <w:jc w:val="center"/>
              <w:rPr>
                <w:rFonts w:ascii="Arial" w:cs="Arial" w:hAnsi="Arial"/>
              </w:rPr>
            </w:pPr>
            <w:r>
              <w:rPr>
                <w:rFonts w:ascii="Arial" w:cs="Arial" w:hAnsi="Arial"/>
              </w:rPr>
              <w:t>76 58 71 89</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02</w:t>
            </w:r>
          </w:p>
        </w:tc>
        <w:tc>
          <w:tcPr>
            <w:tcW w:w="4962" w:type="dxa"/>
            <w:tcBorders/>
            <w:vAlign w:val="center"/>
          </w:tcPr>
          <w:p>
            <w:pPr>
              <w:pStyle w:val="style0"/>
              <w:spacing w:before="0"/>
              <w:rPr>
                <w:rFonts w:ascii="Arial" w:cs="Arial" w:hAnsi="Arial"/>
              </w:rPr>
            </w:pPr>
            <w:r>
              <w:rPr>
                <w:rFonts w:ascii="Arial" w:cs="Arial" w:hAnsi="Arial"/>
              </w:rPr>
              <w:t>TRAORE Gopé Noél</w:t>
            </w:r>
          </w:p>
        </w:tc>
        <w:tc>
          <w:tcPr>
            <w:tcW w:w="777" w:type="dxa"/>
            <w:tcBorders/>
          </w:tcPr>
          <w:p>
            <w:pPr>
              <w:pStyle w:val="style0"/>
              <w:spacing w:before="0"/>
              <w:jc w:val="center"/>
              <w:rPr/>
            </w:pPr>
            <w:r>
              <w:rPr>
                <w:rFonts w:ascii="Arial" w:cs="Arial" w:hAnsi="Arial"/>
              </w:rPr>
              <w:t>M</w:t>
            </w:r>
          </w:p>
        </w:tc>
        <w:tc>
          <w:tcPr>
            <w:tcW w:w="3396" w:type="dxa"/>
            <w:tcBorders/>
            <w:vAlign w:val="center"/>
          </w:tcPr>
          <w:p>
            <w:pPr>
              <w:pStyle w:val="style0"/>
              <w:spacing w:before="0"/>
              <w:rPr>
                <w:rFonts w:ascii="Arial" w:cs="Arial" w:hAnsi="Arial"/>
              </w:rPr>
            </w:pPr>
            <w:r>
              <w:rPr>
                <w:rFonts w:ascii="Arial" w:cs="Arial" w:hAnsi="Arial"/>
              </w:rPr>
              <w:t>Agent de plaine</w:t>
            </w:r>
          </w:p>
        </w:tc>
        <w:tc>
          <w:tcPr>
            <w:tcW w:w="2234" w:type="dxa"/>
            <w:tcBorders/>
            <w:vAlign w:val="center"/>
          </w:tcPr>
          <w:p>
            <w:pPr>
              <w:pStyle w:val="style0"/>
              <w:spacing w:before="0"/>
              <w:jc w:val="center"/>
              <w:rPr>
                <w:rFonts w:ascii="Arial" w:cs="Arial" w:hAnsi="Arial"/>
              </w:rPr>
            </w:pPr>
            <w:r>
              <w:rPr>
                <w:rFonts w:ascii="Arial" w:cs="Arial" w:hAnsi="Arial"/>
              </w:rPr>
              <w:t>70 01 00 58</w:t>
            </w:r>
          </w:p>
          <w:p>
            <w:pPr>
              <w:pStyle w:val="style0"/>
              <w:spacing w:before="0"/>
              <w:jc w:val="center"/>
              <w:rPr>
                <w:rFonts w:ascii="Arial" w:cs="Arial" w:hAnsi="Arial"/>
              </w:rPr>
            </w:pPr>
            <w:r>
              <w:rPr>
                <w:rFonts w:ascii="Arial" w:cs="Arial" w:hAnsi="Arial"/>
              </w:rPr>
              <w:t>77 79 60 72</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03</w:t>
            </w:r>
          </w:p>
        </w:tc>
        <w:tc>
          <w:tcPr>
            <w:tcW w:w="4962" w:type="dxa"/>
            <w:tcBorders/>
            <w:vAlign w:val="center"/>
          </w:tcPr>
          <w:p>
            <w:pPr>
              <w:pStyle w:val="style0"/>
              <w:spacing w:before="0"/>
              <w:rPr>
                <w:rFonts w:ascii="Arial" w:cs="Arial" w:hAnsi="Arial"/>
              </w:rPr>
            </w:pPr>
            <w:r>
              <w:rPr>
                <w:rFonts w:ascii="Arial" w:cs="Arial" w:hAnsi="Arial"/>
              </w:rPr>
              <w:t>TRAORE Souleymane</w:t>
            </w:r>
          </w:p>
        </w:tc>
        <w:tc>
          <w:tcPr>
            <w:tcW w:w="777" w:type="dxa"/>
            <w:tcBorders/>
          </w:tcPr>
          <w:p>
            <w:pPr>
              <w:pStyle w:val="style0"/>
              <w:spacing w:before="0"/>
              <w:jc w:val="center"/>
              <w:rPr/>
            </w:pPr>
            <w:r>
              <w:rPr>
                <w:rFonts w:ascii="Arial" w:cs="Arial" w:hAnsi="Arial"/>
              </w:rPr>
              <w:t>M</w:t>
            </w:r>
          </w:p>
        </w:tc>
        <w:tc>
          <w:tcPr>
            <w:tcW w:w="3396" w:type="dxa"/>
            <w:tcBorders/>
            <w:vAlign w:val="center"/>
          </w:tcPr>
          <w:p>
            <w:pPr>
              <w:pStyle w:val="style0"/>
              <w:spacing w:before="0"/>
              <w:rPr>
                <w:rFonts w:ascii="Arial" w:cs="Arial" w:hAnsi="Arial"/>
              </w:rPr>
            </w:pPr>
            <w:r>
              <w:rPr>
                <w:rFonts w:ascii="Arial" w:cs="Arial" w:hAnsi="Arial"/>
              </w:rPr>
              <w:t>Agent d’Agriculture</w:t>
            </w:r>
          </w:p>
        </w:tc>
        <w:tc>
          <w:tcPr>
            <w:tcW w:w="2234" w:type="dxa"/>
            <w:tcBorders/>
            <w:vAlign w:val="center"/>
          </w:tcPr>
          <w:p>
            <w:pPr>
              <w:pStyle w:val="style0"/>
              <w:spacing w:before="0"/>
              <w:jc w:val="center"/>
              <w:rPr>
                <w:rFonts w:ascii="Arial" w:cs="Arial" w:hAnsi="Arial"/>
              </w:rPr>
            </w:pPr>
            <w:r>
              <w:rPr>
                <w:rFonts w:ascii="Arial" w:cs="Arial" w:hAnsi="Arial"/>
              </w:rPr>
              <w:t>60 06 05 38</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04</w:t>
            </w:r>
          </w:p>
        </w:tc>
        <w:tc>
          <w:tcPr>
            <w:tcW w:w="4962" w:type="dxa"/>
            <w:tcBorders/>
            <w:vAlign w:val="center"/>
          </w:tcPr>
          <w:p>
            <w:pPr>
              <w:pStyle w:val="style0"/>
              <w:spacing w:before="0"/>
              <w:rPr>
                <w:rFonts w:ascii="Arial" w:cs="Arial" w:hAnsi="Arial"/>
              </w:rPr>
            </w:pPr>
            <w:r>
              <w:rPr>
                <w:rFonts w:ascii="Arial" w:cs="Arial" w:hAnsi="Arial"/>
              </w:rPr>
              <w:t>KIENOU Ousséni</w:t>
            </w:r>
          </w:p>
        </w:tc>
        <w:tc>
          <w:tcPr>
            <w:tcW w:w="777" w:type="dxa"/>
            <w:tcBorders/>
          </w:tcPr>
          <w:p>
            <w:pPr>
              <w:pStyle w:val="style0"/>
              <w:spacing w:before="0"/>
              <w:jc w:val="center"/>
              <w:rPr/>
            </w:pPr>
            <w:r>
              <w:rPr>
                <w:rFonts w:ascii="Arial" w:cs="Arial" w:hAnsi="Arial"/>
              </w:rPr>
              <w:t>M</w:t>
            </w:r>
          </w:p>
        </w:tc>
        <w:tc>
          <w:tcPr>
            <w:tcW w:w="3396" w:type="dxa"/>
            <w:tcBorders/>
            <w:vAlign w:val="center"/>
          </w:tcPr>
          <w:p>
            <w:pPr>
              <w:pStyle w:val="style0"/>
              <w:spacing w:before="0"/>
              <w:rPr>
                <w:rFonts w:ascii="Arial" w:cs="Arial" w:hAnsi="Arial"/>
              </w:rPr>
            </w:pPr>
            <w:r>
              <w:rPr>
                <w:rFonts w:ascii="Arial" w:cs="Arial" w:hAnsi="Arial"/>
              </w:rPr>
              <w:t>Agent d’Agriculture</w:t>
            </w:r>
          </w:p>
        </w:tc>
        <w:tc>
          <w:tcPr>
            <w:tcW w:w="2234" w:type="dxa"/>
            <w:tcBorders/>
            <w:vAlign w:val="center"/>
          </w:tcPr>
          <w:p>
            <w:pPr>
              <w:pStyle w:val="style0"/>
              <w:spacing w:before="0"/>
              <w:jc w:val="center"/>
              <w:rPr>
                <w:rFonts w:ascii="Arial" w:cs="Arial" w:hAnsi="Arial"/>
              </w:rPr>
            </w:pPr>
            <w:r>
              <w:rPr>
                <w:rFonts w:ascii="Arial" w:cs="Arial" w:hAnsi="Arial"/>
              </w:rPr>
              <w:t>70 43 98 54</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05</w:t>
            </w:r>
          </w:p>
        </w:tc>
        <w:tc>
          <w:tcPr>
            <w:tcW w:w="4962" w:type="dxa"/>
            <w:tcBorders/>
            <w:vAlign w:val="center"/>
          </w:tcPr>
          <w:p>
            <w:pPr>
              <w:pStyle w:val="style0"/>
              <w:spacing w:before="0"/>
              <w:rPr>
                <w:rFonts w:ascii="Arial" w:cs="Arial" w:hAnsi="Arial"/>
              </w:rPr>
            </w:pPr>
            <w:r>
              <w:rPr>
                <w:rFonts w:ascii="Arial" w:cs="Arial" w:hAnsi="Arial"/>
              </w:rPr>
              <w:t>TRAORE Mamadou</w:t>
            </w:r>
          </w:p>
        </w:tc>
        <w:tc>
          <w:tcPr>
            <w:tcW w:w="777" w:type="dxa"/>
            <w:tcBorders/>
          </w:tcPr>
          <w:p>
            <w:pPr>
              <w:pStyle w:val="style0"/>
              <w:spacing w:before="0"/>
              <w:jc w:val="center"/>
              <w:rPr/>
            </w:pPr>
            <w:r>
              <w:rPr>
                <w:rFonts w:ascii="Arial" w:cs="Arial" w:hAnsi="Arial"/>
              </w:rPr>
              <w:t>M</w:t>
            </w:r>
          </w:p>
        </w:tc>
        <w:tc>
          <w:tcPr>
            <w:tcW w:w="3396" w:type="dxa"/>
            <w:tcBorders/>
            <w:vAlign w:val="center"/>
          </w:tcPr>
          <w:p>
            <w:pPr>
              <w:pStyle w:val="style0"/>
              <w:spacing w:before="0"/>
              <w:rPr>
                <w:rFonts w:ascii="Arial" w:cs="Arial" w:hAnsi="Arial"/>
              </w:rPr>
            </w:pPr>
            <w:r>
              <w:rPr>
                <w:rFonts w:ascii="Arial" w:cs="Arial" w:hAnsi="Arial"/>
              </w:rPr>
              <w:t>Chef du village</w:t>
            </w:r>
          </w:p>
        </w:tc>
        <w:tc>
          <w:tcPr>
            <w:tcW w:w="2234" w:type="dxa"/>
            <w:tcBorders/>
            <w:vAlign w:val="center"/>
          </w:tcPr>
          <w:p>
            <w:pPr>
              <w:pStyle w:val="style0"/>
              <w:spacing w:before="0"/>
              <w:jc w:val="center"/>
              <w:rPr>
                <w:rFonts w:ascii="Arial" w:cs="Arial" w:hAnsi="Arial"/>
              </w:rPr>
            </w:pPr>
            <w:r>
              <w:rPr>
                <w:rFonts w:ascii="Arial" w:cs="Arial" w:hAnsi="Arial"/>
              </w:rPr>
              <w:t>76 24 28 07</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06</w:t>
            </w:r>
          </w:p>
        </w:tc>
        <w:tc>
          <w:tcPr>
            <w:tcW w:w="4962" w:type="dxa"/>
            <w:tcBorders/>
            <w:vAlign w:val="center"/>
          </w:tcPr>
          <w:p>
            <w:pPr>
              <w:pStyle w:val="style0"/>
              <w:spacing w:before="0"/>
              <w:rPr>
                <w:rFonts w:ascii="Arial" w:cs="Arial" w:hAnsi="Arial"/>
              </w:rPr>
            </w:pPr>
            <w:r>
              <w:rPr>
                <w:rFonts w:ascii="Arial" w:cs="Arial" w:hAnsi="Arial"/>
              </w:rPr>
              <w:t>ZOMA Kouilga Emile</w:t>
            </w:r>
          </w:p>
        </w:tc>
        <w:tc>
          <w:tcPr>
            <w:tcW w:w="777" w:type="dxa"/>
            <w:tcBorders/>
          </w:tcPr>
          <w:p>
            <w:pPr>
              <w:pStyle w:val="style0"/>
              <w:spacing w:before="0"/>
              <w:jc w:val="center"/>
              <w:rPr/>
            </w:pPr>
            <w:r>
              <w:rPr>
                <w:rFonts w:ascii="Arial" w:cs="Arial" w:hAnsi="Arial"/>
              </w:rPr>
              <w:t>M</w:t>
            </w:r>
          </w:p>
        </w:tc>
        <w:tc>
          <w:tcPr>
            <w:tcW w:w="3396" w:type="dxa"/>
            <w:tcBorders/>
            <w:vAlign w:val="center"/>
          </w:tcPr>
          <w:p>
            <w:pPr>
              <w:pStyle w:val="style0"/>
              <w:spacing w:before="0"/>
              <w:rPr>
                <w:rFonts w:ascii="Arial" w:cs="Arial" w:hAnsi="Arial"/>
              </w:rPr>
            </w:pPr>
            <w:r>
              <w:rPr>
                <w:rFonts w:ascii="Arial" w:cs="Arial" w:hAnsi="Arial"/>
              </w:rPr>
              <w:t>Chef SDEEVCC</w:t>
            </w:r>
          </w:p>
        </w:tc>
        <w:tc>
          <w:tcPr>
            <w:tcW w:w="2234" w:type="dxa"/>
            <w:tcBorders/>
            <w:vAlign w:val="center"/>
          </w:tcPr>
          <w:p>
            <w:pPr>
              <w:pStyle w:val="style0"/>
              <w:spacing w:before="0"/>
              <w:jc w:val="center"/>
              <w:rPr>
                <w:rFonts w:ascii="Arial" w:cs="Arial" w:hAnsi="Arial"/>
              </w:rPr>
            </w:pPr>
            <w:r>
              <w:rPr>
                <w:rFonts w:ascii="Arial" w:cs="Arial" w:hAnsi="Arial"/>
              </w:rPr>
              <w:t>71 54 25 38</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07</w:t>
            </w:r>
          </w:p>
        </w:tc>
        <w:tc>
          <w:tcPr>
            <w:tcW w:w="4962" w:type="dxa"/>
            <w:tcBorders/>
            <w:vAlign w:val="center"/>
          </w:tcPr>
          <w:p>
            <w:pPr>
              <w:pStyle w:val="style0"/>
              <w:spacing w:before="0"/>
              <w:rPr>
                <w:rFonts w:ascii="Arial" w:cs="Arial" w:hAnsi="Arial"/>
              </w:rPr>
            </w:pPr>
            <w:r>
              <w:rPr>
                <w:rFonts w:ascii="Arial" w:cs="Arial" w:hAnsi="Arial"/>
              </w:rPr>
              <w:t>SAWADOGO Souleymane</w:t>
            </w:r>
          </w:p>
        </w:tc>
        <w:tc>
          <w:tcPr>
            <w:tcW w:w="777" w:type="dxa"/>
            <w:tcBorders/>
          </w:tcPr>
          <w:p>
            <w:pPr>
              <w:pStyle w:val="style0"/>
              <w:spacing w:before="0"/>
              <w:jc w:val="center"/>
              <w:rPr/>
            </w:pPr>
            <w:r>
              <w:rPr>
                <w:rFonts w:ascii="Arial" w:cs="Arial" w:hAnsi="Arial"/>
              </w:rPr>
              <w:t>M</w:t>
            </w:r>
          </w:p>
        </w:tc>
        <w:tc>
          <w:tcPr>
            <w:tcW w:w="3396" w:type="dxa"/>
            <w:tcBorders/>
            <w:vAlign w:val="center"/>
          </w:tcPr>
          <w:p>
            <w:pPr>
              <w:pStyle w:val="style0"/>
              <w:spacing w:before="0"/>
              <w:rPr>
                <w:rFonts w:ascii="Arial" w:cs="Arial" w:hAnsi="Arial"/>
              </w:rPr>
            </w:pPr>
            <w:r>
              <w:rPr>
                <w:rFonts w:ascii="Arial" w:cs="Arial" w:hAnsi="Arial"/>
              </w:rPr>
              <w:t>Police</w:t>
            </w:r>
          </w:p>
        </w:tc>
        <w:tc>
          <w:tcPr>
            <w:tcW w:w="2234" w:type="dxa"/>
            <w:tcBorders/>
            <w:vAlign w:val="center"/>
          </w:tcPr>
          <w:p>
            <w:pPr>
              <w:pStyle w:val="style0"/>
              <w:spacing w:before="0"/>
              <w:jc w:val="center"/>
              <w:rPr>
                <w:rFonts w:ascii="Arial" w:cs="Arial" w:hAnsi="Arial"/>
              </w:rPr>
            </w:pPr>
            <w:r>
              <w:rPr>
                <w:rFonts w:ascii="Arial" w:cs="Arial" w:hAnsi="Arial"/>
              </w:rPr>
              <w:t>71 80 53 12</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08</w:t>
            </w:r>
          </w:p>
        </w:tc>
        <w:tc>
          <w:tcPr>
            <w:tcW w:w="4962" w:type="dxa"/>
            <w:tcBorders/>
            <w:vAlign w:val="center"/>
          </w:tcPr>
          <w:p>
            <w:pPr>
              <w:pStyle w:val="style0"/>
              <w:spacing w:before="0"/>
              <w:rPr>
                <w:rFonts w:ascii="Arial" w:cs="Arial" w:hAnsi="Arial"/>
              </w:rPr>
            </w:pPr>
            <w:r>
              <w:rPr>
                <w:rFonts w:ascii="Arial" w:cs="Arial" w:hAnsi="Arial"/>
              </w:rPr>
              <w:t>RABO Zakaria</w:t>
            </w:r>
          </w:p>
        </w:tc>
        <w:tc>
          <w:tcPr>
            <w:tcW w:w="777" w:type="dxa"/>
            <w:tcBorders/>
          </w:tcPr>
          <w:p>
            <w:pPr>
              <w:pStyle w:val="style0"/>
              <w:spacing w:before="0"/>
              <w:jc w:val="center"/>
              <w:rPr/>
            </w:pPr>
            <w:r>
              <w:rPr>
                <w:rFonts w:ascii="Arial" w:cs="Arial" w:hAnsi="Arial"/>
              </w:rPr>
              <w:t>M</w:t>
            </w:r>
          </w:p>
        </w:tc>
        <w:tc>
          <w:tcPr>
            <w:tcW w:w="3396" w:type="dxa"/>
            <w:tcBorders/>
            <w:vAlign w:val="center"/>
          </w:tcPr>
          <w:p>
            <w:pPr>
              <w:pStyle w:val="style0"/>
              <w:spacing w:before="0"/>
              <w:rPr>
                <w:rFonts w:ascii="Arial" w:cs="Arial" w:hAnsi="Arial"/>
              </w:rPr>
            </w:pPr>
            <w:r>
              <w:rPr>
                <w:rFonts w:ascii="Arial" w:cs="Arial" w:hAnsi="Arial"/>
              </w:rPr>
              <w:t>Préfecture</w:t>
            </w:r>
          </w:p>
        </w:tc>
        <w:tc>
          <w:tcPr>
            <w:tcW w:w="2234" w:type="dxa"/>
            <w:tcBorders/>
            <w:vAlign w:val="center"/>
          </w:tcPr>
          <w:p>
            <w:pPr>
              <w:pStyle w:val="style0"/>
              <w:spacing w:before="0"/>
              <w:jc w:val="center"/>
              <w:rPr>
                <w:rFonts w:ascii="Arial" w:cs="Arial" w:hAnsi="Arial"/>
              </w:rPr>
            </w:pPr>
            <w:r>
              <w:rPr>
                <w:rFonts w:ascii="Arial" w:cs="Arial" w:hAnsi="Arial"/>
              </w:rPr>
              <w:t>70 99 24 31</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09</w:t>
            </w:r>
          </w:p>
        </w:tc>
        <w:tc>
          <w:tcPr>
            <w:tcW w:w="4962" w:type="dxa"/>
            <w:tcBorders/>
            <w:vAlign w:val="center"/>
          </w:tcPr>
          <w:p>
            <w:pPr>
              <w:pStyle w:val="style0"/>
              <w:spacing w:before="0"/>
              <w:rPr>
                <w:rFonts w:ascii="Arial" w:cs="Arial" w:hAnsi="Arial"/>
              </w:rPr>
            </w:pPr>
            <w:r>
              <w:rPr>
                <w:rFonts w:ascii="Arial" w:cs="Arial" w:hAnsi="Arial"/>
              </w:rPr>
              <w:t>TRAORE Yaya</w:t>
            </w:r>
          </w:p>
        </w:tc>
        <w:tc>
          <w:tcPr>
            <w:tcW w:w="777" w:type="dxa"/>
            <w:tcBorders/>
          </w:tcPr>
          <w:p>
            <w:pPr>
              <w:pStyle w:val="style0"/>
              <w:spacing w:before="0"/>
              <w:jc w:val="center"/>
              <w:rPr>
                <w:rFonts w:ascii="Arial" w:cs="Arial" w:hAnsi="Arial"/>
              </w:rPr>
            </w:pPr>
            <w:r>
              <w:rPr>
                <w:rFonts w:ascii="Arial" w:cs="Arial" w:hAnsi="Arial"/>
              </w:rPr>
              <w:t>M</w:t>
            </w:r>
          </w:p>
        </w:tc>
        <w:tc>
          <w:tcPr>
            <w:tcW w:w="3396" w:type="dxa"/>
            <w:tcBorders/>
            <w:vAlign w:val="center"/>
          </w:tcPr>
          <w:p>
            <w:pPr>
              <w:pStyle w:val="style0"/>
              <w:spacing w:before="0"/>
              <w:rPr>
                <w:rFonts w:ascii="Arial" w:cs="Arial" w:hAnsi="Arial"/>
              </w:rPr>
            </w:pPr>
            <w:r>
              <w:rPr>
                <w:rFonts w:ascii="Arial" w:cs="Arial" w:hAnsi="Arial"/>
              </w:rPr>
              <w:t>Vice de la S.CAB</w:t>
            </w:r>
          </w:p>
        </w:tc>
        <w:tc>
          <w:tcPr>
            <w:tcW w:w="2234" w:type="dxa"/>
            <w:tcBorders/>
            <w:vAlign w:val="center"/>
          </w:tcPr>
          <w:p>
            <w:pPr>
              <w:pStyle w:val="style0"/>
              <w:spacing w:before="0"/>
              <w:jc w:val="center"/>
              <w:rPr>
                <w:rFonts w:ascii="Arial" w:cs="Arial" w:hAnsi="Arial"/>
              </w:rPr>
            </w:pPr>
            <w:r>
              <w:rPr>
                <w:rFonts w:ascii="Arial" w:cs="Arial" w:hAnsi="Arial"/>
              </w:rPr>
              <w:t>76 19 87 02</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10</w:t>
            </w:r>
          </w:p>
        </w:tc>
        <w:tc>
          <w:tcPr>
            <w:tcW w:w="4962" w:type="dxa"/>
            <w:tcBorders/>
            <w:vAlign w:val="center"/>
          </w:tcPr>
          <w:p>
            <w:pPr>
              <w:pStyle w:val="style0"/>
              <w:spacing w:before="0"/>
              <w:rPr>
                <w:rFonts w:ascii="Arial" w:cs="Arial" w:hAnsi="Arial"/>
              </w:rPr>
            </w:pPr>
            <w:r>
              <w:rPr>
                <w:rFonts w:ascii="Arial" w:cs="Arial" w:hAnsi="Arial"/>
              </w:rPr>
              <w:t>OUEDRAOGO Claude</w:t>
            </w:r>
          </w:p>
        </w:tc>
        <w:tc>
          <w:tcPr>
            <w:tcW w:w="777" w:type="dxa"/>
            <w:tcBorders/>
          </w:tcPr>
          <w:p>
            <w:pPr>
              <w:pStyle w:val="style0"/>
              <w:spacing w:before="0"/>
              <w:jc w:val="center"/>
              <w:rPr>
                <w:rFonts w:ascii="Arial" w:cs="Arial" w:hAnsi="Arial"/>
              </w:rPr>
            </w:pPr>
            <w:r>
              <w:rPr>
                <w:rFonts w:ascii="Arial" w:cs="Arial" w:hAnsi="Arial"/>
              </w:rPr>
              <w:t>M</w:t>
            </w:r>
          </w:p>
        </w:tc>
        <w:tc>
          <w:tcPr>
            <w:tcW w:w="3396" w:type="dxa"/>
            <w:tcBorders/>
            <w:vAlign w:val="center"/>
          </w:tcPr>
          <w:p>
            <w:pPr>
              <w:pStyle w:val="style0"/>
              <w:spacing w:before="0"/>
              <w:rPr>
                <w:rFonts w:ascii="Arial" w:cs="Arial" w:hAnsi="Arial"/>
              </w:rPr>
            </w:pPr>
            <w:r>
              <w:rPr>
                <w:rFonts w:ascii="Arial" w:cs="Arial" w:hAnsi="Arial"/>
              </w:rPr>
              <w:t>Informations S CAB</w:t>
            </w:r>
          </w:p>
        </w:tc>
        <w:tc>
          <w:tcPr>
            <w:tcW w:w="2234" w:type="dxa"/>
            <w:tcBorders/>
            <w:vAlign w:val="center"/>
          </w:tcPr>
          <w:p>
            <w:pPr>
              <w:pStyle w:val="style0"/>
              <w:spacing w:before="0"/>
              <w:jc w:val="center"/>
              <w:rPr>
                <w:rFonts w:ascii="Arial" w:cs="Arial" w:hAnsi="Arial"/>
              </w:rPr>
            </w:pPr>
            <w:r>
              <w:rPr>
                <w:rFonts w:ascii="Arial" w:cs="Arial" w:hAnsi="Arial"/>
              </w:rPr>
              <w:t>76 13 83 68</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11</w:t>
            </w:r>
          </w:p>
        </w:tc>
        <w:tc>
          <w:tcPr>
            <w:tcW w:w="4962" w:type="dxa"/>
            <w:tcBorders/>
            <w:vAlign w:val="center"/>
          </w:tcPr>
          <w:p>
            <w:pPr>
              <w:pStyle w:val="style0"/>
              <w:spacing w:before="0"/>
              <w:rPr>
                <w:rFonts w:ascii="Arial" w:cs="Arial" w:hAnsi="Arial"/>
              </w:rPr>
            </w:pPr>
            <w:r>
              <w:rPr>
                <w:rFonts w:ascii="Arial" w:cs="Arial" w:hAnsi="Arial"/>
              </w:rPr>
              <w:t>MILLOGO D GERARD</w:t>
            </w:r>
          </w:p>
        </w:tc>
        <w:tc>
          <w:tcPr>
            <w:tcW w:w="777" w:type="dxa"/>
            <w:tcBorders/>
          </w:tcPr>
          <w:p>
            <w:pPr>
              <w:pStyle w:val="style0"/>
              <w:spacing w:before="0"/>
              <w:jc w:val="center"/>
              <w:rPr>
                <w:rFonts w:ascii="Arial" w:cs="Arial" w:hAnsi="Arial"/>
              </w:rPr>
            </w:pPr>
            <w:r>
              <w:rPr>
                <w:rFonts w:ascii="Arial" w:cs="Arial" w:hAnsi="Arial"/>
              </w:rPr>
              <w:t>M</w:t>
            </w:r>
          </w:p>
        </w:tc>
        <w:tc>
          <w:tcPr>
            <w:tcW w:w="3396" w:type="dxa"/>
            <w:tcBorders/>
            <w:vAlign w:val="center"/>
          </w:tcPr>
          <w:p>
            <w:pPr>
              <w:pStyle w:val="style0"/>
              <w:spacing w:before="0"/>
              <w:rPr>
                <w:rFonts w:ascii="Arial" w:cs="Arial" w:hAnsi="Arial"/>
              </w:rPr>
            </w:pPr>
            <w:r>
              <w:rPr>
                <w:rFonts w:ascii="Arial" w:cs="Arial" w:hAnsi="Arial"/>
              </w:rPr>
              <w:t>Logistique S.CAB</w:t>
            </w:r>
          </w:p>
        </w:tc>
        <w:tc>
          <w:tcPr>
            <w:tcW w:w="2234" w:type="dxa"/>
            <w:tcBorders/>
            <w:vAlign w:val="center"/>
          </w:tcPr>
          <w:p>
            <w:pPr>
              <w:pStyle w:val="style0"/>
              <w:spacing w:before="0"/>
              <w:jc w:val="center"/>
              <w:rPr>
                <w:rFonts w:ascii="Arial" w:cs="Arial" w:hAnsi="Arial"/>
              </w:rPr>
            </w:pPr>
            <w:r>
              <w:rPr>
                <w:rFonts w:ascii="Arial" w:cs="Arial" w:hAnsi="Arial"/>
              </w:rPr>
              <w:t>75 45 77 61</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12</w:t>
            </w:r>
          </w:p>
        </w:tc>
        <w:tc>
          <w:tcPr>
            <w:tcW w:w="4962" w:type="dxa"/>
            <w:tcBorders/>
            <w:vAlign w:val="center"/>
          </w:tcPr>
          <w:p>
            <w:pPr>
              <w:pStyle w:val="style0"/>
              <w:spacing w:before="0"/>
              <w:rPr>
                <w:rFonts w:ascii="Arial" w:cs="Arial" w:hAnsi="Arial"/>
              </w:rPr>
            </w:pPr>
            <w:r>
              <w:rPr>
                <w:rFonts w:ascii="Arial" w:cs="Arial" w:hAnsi="Arial"/>
              </w:rPr>
              <w:t>MILLOGO Séydou</w:t>
            </w:r>
          </w:p>
        </w:tc>
        <w:tc>
          <w:tcPr>
            <w:tcW w:w="777" w:type="dxa"/>
            <w:tcBorders/>
          </w:tcPr>
          <w:p>
            <w:pPr>
              <w:pStyle w:val="style0"/>
              <w:spacing w:before="0"/>
              <w:jc w:val="center"/>
              <w:rPr>
                <w:rFonts w:ascii="Arial" w:cs="Arial" w:hAnsi="Arial"/>
              </w:rPr>
            </w:pPr>
            <w:r>
              <w:rPr>
                <w:rFonts w:ascii="Arial" w:cs="Arial" w:hAnsi="Arial"/>
              </w:rPr>
              <w:t>M</w:t>
            </w:r>
          </w:p>
        </w:tc>
        <w:tc>
          <w:tcPr>
            <w:tcW w:w="3396" w:type="dxa"/>
            <w:tcBorders/>
            <w:vAlign w:val="center"/>
          </w:tcPr>
          <w:p>
            <w:pPr>
              <w:pStyle w:val="style0"/>
              <w:spacing w:before="0"/>
              <w:rPr>
                <w:rFonts w:ascii="Arial" w:cs="Arial" w:hAnsi="Arial"/>
              </w:rPr>
            </w:pPr>
            <w:r>
              <w:rPr>
                <w:rFonts w:ascii="Arial" w:cs="Arial" w:hAnsi="Arial"/>
              </w:rPr>
              <w:t>Producteur</w:t>
            </w:r>
          </w:p>
        </w:tc>
        <w:tc>
          <w:tcPr>
            <w:tcW w:w="2234" w:type="dxa"/>
            <w:tcBorders/>
            <w:vAlign w:val="center"/>
          </w:tcPr>
          <w:p>
            <w:pPr>
              <w:pStyle w:val="style0"/>
              <w:spacing w:before="0"/>
              <w:jc w:val="center"/>
              <w:rPr>
                <w:rFonts w:ascii="Arial" w:cs="Arial" w:hAnsi="Arial"/>
              </w:rPr>
            </w:pPr>
            <w:r>
              <w:rPr>
                <w:rFonts w:ascii="Arial" w:cs="Arial" w:hAnsi="Arial"/>
              </w:rPr>
              <w:t>75 02 98 11</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13</w:t>
            </w:r>
          </w:p>
        </w:tc>
        <w:tc>
          <w:tcPr>
            <w:tcW w:w="4962" w:type="dxa"/>
            <w:tcBorders/>
            <w:vAlign w:val="center"/>
          </w:tcPr>
          <w:p>
            <w:pPr>
              <w:pStyle w:val="style0"/>
              <w:spacing w:before="0"/>
              <w:rPr>
                <w:rFonts w:ascii="Arial" w:cs="Arial" w:hAnsi="Arial"/>
              </w:rPr>
            </w:pPr>
            <w:r>
              <w:rPr>
                <w:rFonts w:ascii="Arial" w:cs="Arial" w:hAnsi="Arial"/>
              </w:rPr>
              <w:t>OUEDRAOGO Hamad</w:t>
            </w:r>
          </w:p>
        </w:tc>
        <w:tc>
          <w:tcPr>
            <w:tcW w:w="777" w:type="dxa"/>
            <w:tcBorders/>
          </w:tcPr>
          <w:p>
            <w:pPr>
              <w:pStyle w:val="style0"/>
              <w:spacing w:before="0"/>
              <w:jc w:val="center"/>
              <w:rPr/>
            </w:pPr>
            <w:r>
              <w:rPr>
                <w:rFonts w:ascii="Arial" w:cs="Arial" w:hAnsi="Arial"/>
              </w:rPr>
              <w:t>M</w:t>
            </w:r>
          </w:p>
        </w:tc>
        <w:tc>
          <w:tcPr>
            <w:tcW w:w="3396" w:type="dxa"/>
            <w:tcBorders/>
            <w:vAlign w:val="center"/>
          </w:tcPr>
          <w:p>
            <w:pPr>
              <w:pStyle w:val="style0"/>
              <w:spacing w:before="0"/>
              <w:rPr>
                <w:rFonts w:ascii="Arial" w:cs="Arial" w:hAnsi="Arial"/>
              </w:rPr>
            </w:pPr>
            <w:r>
              <w:rPr>
                <w:rFonts w:ascii="Arial" w:cs="Arial" w:hAnsi="Arial"/>
              </w:rPr>
              <w:t>Président S CAB</w:t>
            </w:r>
          </w:p>
        </w:tc>
        <w:tc>
          <w:tcPr>
            <w:tcW w:w="2234" w:type="dxa"/>
            <w:tcBorders/>
            <w:vAlign w:val="center"/>
          </w:tcPr>
          <w:p>
            <w:pPr>
              <w:pStyle w:val="style0"/>
              <w:spacing w:before="0"/>
              <w:jc w:val="center"/>
              <w:rPr>
                <w:rFonts w:ascii="Arial" w:cs="Arial" w:hAnsi="Arial"/>
              </w:rPr>
            </w:pPr>
            <w:r>
              <w:rPr>
                <w:rFonts w:ascii="Arial" w:cs="Arial" w:hAnsi="Arial"/>
              </w:rPr>
              <w:t>76 10 14 80</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14</w:t>
            </w:r>
          </w:p>
        </w:tc>
        <w:tc>
          <w:tcPr>
            <w:tcW w:w="4962" w:type="dxa"/>
            <w:tcBorders/>
            <w:vAlign w:val="center"/>
          </w:tcPr>
          <w:p>
            <w:pPr>
              <w:pStyle w:val="style0"/>
              <w:spacing w:before="0"/>
              <w:rPr>
                <w:rFonts w:ascii="Arial" w:cs="Arial" w:hAnsi="Arial"/>
              </w:rPr>
            </w:pPr>
            <w:r>
              <w:rPr>
                <w:rFonts w:ascii="Arial" w:cs="Arial" w:hAnsi="Arial"/>
              </w:rPr>
              <w:t>SANOU Drissa</w:t>
            </w:r>
          </w:p>
        </w:tc>
        <w:tc>
          <w:tcPr>
            <w:tcW w:w="777" w:type="dxa"/>
            <w:tcBorders/>
          </w:tcPr>
          <w:p>
            <w:pPr>
              <w:pStyle w:val="style0"/>
              <w:spacing w:before="0"/>
              <w:jc w:val="center"/>
              <w:rPr/>
            </w:pPr>
            <w:r>
              <w:rPr>
                <w:rFonts w:ascii="Arial" w:cs="Arial" w:hAnsi="Arial"/>
              </w:rPr>
              <w:t>M</w:t>
            </w:r>
          </w:p>
        </w:tc>
        <w:tc>
          <w:tcPr>
            <w:tcW w:w="3396" w:type="dxa"/>
            <w:tcBorders/>
            <w:vAlign w:val="center"/>
          </w:tcPr>
          <w:p>
            <w:pPr>
              <w:pStyle w:val="style0"/>
              <w:spacing w:before="0"/>
              <w:rPr>
                <w:rFonts w:ascii="Arial" w:cs="Arial" w:hAnsi="Arial"/>
              </w:rPr>
            </w:pPr>
            <w:r>
              <w:rPr>
                <w:rFonts w:ascii="Arial" w:cs="Arial" w:hAnsi="Arial"/>
              </w:rPr>
              <w:t>Chef plaine</w:t>
            </w:r>
          </w:p>
        </w:tc>
        <w:tc>
          <w:tcPr>
            <w:tcW w:w="2234" w:type="dxa"/>
            <w:tcBorders/>
            <w:vAlign w:val="center"/>
          </w:tcPr>
          <w:p>
            <w:pPr>
              <w:pStyle w:val="style0"/>
              <w:spacing w:before="0"/>
              <w:jc w:val="center"/>
              <w:rPr>
                <w:rFonts w:ascii="Arial" w:cs="Arial" w:hAnsi="Arial"/>
              </w:rPr>
            </w:pPr>
            <w:r>
              <w:rPr>
                <w:rFonts w:ascii="Arial" w:cs="Arial" w:hAnsi="Arial"/>
              </w:rPr>
              <w:t>76 46 25 75</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15</w:t>
            </w:r>
          </w:p>
        </w:tc>
        <w:tc>
          <w:tcPr>
            <w:tcW w:w="4962" w:type="dxa"/>
            <w:tcBorders/>
            <w:vAlign w:val="center"/>
          </w:tcPr>
          <w:p>
            <w:pPr>
              <w:pStyle w:val="style0"/>
              <w:spacing w:before="0"/>
              <w:rPr>
                <w:rFonts w:ascii="Arial" w:cs="Arial" w:hAnsi="Arial"/>
              </w:rPr>
            </w:pPr>
            <w:r>
              <w:rPr>
                <w:rFonts w:ascii="Arial" w:cs="Arial" w:hAnsi="Arial"/>
              </w:rPr>
              <w:t>OUEDRAOGO Zakaria</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rFonts w:ascii="Arial" w:cs="Arial" w:hAnsi="Arial"/>
              </w:rPr>
            </w:pPr>
            <w:r>
              <w:rPr>
                <w:rFonts w:ascii="Arial" w:cs="Arial" w:hAnsi="Arial"/>
              </w:rPr>
              <w:t>Gestionnaire plaine</w:t>
            </w:r>
          </w:p>
        </w:tc>
        <w:tc>
          <w:tcPr>
            <w:tcW w:w="2234" w:type="dxa"/>
            <w:tcBorders/>
            <w:vAlign w:val="center"/>
          </w:tcPr>
          <w:p>
            <w:pPr>
              <w:pStyle w:val="style0"/>
              <w:spacing w:before="0"/>
              <w:jc w:val="center"/>
              <w:rPr>
                <w:rFonts w:ascii="Arial" w:cs="Arial" w:hAnsi="Arial"/>
              </w:rPr>
            </w:pPr>
            <w:r>
              <w:rPr>
                <w:rFonts w:ascii="Arial" w:cs="Arial" w:hAnsi="Arial"/>
              </w:rPr>
              <w:t>76 53 11 03</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16</w:t>
            </w:r>
          </w:p>
        </w:tc>
        <w:tc>
          <w:tcPr>
            <w:tcW w:w="4962" w:type="dxa"/>
            <w:tcBorders/>
            <w:vAlign w:val="center"/>
          </w:tcPr>
          <w:p>
            <w:pPr>
              <w:pStyle w:val="style0"/>
              <w:spacing w:before="0"/>
              <w:rPr>
                <w:rFonts w:ascii="Arial" w:cs="Arial" w:hAnsi="Arial"/>
              </w:rPr>
            </w:pPr>
            <w:r>
              <w:rPr>
                <w:rFonts w:ascii="Arial" w:cs="Arial" w:hAnsi="Arial"/>
              </w:rPr>
              <w:t>TRAORE Abdoulaye</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rFonts w:ascii="Arial" w:cs="Arial" w:hAnsi="Arial"/>
              </w:rPr>
            </w:pPr>
            <w:r>
              <w:rPr>
                <w:rFonts w:ascii="Arial" w:cs="Arial" w:hAnsi="Arial"/>
              </w:rPr>
              <w:t>SG Adjoint SCAB</w:t>
            </w:r>
          </w:p>
        </w:tc>
        <w:tc>
          <w:tcPr>
            <w:tcW w:w="2234" w:type="dxa"/>
            <w:tcBorders/>
            <w:vAlign w:val="center"/>
          </w:tcPr>
          <w:p>
            <w:pPr>
              <w:pStyle w:val="style0"/>
              <w:spacing w:before="0"/>
              <w:jc w:val="center"/>
              <w:rPr>
                <w:rFonts w:ascii="Arial" w:cs="Arial" w:hAnsi="Arial"/>
              </w:rPr>
            </w:pPr>
            <w:r>
              <w:rPr>
                <w:rFonts w:ascii="Arial" w:cs="Arial" w:hAnsi="Arial"/>
              </w:rPr>
              <w:t>75 14 60 55</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17</w:t>
            </w:r>
          </w:p>
        </w:tc>
        <w:tc>
          <w:tcPr>
            <w:tcW w:w="4962" w:type="dxa"/>
            <w:tcBorders/>
            <w:vAlign w:val="center"/>
          </w:tcPr>
          <w:p>
            <w:pPr>
              <w:pStyle w:val="style0"/>
              <w:spacing w:before="0"/>
              <w:rPr>
                <w:rFonts w:ascii="Arial" w:cs="Arial" w:hAnsi="Arial"/>
              </w:rPr>
            </w:pPr>
            <w:r>
              <w:rPr>
                <w:rFonts w:ascii="Arial" w:cs="Arial" w:hAnsi="Arial"/>
              </w:rPr>
              <w:t>TRAORE Mamadou</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rFonts w:ascii="Arial" w:cs="Arial" w:hAnsi="Arial"/>
              </w:rPr>
            </w:pPr>
            <w:r>
              <w:rPr>
                <w:rFonts w:ascii="Arial" w:cs="Arial" w:hAnsi="Arial"/>
              </w:rPr>
              <w:t>Organisations</w:t>
            </w:r>
          </w:p>
        </w:tc>
        <w:tc>
          <w:tcPr>
            <w:tcW w:w="2234" w:type="dxa"/>
            <w:tcBorders/>
            <w:vAlign w:val="center"/>
          </w:tcPr>
          <w:p>
            <w:pPr>
              <w:pStyle w:val="style0"/>
              <w:spacing w:before="0"/>
              <w:jc w:val="center"/>
              <w:rPr>
                <w:rFonts w:ascii="Arial" w:cs="Arial" w:hAnsi="Arial"/>
              </w:rPr>
            </w:pPr>
            <w:r>
              <w:rPr>
                <w:rFonts w:ascii="Arial" w:cs="Arial" w:hAnsi="Arial"/>
              </w:rPr>
              <w:t>76 19 87 02</w:t>
            </w:r>
          </w:p>
        </w:tc>
        <w:tc>
          <w:tcPr>
            <w:tcW w:w="2693" w:type="dxa"/>
            <w:tcBorders/>
            <w:vAlign w:val="center"/>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18</w:t>
            </w:r>
          </w:p>
        </w:tc>
        <w:tc>
          <w:tcPr>
            <w:tcW w:w="4962" w:type="dxa"/>
            <w:tcBorders/>
          </w:tcPr>
          <w:p>
            <w:pPr>
              <w:pStyle w:val="style0"/>
              <w:spacing w:before="0"/>
              <w:rPr>
                <w:rFonts w:ascii="Arial" w:cs="Arial" w:hAnsi="Arial"/>
              </w:rPr>
            </w:pPr>
            <w:r>
              <w:rPr>
                <w:rFonts w:ascii="Arial" w:cs="Arial" w:hAnsi="Arial"/>
              </w:rPr>
              <w:t>TRAORE Adama</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rFonts w:ascii="Arial" w:cs="Arial" w:hAnsi="Arial"/>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w:t>
            </w:r>
          </w:p>
        </w:tc>
        <w:tc>
          <w:tcPr>
            <w:tcW w:w="2693" w:type="dxa"/>
            <w:tcBorders/>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19</w:t>
            </w:r>
          </w:p>
        </w:tc>
        <w:tc>
          <w:tcPr>
            <w:tcW w:w="4962" w:type="dxa"/>
            <w:tcBorders/>
            <w:vAlign w:val="center"/>
          </w:tcPr>
          <w:p>
            <w:pPr>
              <w:pStyle w:val="style0"/>
              <w:spacing w:before="0"/>
              <w:rPr>
                <w:rFonts w:ascii="Arial" w:cs="Arial" w:hAnsi="Arial"/>
              </w:rPr>
            </w:pPr>
            <w:r>
              <w:rPr>
                <w:rFonts w:ascii="Arial" w:cs="Arial" w:hAnsi="Arial"/>
              </w:rPr>
              <w:t>SANOU Doda</w:t>
            </w:r>
          </w:p>
        </w:tc>
        <w:tc>
          <w:tcPr>
            <w:tcW w:w="777" w:type="dxa"/>
            <w:tcBorders/>
          </w:tcPr>
          <w:p>
            <w:pPr>
              <w:pStyle w:val="style0"/>
              <w:spacing w:before="0"/>
              <w:jc w:val="center"/>
              <w:rPr/>
            </w:pPr>
            <w:r>
              <w:rPr>
                <w:rFonts w:ascii="Arial" w:cs="Arial" w:hAnsi="Arial"/>
              </w:rPr>
              <w:t>F</w:t>
            </w:r>
          </w:p>
        </w:tc>
        <w:tc>
          <w:tcPr>
            <w:tcW w:w="3396" w:type="dxa"/>
            <w:tcBorders/>
          </w:tcPr>
          <w:p>
            <w:pPr>
              <w:pStyle w:val="style0"/>
              <w:spacing w:before="0"/>
              <w:rPr>
                <w:rFonts w:ascii="Arial" w:cs="Arial" w:hAnsi="Arial"/>
              </w:rPr>
            </w:pPr>
            <w:r>
              <w:rPr>
                <w:rFonts w:ascii="Arial" w:cs="Arial" w:hAnsi="Arial"/>
              </w:rPr>
              <w:t>Productrice</w:t>
            </w:r>
          </w:p>
        </w:tc>
        <w:tc>
          <w:tcPr>
            <w:tcW w:w="2234" w:type="dxa"/>
            <w:tcBorders/>
          </w:tcPr>
          <w:p>
            <w:pPr>
              <w:pStyle w:val="style0"/>
              <w:spacing w:before="0"/>
              <w:jc w:val="center"/>
              <w:rPr>
                <w:rFonts w:ascii="Arial" w:cs="Arial" w:hAnsi="Arial"/>
              </w:rPr>
            </w:pPr>
            <w:r>
              <w:rPr>
                <w:rFonts w:ascii="Arial" w:cs="Arial" w:hAnsi="Arial"/>
              </w:rPr>
              <w:t>76 99 79 81</w:t>
            </w:r>
          </w:p>
        </w:tc>
        <w:tc>
          <w:tcPr>
            <w:tcW w:w="2693" w:type="dxa"/>
            <w:tcBorders/>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20</w:t>
            </w:r>
          </w:p>
        </w:tc>
        <w:tc>
          <w:tcPr>
            <w:tcW w:w="4962" w:type="dxa"/>
            <w:tcBorders/>
            <w:vAlign w:val="center"/>
          </w:tcPr>
          <w:p>
            <w:pPr>
              <w:pStyle w:val="style0"/>
              <w:spacing w:before="0"/>
              <w:rPr>
                <w:rFonts w:ascii="Arial" w:cs="Arial" w:hAnsi="Arial"/>
              </w:rPr>
            </w:pPr>
            <w:r>
              <w:rPr>
                <w:rFonts w:ascii="Arial" w:cs="Arial" w:hAnsi="Arial"/>
              </w:rPr>
              <w:t>BELEM Abdoulaye</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rFonts w:ascii="Arial" w:cs="Arial" w:hAnsi="Arial"/>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w:t>
            </w:r>
          </w:p>
        </w:tc>
        <w:tc>
          <w:tcPr>
            <w:tcW w:w="2693" w:type="dxa"/>
            <w:tcBorders/>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21</w:t>
            </w:r>
          </w:p>
        </w:tc>
        <w:tc>
          <w:tcPr>
            <w:tcW w:w="4962" w:type="dxa"/>
            <w:tcBorders/>
            <w:vAlign w:val="center"/>
          </w:tcPr>
          <w:p>
            <w:pPr>
              <w:pStyle w:val="style0"/>
              <w:spacing w:before="0"/>
              <w:rPr>
                <w:rFonts w:ascii="Arial" w:cs="Arial" w:hAnsi="Arial"/>
              </w:rPr>
            </w:pPr>
            <w:r>
              <w:rPr>
                <w:rFonts w:ascii="Arial" w:cs="Arial" w:hAnsi="Arial"/>
              </w:rPr>
              <w:t>ZABRE Ossa Moïse</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75 45 77 63</w:t>
            </w:r>
          </w:p>
        </w:tc>
        <w:tc>
          <w:tcPr>
            <w:tcW w:w="2693" w:type="dxa"/>
            <w:tcBorders/>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22</w:t>
            </w:r>
          </w:p>
        </w:tc>
        <w:tc>
          <w:tcPr>
            <w:tcW w:w="4962" w:type="dxa"/>
            <w:tcBorders/>
            <w:vAlign w:val="center"/>
          </w:tcPr>
          <w:p>
            <w:pPr>
              <w:pStyle w:val="style0"/>
              <w:spacing w:before="0"/>
              <w:rPr>
                <w:rFonts w:ascii="Arial" w:cs="Arial" w:hAnsi="Arial"/>
              </w:rPr>
            </w:pPr>
            <w:r>
              <w:rPr>
                <w:rFonts w:ascii="Arial" w:cs="Arial" w:hAnsi="Arial"/>
              </w:rPr>
              <w:t>OUEDRAOGO Amadé</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76 32 73 32</w:t>
            </w:r>
          </w:p>
        </w:tc>
        <w:tc>
          <w:tcPr>
            <w:tcW w:w="2693" w:type="dxa"/>
            <w:tcBorders/>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23</w:t>
            </w:r>
          </w:p>
        </w:tc>
        <w:tc>
          <w:tcPr>
            <w:tcW w:w="4962" w:type="dxa"/>
            <w:tcBorders/>
            <w:vAlign w:val="center"/>
          </w:tcPr>
          <w:p>
            <w:pPr>
              <w:pStyle w:val="style0"/>
              <w:spacing w:before="0"/>
              <w:rPr>
                <w:rFonts w:ascii="Arial" w:cs="Arial" w:hAnsi="Arial"/>
              </w:rPr>
            </w:pPr>
            <w:r>
              <w:rPr>
                <w:rFonts w:ascii="Arial" w:cs="Arial" w:hAnsi="Arial"/>
              </w:rPr>
              <w:t xml:space="preserve">TRAORE G Drissa </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76 57 40 36</w:t>
            </w:r>
          </w:p>
        </w:tc>
        <w:tc>
          <w:tcPr>
            <w:tcW w:w="2693" w:type="dxa"/>
            <w:tcBorders/>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24</w:t>
            </w:r>
          </w:p>
        </w:tc>
        <w:tc>
          <w:tcPr>
            <w:tcW w:w="4962" w:type="dxa"/>
            <w:tcBorders/>
            <w:vAlign w:val="center"/>
          </w:tcPr>
          <w:p>
            <w:pPr>
              <w:pStyle w:val="style0"/>
              <w:spacing w:before="0"/>
              <w:rPr>
                <w:rFonts w:ascii="Arial" w:cs="Arial" w:hAnsi="Arial"/>
              </w:rPr>
            </w:pPr>
            <w:r>
              <w:rPr>
                <w:rFonts w:ascii="Arial" w:cs="Arial" w:hAnsi="Arial"/>
              </w:rPr>
              <w:t>TRAORE Sié Joseph</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77 08 68 59</w:t>
            </w:r>
          </w:p>
        </w:tc>
        <w:tc>
          <w:tcPr>
            <w:tcW w:w="2693" w:type="dxa"/>
            <w:tcBorders/>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25</w:t>
            </w:r>
          </w:p>
        </w:tc>
        <w:tc>
          <w:tcPr>
            <w:tcW w:w="4962" w:type="dxa"/>
            <w:tcBorders/>
            <w:vAlign w:val="center"/>
          </w:tcPr>
          <w:p>
            <w:pPr>
              <w:pStyle w:val="style0"/>
              <w:spacing w:before="0"/>
              <w:rPr>
                <w:rFonts w:ascii="Arial" w:cs="Arial" w:hAnsi="Arial"/>
              </w:rPr>
            </w:pPr>
            <w:r>
              <w:rPr>
                <w:rFonts w:ascii="Arial" w:cs="Arial" w:hAnsi="Arial"/>
              </w:rPr>
              <w:t>OATTARA Tiéba</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65 47 15 57</w:t>
            </w:r>
          </w:p>
        </w:tc>
        <w:tc>
          <w:tcPr>
            <w:tcW w:w="2693" w:type="dxa"/>
            <w:tcBorders/>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26</w:t>
            </w:r>
          </w:p>
        </w:tc>
        <w:tc>
          <w:tcPr>
            <w:tcW w:w="4962" w:type="dxa"/>
            <w:tcBorders/>
            <w:vAlign w:val="center"/>
          </w:tcPr>
          <w:p>
            <w:pPr>
              <w:pStyle w:val="style0"/>
              <w:spacing w:before="0"/>
              <w:rPr>
                <w:rFonts w:ascii="Arial" w:cs="Arial" w:hAnsi="Arial"/>
              </w:rPr>
            </w:pPr>
            <w:r>
              <w:rPr>
                <w:rFonts w:ascii="Arial" w:cs="Arial" w:hAnsi="Arial"/>
              </w:rPr>
              <w:t>SAWADOGO Idrissa</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vAlign w:val="center"/>
          </w:tcPr>
          <w:p>
            <w:pPr>
              <w:pStyle w:val="style0"/>
              <w:spacing w:before="0"/>
              <w:jc w:val="center"/>
              <w:rPr>
                <w:rFonts w:ascii="Arial" w:cs="Arial" w:hAnsi="Arial"/>
              </w:rPr>
            </w:pPr>
            <w:r>
              <w:rPr>
                <w:rFonts w:ascii="Arial" w:cs="Arial" w:hAnsi="Arial"/>
              </w:rPr>
              <w:t>75 41 24 84</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27</w:t>
            </w:r>
          </w:p>
        </w:tc>
        <w:tc>
          <w:tcPr>
            <w:tcW w:w="4962" w:type="dxa"/>
            <w:tcBorders/>
          </w:tcPr>
          <w:p>
            <w:pPr>
              <w:pStyle w:val="style0"/>
              <w:spacing w:before="0"/>
              <w:rPr>
                <w:rFonts w:ascii="Arial" w:cs="Arial" w:hAnsi="Arial"/>
              </w:rPr>
            </w:pPr>
            <w:r>
              <w:rPr>
                <w:rFonts w:ascii="Arial" w:cs="Arial" w:hAnsi="Arial"/>
              </w:rPr>
              <w:t>SAWADOGO Issa</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74 49 96 33</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28</w:t>
            </w:r>
          </w:p>
        </w:tc>
        <w:tc>
          <w:tcPr>
            <w:tcW w:w="4962" w:type="dxa"/>
            <w:tcBorders/>
          </w:tcPr>
          <w:p>
            <w:pPr>
              <w:pStyle w:val="style0"/>
              <w:spacing w:before="0"/>
              <w:rPr>
                <w:rFonts w:ascii="Arial" w:cs="Arial" w:hAnsi="Arial"/>
              </w:rPr>
            </w:pPr>
            <w:r>
              <w:rPr>
                <w:rFonts w:ascii="Arial" w:cs="Arial" w:hAnsi="Arial"/>
              </w:rPr>
              <w:t>OUATTARA Adama</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76 63 05 22</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29</w:t>
            </w:r>
          </w:p>
        </w:tc>
        <w:tc>
          <w:tcPr>
            <w:tcW w:w="4962" w:type="dxa"/>
            <w:tcBorders/>
          </w:tcPr>
          <w:p>
            <w:pPr>
              <w:pStyle w:val="style0"/>
              <w:spacing w:before="0"/>
              <w:rPr>
                <w:rFonts w:ascii="Arial" w:cs="Arial" w:hAnsi="Arial"/>
              </w:rPr>
            </w:pPr>
            <w:r>
              <w:rPr>
                <w:rFonts w:ascii="Arial" w:cs="Arial" w:hAnsi="Arial"/>
              </w:rPr>
              <w:t>TRAORE Go Lamoussa</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76 02 35 19</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30</w:t>
            </w:r>
          </w:p>
        </w:tc>
        <w:tc>
          <w:tcPr>
            <w:tcW w:w="4962" w:type="dxa"/>
            <w:tcBorders/>
          </w:tcPr>
          <w:p>
            <w:pPr>
              <w:pStyle w:val="style0"/>
              <w:spacing w:before="0"/>
              <w:rPr>
                <w:rFonts w:ascii="Arial" w:cs="Arial" w:hAnsi="Arial"/>
              </w:rPr>
            </w:pPr>
            <w:r>
              <w:rPr>
                <w:rFonts w:ascii="Arial" w:cs="Arial" w:hAnsi="Arial"/>
              </w:rPr>
              <w:t>BELEM Issouf</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rFonts w:ascii="Arial" w:cs="Arial" w:hAnsi="Arial"/>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74 92 27 26</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31</w:t>
            </w:r>
          </w:p>
        </w:tc>
        <w:tc>
          <w:tcPr>
            <w:tcW w:w="4962" w:type="dxa"/>
            <w:tcBorders/>
          </w:tcPr>
          <w:p>
            <w:pPr>
              <w:pStyle w:val="style0"/>
              <w:spacing w:before="0"/>
              <w:rPr>
                <w:rFonts w:ascii="Arial" w:cs="Arial" w:hAnsi="Arial"/>
              </w:rPr>
            </w:pPr>
            <w:r>
              <w:rPr>
                <w:rFonts w:ascii="Arial" w:cs="Arial" w:hAnsi="Arial"/>
              </w:rPr>
              <w:t>TRAORE K. Moussa</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rFonts w:ascii="Arial" w:cs="Arial" w:hAnsi="Arial"/>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76 19 92 56</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32</w:t>
            </w:r>
          </w:p>
        </w:tc>
        <w:tc>
          <w:tcPr>
            <w:tcW w:w="4962" w:type="dxa"/>
            <w:tcBorders/>
          </w:tcPr>
          <w:p>
            <w:pPr>
              <w:pStyle w:val="style0"/>
              <w:spacing w:before="0"/>
              <w:rPr>
                <w:rFonts w:ascii="Arial" w:cs="Arial" w:hAnsi="Arial"/>
              </w:rPr>
            </w:pPr>
            <w:r>
              <w:rPr>
                <w:rFonts w:ascii="Arial" w:cs="Arial" w:hAnsi="Arial"/>
              </w:rPr>
              <w:t>TRAORE Sié</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76 79 10 61</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33</w:t>
            </w:r>
          </w:p>
        </w:tc>
        <w:tc>
          <w:tcPr>
            <w:tcW w:w="4962" w:type="dxa"/>
            <w:tcBorders/>
          </w:tcPr>
          <w:p>
            <w:pPr>
              <w:pStyle w:val="style0"/>
              <w:spacing w:before="0"/>
              <w:rPr>
                <w:rFonts w:ascii="Arial" w:cs="Arial" w:hAnsi="Arial"/>
              </w:rPr>
            </w:pPr>
            <w:r>
              <w:rPr>
                <w:rFonts w:ascii="Arial" w:cs="Arial" w:hAnsi="Arial"/>
              </w:rPr>
              <w:t>SANKARA Madi</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76 09 41 02</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34</w:t>
            </w:r>
          </w:p>
        </w:tc>
        <w:tc>
          <w:tcPr>
            <w:tcW w:w="4962" w:type="dxa"/>
            <w:tcBorders/>
          </w:tcPr>
          <w:p>
            <w:pPr>
              <w:pStyle w:val="style0"/>
              <w:spacing w:before="0"/>
              <w:rPr>
                <w:rFonts w:ascii="Arial" w:cs="Arial" w:hAnsi="Arial"/>
              </w:rPr>
            </w:pPr>
            <w:r>
              <w:rPr>
                <w:rFonts w:ascii="Arial" w:cs="Arial" w:hAnsi="Arial"/>
              </w:rPr>
              <w:t>SAWADOGO Dramane</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 xml:space="preserve">66 40 31 12 </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35</w:t>
            </w:r>
          </w:p>
        </w:tc>
        <w:tc>
          <w:tcPr>
            <w:tcW w:w="4962" w:type="dxa"/>
            <w:tcBorders/>
          </w:tcPr>
          <w:p>
            <w:pPr>
              <w:pStyle w:val="style0"/>
              <w:spacing w:before="0"/>
              <w:rPr>
                <w:rFonts w:ascii="Arial" w:cs="Arial" w:hAnsi="Arial"/>
              </w:rPr>
            </w:pPr>
            <w:r>
              <w:rPr>
                <w:rFonts w:ascii="Arial" w:cs="Arial" w:hAnsi="Arial"/>
              </w:rPr>
              <w:t>OUEDRAOGO Noufou</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76 79 14 37</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36</w:t>
            </w:r>
          </w:p>
        </w:tc>
        <w:tc>
          <w:tcPr>
            <w:tcW w:w="4962" w:type="dxa"/>
            <w:tcBorders/>
          </w:tcPr>
          <w:p>
            <w:pPr>
              <w:pStyle w:val="style0"/>
              <w:spacing w:before="0"/>
              <w:rPr>
                <w:rFonts w:ascii="Arial" w:cs="Arial" w:hAnsi="Arial"/>
              </w:rPr>
            </w:pPr>
            <w:r>
              <w:rPr>
                <w:rFonts w:ascii="Arial" w:cs="Arial" w:hAnsi="Arial"/>
              </w:rPr>
              <w:t>KOUDOUGOU Moussa</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76 26 13 78</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37</w:t>
            </w:r>
          </w:p>
        </w:tc>
        <w:tc>
          <w:tcPr>
            <w:tcW w:w="4962" w:type="dxa"/>
            <w:tcBorders/>
          </w:tcPr>
          <w:p>
            <w:pPr>
              <w:pStyle w:val="style0"/>
              <w:spacing w:before="0"/>
              <w:rPr>
                <w:rFonts w:ascii="Arial" w:cs="Arial" w:hAnsi="Arial"/>
              </w:rPr>
            </w:pPr>
            <w:r>
              <w:rPr>
                <w:rFonts w:ascii="Arial" w:cs="Arial" w:hAnsi="Arial"/>
              </w:rPr>
              <w:t>DAO Yaya</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76 76 47 26</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38</w:t>
            </w:r>
          </w:p>
        </w:tc>
        <w:tc>
          <w:tcPr>
            <w:tcW w:w="4962" w:type="dxa"/>
            <w:tcBorders/>
          </w:tcPr>
          <w:p>
            <w:pPr>
              <w:pStyle w:val="style0"/>
              <w:spacing w:before="0"/>
              <w:rPr>
                <w:rFonts w:ascii="Arial" w:cs="Arial" w:hAnsi="Arial"/>
              </w:rPr>
            </w:pPr>
            <w:r>
              <w:rPr>
                <w:rFonts w:ascii="Arial" w:cs="Arial" w:hAnsi="Arial"/>
              </w:rPr>
              <w:t>SERE Oumarou</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75 03 60 85</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39</w:t>
            </w:r>
          </w:p>
        </w:tc>
        <w:tc>
          <w:tcPr>
            <w:tcW w:w="4962" w:type="dxa"/>
            <w:tcBorders/>
          </w:tcPr>
          <w:p>
            <w:pPr>
              <w:pStyle w:val="style0"/>
              <w:spacing w:before="0"/>
              <w:rPr>
                <w:rFonts w:ascii="Arial" w:cs="Arial" w:hAnsi="Arial"/>
              </w:rPr>
            </w:pPr>
            <w:r>
              <w:rPr>
                <w:rFonts w:ascii="Arial" w:cs="Arial" w:hAnsi="Arial"/>
              </w:rPr>
              <w:t>TRAORE Sié Lassina</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76 70 28 30</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40</w:t>
            </w:r>
          </w:p>
        </w:tc>
        <w:tc>
          <w:tcPr>
            <w:tcW w:w="4962" w:type="dxa"/>
            <w:tcBorders/>
          </w:tcPr>
          <w:p>
            <w:pPr>
              <w:pStyle w:val="style0"/>
              <w:spacing w:before="0"/>
              <w:rPr>
                <w:rFonts w:ascii="Arial" w:cs="Arial" w:hAnsi="Arial"/>
              </w:rPr>
            </w:pPr>
            <w:r>
              <w:rPr>
                <w:rFonts w:ascii="Arial" w:cs="Arial" w:hAnsi="Arial"/>
              </w:rPr>
              <w:t>DAO Abdoulaye</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74 41 04 26</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41</w:t>
            </w:r>
          </w:p>
        </w:tc>
        <w:tc>
          <w:tcPr>
            <w:tcW w:w="4962" w:type="dxa"/>
            <w:tcBorders/>
          </w:tcPr>
          <w:p>
            <w:pPr>
              <w:pStyle w:val="style0"/>
              <w:spacing w:before="0"/>
              <w:rPr>
                <w:rFonts w:ascii="Arial" w:cs="Arial" w:hAnsi="Arial"/>
              </w:rPr>
            </w:pPr>
            <w:r>
              <w:rPr>
                <w:rFonts w:ascii="Arial" w:cs="Arial" w:hAnsi="Arial"/>
              </w:rPr>
              <w:t>OULE Yacouba</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51 37 07 79</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42</w:t>
            </w:r>
          </w:p>
        </w:tc>
        <w:tc>
          <w:tcPr>
            <w:tcW w:w="4962" w:type="dxa"/>
            <w:tcBorders/>
          </w:tcPr>
          <w:p>
            <w:pPr>
              <w:pStyle w:val="style0"/>
              <w:spacing w:before="0"/>
              <w:rPr>
                <w:rFonts w:ascii="Arial" w:cs="Arial" w:hAnsi="Arial"/>
              </w:rPr>
            </w:pPr>
            <w:r>
              <w:rPr>
                <w:rFonts w:ascii="Arial" w:cs="Arial" w:hAnsi="Arial"/>
              </w:rPr>
              <w:t>DIABATE Ousmane</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61 83 29 54</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43</w:t>
            </w:r>
          </w:p>
        </w:tc>
        <w:tc>
          <w:tcPr>
            <w:tcW w:w="4962" w:type="dxa"/>
            <w:tcBorders/>
          </w:tcPr>
          <w:p>
            <w:pPr>
              <w:pStyle w:val="style0"/>
              <w:spacing w:before="0"/>
              <w:rPr>
                <w:rFonts w:ascii="Arial" w:cs="Arial" w:hAnsi="Arial"/>
              </w:rPr>
            </w:pPr>
            <w:r>
              <w:rPr>
                <w:rFonts w:ascii="Arial" w:cs="Arial" w:hAnsi="Arial"/>
              </w:rPr>
              <w:t>DIALLO Adama</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76 15 74 36</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44</w:t>
            </w:r>
          </w:p>
        </w:tc>
        <w:tc>
          <w:tcPr>
            <w:tcW w:w="4962" w:type="dxa"/>
            <w:tcBorders/>
          </w:tcPr>
          <w:p>
            <w:pPr>
              <w:pStyle w:val="style0"/>
              <w:spacing w:before="0"/>
              <w:rPr>
                <w:rFonts w:ascii="Arial" w:cs="Arial" w:hAnsi="Arial"/>
              </w:rPr>
            </w:pPr>
            <w:r>
              <w:rPr>
                <w:rFonts w:ascii="Arial" w:cs="Arial" w:hAnsi="Arial"/>
              </w:rPr>
              <w:t>KOUSSE Lokou</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75 14 50 01</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45</w:t>
            </w:r>
          </w:p>
        </w:tc>
        <w:tc>
          <w:tcPr>
            <w:tcW w:w="4962" w:type="dxa"/>
            <w:tcBorders/>
          </w:tcPr>
          <w:p>
            <w:pPr>
              <w:pStyle w:val="style0"/>
              <w:spacing w:before="0"/>
              <w:rPr>
                <w:rFonts w:ascii="Arial" w:cs="Arial" w:hAnsi="Arial"/>
              </w:rPr>
            </w:pPr>
            <w:r>
              <w:rPr>
                <w:rFonts w:ascii="Arial" w:cs="Arial" w:hAnsi="Arial"/>
              </w:rPr>
              <w:t>LEGUELEGUE Madi</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76 47 30 32</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46</w:t>
            </w:r>
          </w:p>
        </w:tc>
        <w:tc>
          <w:tcPr>
            <w:tcW w:w="4962" w:type="dxa"/>
            <w:tcBorders/>
          </w:tcPr>
          <w:p>
            <w:pPr>
              <w:pStyle w:val="style0"/>
              <w:spacing w:before="0"/>
              <w:rPr>
                <w:rFonts w:ascii="Arial" w:cs="Arial" w:hAnsi="Arial"/>
              </w:rPr>
            </w:pPr>
            <w:r>
              <w:rPr>
                <w:rFonts w:ascii="Arial" w:cs="Arial" w:hAnsi="Arial"/>
              </w:rPr>
              <w:t>GANAME Amadé</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75 20 00 41</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47</w:t>
            </w:r>
          </w:p>
        </w:tc>
        <w:tc>
          <w:tcPr>
            <w:tcW w:w="4962" w:type="dxa"/>
            <w:tcBorders/>
          </w:tcPr>
          <w:p>
            <w:pPr>
              <w:pStyle w:val="style0"/>
              <w:spacing w:before="0"/>
              <w:rPr>
                <w:rFonts w:ascii="Arial" w:cs="Arial" w:hAnsi="Arial"/>
              </w:rPr>
            </w:pPr>
            <w:r>
              <w:rPr>
                <w:rFonts w:ascii="Arial" w:cs="Arial" w:hAnsi="Arial"/>
              </w:rPr>
              <w:t>TRAORE Abdou</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76 22 04 57</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48</w:t>
            </w:r>
          </w:p>
        </w:tc>
        <w:tc>
          <w:tcPr>
            <w:tcW w:w="4962" w:type="dxa"/>
            <w:tcBorders/>
          </w:tcPr>
          <w:p>
            <w:pPr>
              <w:pStyle w:val="style0"/>
              <w:spacing w:before="0"/>
              <w:rPr>
                <w:rFonts w:ascii="Arial" w:cs="Arial" w:hAnsi="Arial"/>
              </w:rPr>
            </w:pPr>
            <w:r>
              <w:rPr>
                <w:rFonts w:ascii="Arial" w:cs="Arial" w:hAnsi="Arial"/>
              </w:rPr>
              <w:t>OUATTARA Ali</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76 73 78 34</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49</w:t>
            </w:r>
          </w:p>
        </w:tc>
        <w:tc>
          <w:tcPr>
            <w:tcW w:w="4962" w:type="dxa"/>
            <w:tcBorders/>
          </w:tcPr>
          <w:p>
            <w:pPr>
              <w:pStyle w:val="style0"/>
              <w:spacing w:before="0"/>
              <w:rPr>
                <w:rFonts w:ascii="Arial" w:cs="Arial" w:hAnsi="Arial"/>
              </w:rPr>
            </w:pPr>
            <w:r>
              <w:rPr>
                <w:rFonts w:ascii="Arial" w:cs="Arial" w:hAnsi="Arial"/>
              </w:rPr>
              <w:t>ZABRE Pascal</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71 32 79 72</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50</w:t>
            </w:r>
          </w:p>
        </w:tc>
        <w:tc>
          <w:tcPr>
            <w:tcW w:w="4962" w:type="dxa"/>
            <w:tcBorders/>
          </w:tcPr>
          <w:p>
            <w:pPr>
              <w:pStyle w:val="style0"/>
              <w:spacing w:before="0"/>
              <w:rPr>
                <w:rFonts w:ascii="Arial" w:cs="Arial" w:hAnsi="Arial"/>
              </w:rPr>
            </w:pPr>
            <w:r>
              <w:rPr>
                <w:rFonts w:ascii="Arial" w:cs="Arial" w:hAnsi="Arial"/>
              </w:rPr>
              <w:t>TRAORE Amadou</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65 61 36 61</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51</w:t>
            </w:r>
          </w:p>
        </w:tc>
        <w:tc>
          <w:tcPr>
            <w:tcW w:w="4962" w:type="dxa"/>
            <w:tcBorders/>
          </w:tcPr>
          <w:p>
            <w:pPr>
              <w:pStyle w:val="style0"/>
              <w:spacing w:before="0"/>
              <w:rPr>
                <w:rFonts w:ascii="Arial" w:cs="Arial" w:hAnsi="Arial"/>
              </w:rPr>
            </w:pPr>
            <w:r>
              <w:rPr>
                <w:rFonts w:ascii="Arial" w:cs="Arial" w:hAnsi="Arial"/>
              </w:rPr>
              <w:t>WARAMA Tiaro</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76 50 73 10</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52</w:t>
            </w:r>
          </w:p>
        </w:tc>
        <w:tc>
          <w:tcPr>
            <w:tcW w:w="4962" w:type="dxa"/>
            <w:tcBorders/>
          </w:tcPr>
          <w:p>
            <w:pPr>
              <w:pStyle w:val="style0"/>
              <w:spacing w:before="0"/>
              <w:rPr>
                <w:rFonts w:ascii="Arial" w:cs="Arial" w:hAnsi="Arial"/>
              </w:rPr>
            </w:pPr>
            <w:r>
              <w:rPr>
                <w:rFonts w:ascii="Arial" w:cs="Arial" w:hAnsi="Arial"/>
              </w:rPr>
              <w:t>SANOGO Sériba</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75 02 87 21</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53</w:t>
            </w:r>
          </w:p>
        </w:tc>
        <w:tc>
          <w:tcPr>
            <w:tcW w:w="4962" w:type="dxa"/>
            <w:tcBorders/>
          </w:tcPr>
          <w:p>
            <w:pPr>
              <w:pStyle w:val="style0"/>
              <w:spacing w:before="0"/>
              <w:rPr>
                <w:rFonts w:ascii="Arial" w:cs="Arial" w:hAnsi="Arial"/>
              </w:rPr>
            </w:pPr>
            <w:r>
              <w:rPr>
                <w:rFonts w:ascii="Arial" w:cs="Arial" w:hAnsi="Arial"/>
              </w:rPr>
              <w:t>OUEDRAOGO Moussa</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74 85 56 60</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54</w:t>
            </w:r>
          </w:p>
        </w:tc>
        <w:tc>
          <w:tcPr>
            <w:tcW w:w="4962" w:type="dxa"/>
            <w:tcBorders/>
          </w:tcPr>
          <w:p>
            <w:pPr>
              <w:pStyle w:val="style0"/>
              <w:spacing w:before="0"/>
              <w:rPr>
                <w:rFonts w:ascii="Arial" w:cs="Arial" w:hAnsi="Arial"/>
              </w:rPr>
            </w:pPr>
            <w:r>
              <w:rPr>
                <w:rFonts w:ascii="Arial" w:cs="Arial" w:hAnsi="Arial"/>
              </w:rPr>
              <w:t>OUATTARA Koko</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76 43 02 29</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55</w:t>
            </w:r>
          </w:p>
        </w:tc>
        <w:tc>
          <w:tcPr>
            <w:tcW w:w="4962" w:type="dxa"/>
            <w:tcBorders/>
          </w:tcPr>
          <w:p>
            <w:pPr>
              <w:pStyle w:val="style0"/>
              <w:spacing w:before="0"/>
              <w:rPr>
                <w:rFonts w:ascii="Arial" w:cs="Arial" w:hAnsi="Arial"/>
              </w:rPr>
            </w:pPr>
            <w:r>
              <w:rPr>
                <w:rFonts w:ascii="Arial" w:cs="Arial" w:hAnsi="Arial"/>
              </w:rPr>
              <w:t>TRAORE Mamadou</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76 24 28 07</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56</w:t>
            </w:r>
          </w:p>
        </w:tc>
        <w:tc>
          <w:tcPr>
            <w:tcW w:w="4962" w:type="dxa"/>
            <w:tcBorders/>
          </w:tcPr>
          <w:p>
            <w:pPr>
              <w:pStyle w:val="style0"/>
              <w:spacing w:before="0"/>
              <w:rPr>
                <w:rFonts w:ascii="Arial" w:cs="Arial" w:hAnsi="Arial"/>
              </w:rPr>
            </w:pPr>
            <w:r>
              <w:rPr>
                <w:rFonts w:ascii="Arial" w:cs="Arial" w:hAnsi="Arial"/>
              </w:rPr>
              <w:t>KONE Pasteur</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76 29 64 69</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57</w:t>
            </w:r>
          </w:p>
        </w:tc>
        <w:tc>
          <w:tcPr>
            <w:tcW w:w="4962" w:type="dxa"/>
            <w:tcBorders/>
          </w:tcPr>
          <w:p>
            <w:pPr>
              <w:pStyle w:val="style0"/>
              <w:spacing w:before="0"/>
              <w:rPr>
                <w:rFonts w:ascii="Arial" w:cs="Arial" w:hAnsi="Arial"/>
              </w:rPr>
            </w:pPr>
            <w:r>
              <w:rPr>
                <w:rFonts w:ascii="Arial" w:cs="Arial" w:hAnsi="Arial"/>
              </w:rPr>
              <w:t>OUEDRAOGO Zakaria</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rFonts w:ascii="Arial" w:cs="Arial" w:hAnsi="Arial"/>
              </w:rPr>
            </w:pPr>
            <w:r>
              <w:rPr>
                <w:rFonts w:ascii="Arial" w:cs="Arial" w:hAnsi="Arial"/>
              </w:rPr>
              <w:t>Gestionnaire  SCAB- contrôles SCAB</w:t>
            </w:r>
          </w:p>
        </w:tc>
        <w:tc>
          <w:tcPr>
            <w:tcW w:w="2234" w:type="dxa"/>
            <w:tcBorders/>
          </w:tcPr>
          <w:p>
            <w:pPr>
              <w:pStyle w:val="style0"/>
              <w:spacing w:before="0"/>
              <w:jc w:val="center"/>
              <w:rPr>
                <w:rFonts w:ascii="Arial" w:cs="Arial" w:hAnsi="Arial"/>
              </w:rPr>
            </w:pPr>
            <w:r>
              <w:rPr>
                <w:rFonts w:ascii="Arial" w:cs="Arial" w:hAnsi="Arial"/>
              </w:rPr>
              <w:t>76 53 11 03</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58</w:t>
            </w:r>
          </w:p>
        </w:tc>
        <w:tc>
          <w:tcPr>
            <w:tcW w:w="4962" w:type="dxa"/>
            <w:tcBorders/>
          </w:tcPr>
          <w:p>
            <w:pPr>
              <w:pStyle w:val="style0"/>
              <w:spacing w:before="0"/>
              <w:rPr>
                <w:rFonts w:ascii="Arial" w:cs="Arial" w:hAnsi="Arial"/>
              </w:rPr>
            </w:pPr>
            <w:r>
              <w:rPr>
                <w:rFonts w:ascii="Arial" w:cs="Arial" w:hAnsi="Arial"/>
              </w:rPr>
              <w:t>BALO Siaka</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76 24 28 06</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59</w:t>
            </w:r>
          </w:p>
        </w:tc>
        <w:tc>
          <w:tcPr>
            <w:tcW w:w="4962" w:type="dxa"/>
            <w:tcBorders/>
          </w:tcPr>
          <w:p>
            <w:pPr>
              <w:pStyle w:val="style0"/>
              <w:spacing w:before="0"/>
              <w:rPr>
                <w:rFonts w:ascii="Arial" w:cs="Arial" w:hAnsi="Arial"/>
              </w:rPr>
            </w:pPr>
            <w:r>
              <w:rPr>
                <w:rFonts w:ascii="Arial" w:cs="Arial" w:hAnsi="Arial"/>
              </w:rPr>
              <w:t>TANOU Lassina</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76 60 69 63</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60</w:t>
            </w:r>
          </w:p>
        </w:tc>
        <w:tc>
          <w:tcPr>
            <w:tcW w:w="4962" w:type="dxa"/>
            <w:tcBorders/>
          </w:tcPr>
          <w:p>
            <w:pPr>
              <w:pStyle w:val="style0"/>
              <w:spacing w:before="0"/>
              <w:rPr>
                <w:rFonts w:ascii="Arial" w:cs="Arial" w:hAnsi="Arial"/>
              </w:rPr>
            </w:pPr>
            <w:r>
              <w:rPr>
                <w:rFonts w:ascii="Arial" w:cs="Arial" w:hAnsi="Arial"/>
              </w:rPr>
              <w:t>OUATTARA Baselia</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76 81 60 47</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61</w:t>
            </w:r>
          </w:p>
        </w:tc>
        <w:tc>
          <w:tcPr>
            <w:tcW w:w="4962" w:type="dxa"/>
            <w:tcBorders/>
          </w:tcPr>
          <w:p>
            <w:pPr>
              <w:pStyle w:val="style0"/>
              <w:spacing w:before="0"/>
              <w:rPr>
                <w:rFonts w:ascii="Arial" w:cs="Arial" w:hAnsi="Arial"/>
              </w:rPr>
            </w:pPr>
            <w:r>
              <w:rPr>
                <w:rFonts w:ascii="Arial" w:cs="Arial" w:hAnsi="Arial"/>
              </w:rPr>
              <w:t>SIDIBE Soumaîla</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62</w:t>
            </w:r>
          </w:p>
        </w:tc>
        <w:tc>
          <w:tcPr>
            <w:tcW w:w="4962" w:type="dxa"/>
            <w:tcBorders/>
          </w:tcPr>
          <w:p>
            <w:pPr>
              <w:pStyle w:val="style0"/>
              <w:spacing w:before="0"/>
              <w:rPr>
                <w:rFonts w:ascii="Arial" w:cs="Arial" w:hAnsi="Arial"/>
              </w:rPr>
            </w:pPr>
            <w:r>
              <w:rPr>
                <w:rFonts w:ascii="Arial" w:cs="Arial" w:hAnsi="Arial"/>
              </w:rPr>
              <w:t>OUEDRAOGO Bathélémy</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70 74 94 78</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63</w:t>
            </w:r>
          </w:p>
        </w:tc>
        <w:tc>
          <w:tcPr>
            <w:tcW w:w="4962" w:type="dxa"/>
            <w:tcBorders/>
          </w:tcPr>
          <w:p>
            <w:pPr>
              <w:pStyle w:val="style0"/>
              <w:spacing w:before="0"/>
              <w:rPr>
                <w:rFonts w:ascii="Arial" w:cs="Arial" w:hAnsi="Arial"/>
              </w:rPr>
            </w:pPr>
            <w:r>
              <w:rPr>
                <w:rFonts w:ascii="Arial" w:cs="Arial" w:hAnsi="Arial"/>
              </w:rPr>
              <w:t>OUEDRAOGO Boukari</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76 35 91 99</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64</w:t>
            </w:r>
          </w:p>
        </w:tc>
        <w:tc>
          <w:tcPr>
            <w:tcW w:w="4962" w:type="dxa"/>
            <w:tcBorders/>
          </w:tcPr>
          <w:p>
            <w:pPr>
              <w:pStyle w:val="style0"/>
              <w:spacing w:before="0"/>
              <w:rPr>
                <w:rFonts w:ascii="Arial" w:cs="Arial" w:hAnsi="Arial"/>
              </w:rPr>
            </w:pPr>
            <w:r>
              <w:rPr>
                <w:rFonts w:ascii="Arial" w:cs="Arial" w:hAnsi="Arial"/>
              </w:rPr>
              <w:t>SAWADOGO Zenabou</w:t>
            </w:r>
          </w:p>
        </w:tc>
        <w:tc>
          <w:tcPr>
            <w:tcW w:w="777" w:type="dxa"/>
            <w:tcBorders/>
          </w:tcPr>
          <w:p>
            <w:pPr>
              <w:pStyle w:val="style0"/>
              <w:spacing w:before="0"/>
              <w:jc w:val="center"/>
              <w:rPr>
                <w:rFonts w:ascii="Arial" w:cs="Arial" w:hAnsi="Arial"/>
              </w:rPr>
            </w:pPr>
            <w:r>
              <w:rPr>
                <w:rFonts w:ascii="Arial" w:cs="Arial" w:hAnsi="Arial"/>
              </w:rPr>
              <w:t>F</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76 70 18 17</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65</w:t>
            </w:r>
          </w:p>
        </w:tc>
        <w:tc>
          <w:tcPr>
            <w:tcW w:w="4962" w:type="dxa"/>
            <w:tcBorders/>
          </w:tcPr>
          <w:p>
            <w:pPr>
              <w:pStyle w:val="style0"/>
              <w:spacing w:before="0"/>
              <w:rPr>
                <w:rFonts w:ascii="Arial" w:cs="Arial" w:hAnsi="Arial"/>
              </w:rPr>
            </w:pPr>
            <w:r>
              <w:rPr>
                <w:rFonts w:ascii="Arial" w:cs="Arial" w:hAnsi="Arial"/>
              </w:rPr>
              <w:t>TRAORE Aboubacar</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 xml:space="preserve">76 19 64 07 </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66</w:t>
            </w:r>
          </w:p>
        </w:tc>
        <w:tc>
          <w:tcPr>
            <w:tcW w:w="4962" w:type="dxa"/>
            <w:tcBorders/>
          </w:tcPr>
          <w:p>
            <w:pPr>
              <w:pStyle w:val="style0"/>
              <w:spacing w:before="0"/>
              <w:rPr>
                <w:rFonts w:ascii="Arial" w:cs="Arial" w:hAnsi="Arial"/>
              </w:rPr>
            </w:pPr>
            <w:r>
              <w:rPr>
                <w:rFonts w:ascii="Arial" w:cs="Arial" w:hAnsi="Arial"/>
              </w:rPr>
              <w:t>OUEDRAOGO Souleymane</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65 61 66 54</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67</w:t>
            </w:r>
          </w:p>
        </w:tc>
        <w:tc>
          <w:tcPr>
            <w:tcW w:w="4962" w:type="dxa"/>
            <w:tcBorders/>
          </w:tcPr>
          <w:p>
            <w:pPr>
              <w:pStyle w:val="style0"/>
              <w:spacing w:before="0"/>
              <w:rPr>
                <w:rFonts w:ascii="Arial" w:cs="Arial" w:hAnsi="Arial"/>
              </w:rPr>
            </w:pPr>
            <w:r>
              <w:rPr>
                <w:rFonts w:ascii="Arial" w:cs="Arial" w:hAnsi="Arial"/>
              </w:rPr>
              <w:t>OUEDRAOGO SAYOUBA</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71 96 31 46</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68</w:t>
            </w:r>
          </w:p>
        </w:tc>
        <w:tc>
          <w:tcPr>
            <w:tcW w:w="4962" w:type="dxa"/>
            <w:tcBorders/>
          </w:tcPr>
          <w:p>
            <w:pPr>
              <w:pStyle w:val="style0"/>
              <w:spacing w:before="0"/>
              <w:rPr>
                <w:rFonts w:ascii="Arial" w:cs="Arial" w:hAnsi="Arial"/>
              </w:rPr>
            </w:pPr>
            <w:r>
              <w:rPr>
                <w:rFonts w:ascii="Arial" w:cs="Arial" w:hAnsi="Arial"/>
              </w:rPr>
              <w:t>BELEM SALAM</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76 19 95 36</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69</w:t>
            </w:r>
          </w:p>
        </w:tc>
        <w:tc>
          <w:tcPr>
            <w:tcW w:w="4962" w:type="dxa"/>
            <w:tcBorders/>
          </w:tcPr>
          <w:p>
            <w:pPr>
              <w:pStyle w:val="style0"/>
              <w:spacing w:before="0"/>
              <w:rPr>
                <w:rFonts w:ascii="Arial" w:cs="Arial" w:hAnsi="Arial"/>
              </w:rPr>
            </w:pPr>
            <w:r>
              <w:rPr>
                <w:rFonts w:ascii="Arial" w:cs="Arial" w:hAnsi="Arial"/>
              </w:rPr>
              <w:t>DA KOUAKOU</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70</w:t>
            </w:r>
          </w:p>
        </w:tc>
        <w:tc>
          <w:tcPr>
            <w:tcW w:w="4962" w:type="dxa"/>
            <w:tcBorders/>
          </w:tcPr>
          <w:p>
            <w:pPr>
              <w:pStyle w:val="style0"/>
              <w:spacing w:before="0"/>
              <w:rPr>
                <w:rFonts w:ascii="Arial" w:cs="Arial" w:hAnsi="Arial"/>
              </w:rPr>
            </w:pPr>
            <w:r>
              <w:rPr>
                <w:rFonts w:ascii="Arial" w:cs="Arial" w:hAnsi="Arial"/>
              </w:rPr>
              <w:t>BISSIRI Ousmane</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74 07 87 21</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71</w:t>
            </w:r>
          </w:p>
        </w:tc>
        <w:tc>
          <w:tcPr>
            <w:tcW w:w="4962" w:type="dxa"/>
            <w:tcBorders/>
          </w:tcPr>
          <w:p>
            <w:pPr>
              <w:pStyle w:val="style0"/>
              <w:spacing w:before="0"/>
              <w:rPr>
                <w:rFonts w:ascii="Arial" w:cs="Arial" w:hAnsi="Arial"/>
              </w:rPr>
            </w:pPr>
            <w:r>
              <w:rPr>
                <w:rFonts w:ascii="Arial" w:cs="Arial" w:hAnsi="Arial"/>
              </w:rPr>
              <w:t>OUEDRAOGO Wahabou</w:t>
            </w:r>
          </w:p>
        </w:tc>
        <w:tc>
          <w:tcPr>
            <w:tcW w:w="777" w:type="dxa"/>
            <w:tcBorders/>
          </w:tcPr>
          <w:p>
            <w:pPr>
              <w:pStyle w:val="style0"/>
              <w:spacing w:before="0"/>
              <w:jc w:val="center"/>
              <w:rPr/>
            </w:pPr>
            <w:r>
              <w:rPr>
                <w:rFonts w:ascii="Arial" w:cs="Arial" w:hAnsi="Arial"/>
              </w:rPr>
              <w:t>M</w:t>
            </w:r>
          </w:p>
        </w:tc>
        <w:tc>
          <w:tcPr>
            <w:tcW w:w="3396" w:type="dxa"/>
            <w:tcBorders/>
          </w:tcPr>
          <w:p>
            <w:pPr>
              <w:pStyle w:val="style0"/>
              <w:spacing w:before="0"/>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75 95 43 14</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72</w:t>
            </w:r>
          </w:p>
        </w:tc>
        <w:tc>
          <w:tcPr>
            <w:tcW w:w="4962" w:type="dxa"/>
            <w:tcBorders/>
          </w:tcPr>
          <w:p>
            <w:pPr>
              <w:pStyle w:val="style0"/>
              <w:spacing w:before="0"/>
              <w:rPr>
                <w:rFonts w:ascii="Arial" w:cs="Arial" w:hAnsi="Arial"/>
              </w:rPr>
            </w:pPr>
            <w:r>
              <w:rPr>
                <w:rFonts w:ascii="Arial" w:cs="Arial" w:hAnsi="Arial"/>
              </w:rPr>
              <w:t>KOLGA Michel</w:t>
            </w:r>
          </w:p>
        </w:tc>
        <w:tc>
          <w:tcPr>
            <w:tcW w:w="777" w:type="dxa"/>
            <w:tcBorders/>
          </w:tcPr>
          <w:p>
            <w:pPr>
              <w:pStyle w:val="style0"/>
              <w:spacing w:before="0"/>
              <w:jc w:val="center"/>
              <w:rPr>
                <w:rFonts w:ascii="Arial" w:cs="Arial" w:hAnsi="Arial"/>
              </w:rPr>
            </w:pPr>
            <w:r>
              <w:rPr>
                <w:rFonts w:ascii="Arial" w:cs="Arial" w:hAnsi="Arial"/>
              </w:rPr>
              <w:t>M</w:t>
            </w:r>
          </w:p>
        </w:tc>
        <w:tc>
          <w:tcPr>
            <w:tcW w:w="3396" w:type="dxa"/>
            <w:tcBorders/>
          </w:tcPr>
          <w:p>
            <w:pPr>
              <w:pStyle w:val="style0"/>
              <w:spacing w:before="0"/>
              <w:rPr>
                <w:rFonts w:ascii="Arial" w:cs="Arial" w:hAnsi="Arial"/>
              </w:rPr>
            </w:pPr>
            <w:r>
              <w:rPr>
                <w:rFonts w:ascii="Arial" w:cs="Arial" w:hAnsi="Arial"/>
              </w:rPr>
              <w:t>Producteur</w:t>
            </w:r>
          </w:p>
        </w:tc>
        <w:tc>
          <w:tcPr>
            <w:tcW w:w="2234" w:type="dxa"/>
            <w:tcBorders/>
          </w:tcPr>
          <w:p>
            <w:pPr>
              <w:pStyle w:val="style0"/>
              <w:spacing w:before="0"/>
              <w:jc w:val="center"/>
              <w:rPr>
                <w:rFonts w:ascii="Arial" w:cs="Arial" w:hAnsi="Arial"/>
              </w:rPr>
            </w:pPr>
            <w:r>
              <w:rPr>
                <w:rFonts w:ascii="Arial" w:cs="Arial" w:hAnsi="Arial"/>
              </w:rPr>
              <w:t>75 10 23 52</w:t>
            </w:r>
          </w:p>
        </w:tc>
        <w:tc>
          <w:tcPr>
            <w:tcW w:w="2693" w:type="dxa"/>
            <w:tcBorders/>
          </w:tcPr>
          <w:p>
            <w:pPr>
              <w:pStyle w:val="style0"/>
              <w:spacing w:before="0"/>
              <w:jc w:val="center"/>
              <w:rPr>
                <w:rFonts w:ascii="Arial" w:cs="Arial" w:hAnsi="Arial"/>
              </w:rPr>
            </w:pPr>
          </w:p>
        </w:tc>
      </w:tr>
    </w:tbl>
    <w:p>
      <w:pPr>
        <w:pStyle w:val="style0"/>
        <w:spacing w:before="0"/>
        <w:rPr>
          <w:rFonts w:ascii="Arial" w:cs="Arial" w:hAnsi="Arial"/>
          <w:sz w:val="20"/>
        </w:rPr>
      </w:pPr>
    </w:p>
    <w:p>
      <w:pPr>
        <w:pStyle w:val="style0"/>
        <w:spacing w:before="0"/>
        <w:rPr>
          <w:rFonts w:ascii="Arial" w:cs="Arial" w:hAnsi="Arial"/>
          <w:sz w:val="20"/>
        </w:rPr>
      </w:pPr>
    </w:p>
    <w:p>
      <w:pPr>
        <w:pStyle w:val="style0"/>
        <w:spacing w:before="0"/>
        <w:rPr>
          <w:rFonts w:ascii="Arial" w:cs="Arial" w:hAnsi="Arial"/>
          <w:b/>
          <w:sz w:val="18"/>
        </w:rPr>
      </w:pPr>
      <w:r>
        <w:rPr>
          <w:rFonts w:ascii="Arial" w:cs="Arial" w:hAnsi="Arial"/>
          <w:b/>
        </w:rPr>
        <w:t xml:space="preserve">                     </w:t>
      </w:r>
      <w:r>
        <w:rPr>
          <w:rFonts w:ascii="Arial" w:cs="Arial" w:hAnsi="Arial"/>
          <w:b/>
          <w:u w:val="dotted"/>
        </w:rPr>
        <w:t>INTITULE DU PROJET/PROGRAMME</w:t>
      </w:r>
      <w:r>
        <w:rPr>
          <w:rFonts w:ascii="Arial" w:cs="Arial" w:hAnsi="Arial"/>
          <w:b/>
        </w:rPr>
        <w:t xml:space="preserve"> : </w:t>
      </w:r>
      <w:r>
        <w:rPr>
          <w:rFonts w:ascii="Arial" w:cs="Arial" w:hAnsi="Arial"/>
          <w:b/>
          <w:u w:val="dotted"/>
        </w:rPr>
        <w:t>PROGRAMME DE DEVELOPPEMENT ET DE COMPETITIVITE AGRICOLE (PDCA)</w:t>
      </w:r>
      <w:r>
        <w:rPr>
          <w:rFonts w:ascii="Arial" w:cs="Arial" w:hAnsi="Arial"/>
          <w:b/>
          <w:sz w:val="18"/>
        </w:rPr>
        <w:t>LISTE DES PARTICIPANTS AUX SEANCES DE CONSULTATIONS PUBLIQUES EN VUE DE L’ELABORATION DU CGES/PGPP</w:t>
      </w:r>
      <w:r>
        <w:rPr>
          <w:rFonts w:ascii="Arial" w:cs="Arial" w:hAnsi="Arial"/>
          <w:b/>
          <w:sz w:val="18"/>
        </w:rPr>
        <w:t>/CPR</w:t>
      </w:r>
    </w:p>
    <w:p>
      <w:pPr>
        <w:pStyle w:val="style0"/>
        <w:spacing w:before="0"/>
        <w:rPr>
          <w:rFonts w:ascii="Arial" w:cs="Arial" w:hAnsi="Arial"/>
          <w:b/>
          <w:sz w:val="20"/>
        </w:rPr>
      </w:pPr>
      <w:r>
        <w:rPr>
          <w:rFonts w:ascii="Arial" w:cs="Arial" w:hAnsi="Arial"/>
          <w:b/>
          <w:sz w:val="20"/>
        </w:rPr>
        <w:t xml:space="preserve">Région : </w:t>
      </w:r>
      <w:r>
        <w:rPr>
          <w:rFonts w:ascii="Arial" w:cs="Arial" w:hAnsi="Arial"/>
          <w:b/>
          <w:sz w:val="20"/>
          <w:u w:val="dotted"/>
        </w:rPr>
        <w:t>HAUTS BASSINS</w:t>
      </w:r>
      <w:r>
        <w:rPr>
          <w:rFonts w:ascii="Arial" w:cs="Arial" w:hAnsi="Arial"/>
          <w:b/>
          <w:sz w:val="20"/>
        </w:rPr>
        <w:t>…………………………</w:t>
      </w:r>
      <w:r>
        <w:rPr>
          <w:rFonts w:ascii="Arial" w:cs="Arial" w:hAnsi="Arial"/>
          <w:b/>
          <w:sz w:val="20"/>
          <w:u w:val="dotted"/>
        </w:rPr>
        <w:t>Province</w:t>
      </w:r>
      <w:r>
        <w:rPr>
          <w:rFonts w:ascii="Arial" w:cs="Arial" w:hAnsi="Arial"/>
          <w:b/>
          <w:sz w:val="20"/>
        </w:rPr>
        <w:t xml:space="preserve"> : </w:t>
      </w:r>
      <w:r>
        <w:rPr>
          <w:rFonts w:ascii="Arial" w:cs="Arial" w:hAnsi="Arial"/>
          <w:b/>
          <w:sz w:val="20"/>
          <w:u w:val="dotted"/>
        </w:rPr>
        <w:t>KENEDOUGOU</w:t>
      </w:r>
      <w:r>
        <w:rPr>
          <w:rFonts w:ascii="Arial" w:cs="Arial" w:hAnsi="Arial"/>
          <w:b/>
          <w:sz w:val="20"/>
        </w:rPr>
        <w:t>…………………………….</w:t>
      </w:r>
      <w:r>
        <w:rPr>
          <w:rFonts w:ascii="Arial" w:cs="Arial" w:hAnsi="Arial"/>
          <w:b/>
          <w:sz w:val="20"/>
          <w:u w:val="dotted"/>
        </w:rPr>
        <w:t>Commune</w:t>
      </w:r>
      <w:r>
        <w:rPr>
          <w:rFonts w:ascii="Arial" w:cs="Arial" w:hAnsi="Arial"/>
          <w:b/>
          <w:sz w:val="20"/>
        </w:rPr>
        <w:t xml:space="preserve"> : </w:t>
      </w:r>
      <w:r>
        <w:rPr>
          <w:rFonts w:ascii="Arial" w:cs="Arial" w:hAnsi="Arial"/>
          <w:b/>
          <w:sz w:val="20"/>
          <w:u w:val="dotted"/>
        </w:rPr>
        <w:t>BANZON</w:t>
      </w:r>
      <w:r>
        <w:rPr>
          <w:rFonts w:ascii="Arial" w:cs="Arial" w:hAnsi="Arial"/>
          <w:b/>
          <w:sz w:val="20"/>
        </w:rPr>
        <w:t>…………………………..</w:t>
      </w:r>
    </w:p>
    <w:p>
      <w:pPr>
        <w:pStyle w:val="style0"/>
        <w:spacing w:before="0"/>
        <w:rPr/>
      </w:pPr>
      <w:r>
        <w:rPr>
          <w:rFonts w:ascii="Arial" w:cs="Arial" w:hAnsi="Arial"/>
          <w:b/>
          <w:sz w:val="20"/>
        </w:rPr>
        <w:t xml:space="preserve">Village : </w:t>
      </w:r>
      <w:r>
        <w:rPr>
          <w:rFonts w:ascii="Arial" w:cs="Arial" w:hAnsi="Arial"/>
          <w:b/>
          <w:sz w:val="20"/>
          <w:u w:val="dotted"/>
        </w:rPr>
        <w:t>BANZON</w:t>
      </w:r>
      <w:r>
        <w:rPr>
          <w:rFonts w:ascii="Arial" w:cs="Arial" w:hAnsi="Arial"/>
          <w:b/>
          <w:sz w:val="20"/>
        </w:rPr>
        <w:t xml:space="preserve">………………………….Date : </w:t>
      </w:r>
      <w:r>
        <w:rPr>
          <w:rFonts w:ascii="Arial" w:cs="Arial" w:hAnsi="Arial"/>
          <w:b/>
          <w:sz w:val="20"/>
          <w:u w:val="dotted"/>
        </w:rPr>
        <w:t>10</w:t>
      </w:r>
      <w:r>
        <w:rPr>
          <w:rFonts w:ascii="Arial" w:cs="Arial" w:hAnsi="Arial"/>
          <w:b/>
          <w:sz w:val="20"/>
          <w:u w:val="dotted"/>
        </w:rPr>
        <w:t>/01/2019</w:t>
      </w:r>
      <w:r>
        <w:rPr>
          <w:rFonts w:ascii="Arial" w:cs="Arial" w:hAnsi="Arial"/>
          <w:b/>
          <w:sz w:val="20"/>
        </w:rPr>
        <w:t>…………………</w:t>
      </w:r>
      <w:r>
        <w:rPr>
          <w:rFonts w:ascii="Arial" w:cs="Arial" w:hAnsi="Arial"/>
          <w:b/>
          <w:sz w:val="20"/>
        </w:rPr>
        <w:t xml:space="preserve"> </w:t>
      </w:r>
      <w:r>
        <w:rPr>
          <w:rFonts w:ascii="Arial" w:cs="Arial" w:hAnsi="Arial"/>
          <w:b/>
          <w:sz w:val="20"/>
        </w:rPr>
        <w:t>Groupes cibles : Services techniques, Mairie/Préfectures…</w:t>
      </w:r>
    </w:p>
    <w:tbl>
      <w:tblPr>
        <w:tblStyle w:val="style154"/>
        <w:tblW w:w="14170" w:type="dxa"/>
        <w:tblLayout w:type="fixed"/>
        <w:tblLook w:val="04A0" w:firstRow="1" w:lastRow="0" w:firstColumn="1" w:lastColumn="0" w:noHBand="0" w:noVBand="1"/>
      </w:tblPr>
      <w:tblGrid>
        <w:gridCol w:w="675"/>
        <w:gridCol w:w="4423"/>
        <w:gridCol w:w="1134"/>
        <w:gridCol w:w="2268"/>
        <w:gridCol w:w="3261"/>
        <w:gridCol w:w="2409"/>
      </w:tblGrid>
      <w:tr>
        <w:trPr/>
        <w:tc>
          <w:tcPr>
            <w:tcW w:w="675" w:type="dxa"/>
            <w:tcBorders/>
            <w:vAlign w:val="center"/>
          </w:tcPr>
          <w:p>
            <w:pPr>
              <w:pStyle w:val="style0"/>
              <w:spacing w:before="0"/>
              <w:jc w:val="center"/>
              <w:rPr>
                <w:rFonts w:ascii="Arial" w:cs="Arial" w:hAnsi="Arial"/>
                <w:b/>
              </w:rPr>
            </w:pPr>
            <w:r>
              <w:rPr>
                <w:rFonts w:ascii="Arial" w:cs="Arial" w:hAnsi="Arial"/>
                <w:b/>
              </w:rPr>
              <w:t>N°</w:t>
            </w:r>
          </w:p>
        </w:tc>
        <w:tc>
          <w:tcPr>
            <w:tcW w:w="4423" w:type="dxa"/>
            <w:tcBorders/>
            <w:vAlign w:val="center"/>
          </w:tcPr>
          <w:p>
            <w:pPr>
              <w:pStyle w:val="style0"/>
              <w:spacing w:before="0"/>
              <w:jc w:val="center"/>
              <w:rPr>
                <w:rFonts w:ascii="Arial" w:cs="Arial" w:hAnsi="Arial"/>
                <w:b/>
              </w:rPr>
            </w:pPr>
            <w:r>
              <w:rPr>
                <w:rFonts w:ascii="Arial" w:cs="Arial" w:hAnsi="Arial"/>
                <w:b/>
              </w:rPr>
              <w:t>Nom et prénom (s)</w:t>
            </w:r>
          </w:p>
        </w:tc>
        <w:tc>
          <w:tcPr>
            <w:tcW w:w="1134" w:type="dxa"/>
            <w:tcBorders/>
            <w:vAlign w:val="center"/>
          </w:tcPr>
          <w:p>
            <w:pPr>
              <w:pStyle w:val="style0"/>
              <w:spacing w:before="0"/>
              <w:jc w:val="center"/>
              <w:rPr>
                <w:rFonts w:ascii="Arial" w:cs="Arial" w:hAnsi="Arial"/>
                <w:b/>
              </w:rPr>
            </w:pPr>
            <w:r>
              <w:rPr>
                <w:rFonts w:ascii="Arial" w:cs="Arial" w:hAnsi="Arial"/>
                <w:b/>
              </w:rPr>
              <w:t>Sexe</w:t>
            </w:r>
          </w:p>
        </w:tc>
        <w:tc>
          <w:tcPr>
            <w:tcW w:w="2268" w:type="dxa"/>
            <w:tcBorders/>
            <w:vAlign w:val="center"/>
          </w:tcPr>
          <w:p>
            <w:pPr>
              <w:pStyle w:val="style0"/>
              <w:spacing w:before="0"/>
              <w:jc w:val="center"/>
              <w:rPr>
                <w:rFonts w:ascii="Arial" w:cs="Arial" w:hAnsi="Arial"/>
                <w:b/>
              </w:rPr>
            </w:pPr>
            <w:r>
              <w:rPr>
                <w:rFonts w:ascii="Arial" w:cs="Arial" w:hAnsi="Arial"/>
                <w:b/>
              </w:rPr>
              <w:t>Profession</w:t>
            </w:r>
          </w:p>
        </w:tc>
        <w:tc>
          <w:tcPr>
            <w:tcW w:w="3261" w:type="dxa"/>
            <w:tcBorders/>
            <w:vAlign w:val="center"/>
          </w:tcPr>
          <w:p>
            <w:pPr>
              <w:pStyle w:val="style0"/>
              <w:spacing w:before="0"/>
              <w:jc w:val="center"/>
              <w:rPr>
                <w:rFonts w:ascii="Arial" w:cs="Arial" w:hAnsi="Arial"/>
                <w:b/>
              </w:rPr>
            </w:pPr>
            <w:r>
              <w:rPr>
                <w:rFonts w:ascii="Arial" w:cs="Arial" w:hAnsi="Arial"/>
                <w:b/>
              </w:rPr>
              <w:t>Téléphone</w:t>
            </w:r>
          </w:p>
        </w:tc>
        <w:tc>
          <w:tcPr>
            <w:tcW w:w="2409" w:type="dxa"/>
            <w:tcBorders/>
            <w:vAlign w:val="center"/>
          </w:tcPr>
          <w:p>
            <w:pPr>
              <w:pStyle w:val="style0"/>
              <w:spacing w:before="0"/>
              <w:jc w:val="center"/>
              <w:rPr>
                <w:rFonts w:ascii="Arial" w:cs="Arial" w:hAnsi="Arial"/>
                <w:b/>
              </w:rPr>
            </w:pPr>
            <w:r>
              <w:rPr>
                <w:rFonts w:ascii="Arial" w:cs="Arial" w:hAnsi="Arial"/>
                <w:b/>
              </w:rPr>
              <w:t>Signature/Empreinte</w:t>
            </w:r>
          </w:p>
        </w:tc>
      </w:tr>
      <w:tr>
        <w:tblPrEx/>
        <w:trPr/>
        <w:tc>
          <w:tcPr>
            <w:tcW w:w="675" w:type="dxa"/>
            <w:tcBorders/>
            <w:vAlign w:val="center"/>
          </w:tcPr>
          <w:p>
            <w:pPr>
              <w:pStyle w:val="style0"/>
              <w:spacing w:before="0"/>
              <w:jc w:val="center"/>
              <w:rPr>
                <w:rFonts w:ascii="Arial" w:cs="Arial" w:hAnsi="Arial"/>
              </w:rPr>
            </w:pPr>
            <w:r>
              <w:rPr>
                <w:rFonts w:ascii="Arial" w:cs="Arial" w:hAnsi="Arial"/>
              </w:rPr>
              <w:t>01</w:t>
            </w:r>
          </w:p>
        </w:tc>
        <w:tc>
          <w:tcPr>
            <w:tcW w:w="4423" w:type="dxa"/>
            <w:tcBorders/>
            <w:vAlign w:val="center"/>
          </w:tcPr>
          <w:p>
            <w:pPr>
              <w:pStyle w:val="style0"/>
              <w:spacing w:before="0"/>
              <w:rPr>
                <w:rFonts w:ascii="Arial" w:cs="Arial" w:hAnsi="Arial"/>
              </w:rPr>
            </w:pPr>
            <w:r>
              <w:rPr>
                <w:rFonts w:ascii="Arial" w:cs="Arial" w:hAnsi="Arial"/>
              </w:rPr>
              <w:t>YERBANGA R. Ali</w:t>
            </w:r>
          </w:p>
        </w:tc>
        <w:tc>
          <w:tcPr>
            <w:tcW w:w="1134" w:type="dxa"/>
            <w:tcBorders/>
          </w:tcPr>
          <w:p>
            <w:pPr>
              <w:pStyle w:val="style0"/>
              <w:spacing w:before="0"/>
              <w:jc w:val="center"/>
              <w:rPr>
                <w:rFonts w:ascii="Arial" w:cs="Arial" w:hAnsi="Arial"/>
              </w:rPr>
            </w:pPr>
            <w:r>
              <w:rPr>
                <w:rFonts w:ascii="Arial" w:cs="Arial" w:hAnsi="Arial"/>
              </w:rPr>
              <w:t>M</w:t>
            </w:r>
          </w:p>
        </w:tc>
        <w:tc>
          <w:tcPr>
            <w:tcW w:w="2268" w:type="dxa"/>
            <w:tcBorders/>
            <w:vAlign w:val="center"/>
          </w:tcPr>
          <w:p>
            <w:pPr>
              <w:pStyle w:val="style0"/>
              <w:spacing w:before="0"/>
              <w:rPr>
                <w:rFonts w:ascii="Arial" w:cs="Arial" w:hAnsi="Arial"/>
              </w:rPr>
            </w:pPr>
            <w:r>
              <w:rPr>
                <w:rFonts w:ascii="Arial" w:cs="Arial" w:hAnsi="Arial"/>
              </w:rPr>
              <w:t>Agent d’Agriculture</w:t>
            </w:r>
          </w:p>
        </w:tc>
        <w:tc>
          <w:tcPr>
            <w:tcW w:w="3261" w:type="dxa"/>
            <w:tcBorders/>
            <w:vAlign w:val="center"/>
          </w:tcPr>
          <w:p>
            <w:pPr>
              <w:pStyle w:val="style0"/>
              <w:spacing w:before="0"/>
              <w:jc w:val="center"/>
              <w:rPr>
                <w:rFonts w:ascii="Arial" w:cs="Arial" w:hAnsi="Arial"/>
              </w:rPr>
            </w:pPr>
            <w:r>
              <w:rPr>
                <w:rFonts w:ascii="Arial" w:cs="Arial" w:hAnsi="Arial"/>
              </w:rPr>
              <w:t>71 31 10 96</w:t>
            </w:r>
          </w:p>
          <w:p>
            <w:pPr>
              <w:pStyle w:val="style0"/>
              <w:spacing w:before="0"/>
              <w:jc w:val="center"/>
              <w:rPr>
                <w:rFonts w:ascii="Arial" w:cs="Arial" w:hAnsi="Arial"/>
              </w:rPr>
            </w:pPr>
            <w:r>
              <w:rPr>
                <w:rFonts w:ascii="Arial" w:cs="Arial" w:hAnsi="Arial"/>
              </w:rPr>
              <w:t>76 58 71 89</w:t>
            </w:r>
          </w:p>
        </w:tc>
        <w:tc>
          <w:tcPr>
            <w:tcW w:w="2409"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02</w:t>
            </w:r>
          </w:p>
        </w:tc>
        <w:tc>
          <w:tcPr>
            <w:tcW w:w="4423" w:type="dxa"/>
            <w:tcBorders/>
            <w:vAlign w:val="center"/>
          </w:tcPr>
          <w:p>
            <w:pPr>
              <w:pStyle w:val="style0"/>
              <w:spacing w:before="0"/>
              <w:rPr>
                <w:rFonts w:ascii="Arial" w:cs="Arial" w:hAnsi="Arial"/>
              </w:rPr>
            </w:pPr>
            <w:r>
              <w:rPr>
                <w:rFonts w:ascii="Arial" w:cs="Arial" w:hAnsi="Arial"/>
              </w:rPr>
              <w:t>TRAORE Gopé Noél</w:t>
            </w:r>
          </w:p>
        </w:tc>
        <w:tc>
          <w:tcPr>
            <w:tcW w:w="1134" w:type="dxa"/>
            <w:tcBorders/>
          </w:tcPr>
          <w:p>
            <w:pPr>
              <w:pStyle w:val="style0"/>
              <w:spacing w:before="0"/>
              <w:jc w:val="center"/>
              <w:rPr/>
            </w:pPr>
            <w:r>
              <w:rPr>
                <w:rFonts w:ascii="Arial" w:cs="Arial" w:hAnsi="Arial"/>
              </w:rPr>
              <w:t>M</w:t>
            </w:r>
          </w:p>
        </w:tc>
        <w:tc>
          <w:tcPr>
            <w:tcW w:w="2268" w:type="dxa"/>
            <w:tcBorders/>
            <w:vAlign w:val="center"/>
          </w:tcPr>
          <w:p>
            <w:pPr>
              <w:pStyle w:val="style0"/>
              <w:spacing w:before="0"/>
              <w:rPr>
                <w:rFonts w:ascii="Arial" w:cs="Arial" w:hAnsi="Arial"/>
              </w:rPr>
            </w:pPr>
            <w:r>
              <w:rPr>
                <w:rFonts w:ascii="Arial" w:cs="Arial" w:hAnsi="Arial"/>
              </w:rPr>
              <w:t>Agent de plaine</w:t>
            </w:r>
          </w:p>
        </w:tc>
        <w:tc>
          <w:tcPr>
            <w:tcW w:w="3261" w:type="dxa"/>
            <w:tcBorders/>
            <w:vAlign w:val="center"/>
          </w:tcPr>
          <w:p>
            <w:pPr>
              <w:pStyle w:val="style0"/>
              <w:spacing w:before="0"/>
              <w:jc w:val="center"/>
              <w:rPr>
                <w:rFonts w:ascii="Arial" w:cs="Arial" w:hAnsi="Arial"/>
              </w:rPr>
            </w:pPr>
            <w:r>
              <w:rPr>
                <w:rFonts w:ascii="Arial" w:cs="Arial" w:hAnsi="Arial"/>
              </w:rPr>
              <w:t>70 01 00 58</w:t>
            </w:r>
          </w:p>
          <w:p>
            <w:pPr>
              <w:pStyle w:val="style0"/>
              <w:spacing w:before="0"/>
              <w:jc w:val="center"/>
              <w:rPr>
                <w:rFonts w:ascii="Arial" w:cs="Arial" w:hAnsi="Arial"/>
              </w:rPr>
            </w:pPr>
            <w:r>
              <w:rPr>
                <w:rFonts w:ascii="Arial" w:cs="Arial" w:hAnsi="Arial"/>
              </w:rPr>
              <w:t>77 79 60 72</w:t>
            </w:r>
          </w:p>
        </w:tc>
        <w:tc>
          <w:tcPr>
            <w:tcW w:w="2409"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03</w:t>
            </w:r>
          </w:p>
        </w:tc>
        <w:tc>
          <w:tcPr>
            <w:tcW w:w="4423" w:type="dxa"/>
            <w:tcBorders/>
            <w:vAlign w:val="center"/>
          </w:tcPr>
          <w:p>
            <w:pPr>
              <w:pStyle w:val="style0"/>
              <w:spacing w:before="0"/>
              <w:rPr>
                <w:rFonts w:ascii="Arial" w:cs="Arial" w:hAnsi="Arial"/>
              </w:rPr>
            </w:pPr>
            <w:r>
              <w:rPr>
                <w:rFonts w:ascii="Arial" w:cs="Arial" w:hAnsi="Arial"/>
              </w:rPr>
              <w:t>TRAORE Souleymane</w:t>
            </w:r>
          </w:p>
        </w:tc>
        <w:tc>
          <w:tcPr>
            <w:tcW w:w="1134" w:type="dxa"/>
            <w:tcBorders/>
          </w:tcPr>
          <w:p>
            <w:pPr>
              <w:pStyle w:val="style0"/>
              <w:spacing w:before="0"/>
              <w:jc w:val="center"/>
              <w:rPr/>
            </w:pPr>
            <w:r>
              <w:rPr>
                <w:rFonts w:ascii="Arial" w:cs="Arial" w:hAnsi="Arial"/>
              </w:rPr>
              <w:t>M</w:t>
            </w:r>
          </w:p>
        </w:tc>
        <w:tc>
          <w:tcPr>
            <w:tcW w:w="2268" w:type="dxa"/>
            <w:tcBorders/>
            <w:vAlign w:val="center"/>
          </w:tcPr>
          <w:p>
            <w:pPr>
              <w:pStyle w:val="style0"/>
              <w:spacing w:before="0"/>
              <w:rPr>
                <w:rFonts w:ascii="Arial" w:cs="Arial" w:hAnsi="Arial"/>
              </w:rPr>
            </w:pPr>
            <w:r>
              <w:rPr>
                <w:rFonts w:ascii="Arial" w:cs="Arial" w:hAnsi="Arial"/>
              </w:rPr>
              <w:t>Agent d’Agriculture</w:t>
            </w:r>
          </w:p>
        </w:tc>
        <w:tc>
          <w:tcPr>
            <w:tcW w:w="3261" w:type="dxa"/>
            <w:tcBorders/>
            <w:vAlign w:val="center"/>
          </w:tcPr>
          <w:p>
            <w:pPr>
              <w:pStyle w:val="style0"/>
              <w:spacing w:before="0"/>
              <w:jc w:val="center"/>
              <w:rPr>
                <w:rFonts w:ascii="Arial" w:cs="Arial" w:hAnsi="Arial"/>
              </w:rPr>
            </w:pPr>
            <w:r>
              <w:rPr>
                <w:rFonts w:ascii="Arial" w:cs="Arial" w:hAnsi="Arial"/>
              </w:rPr>
              <w:t>60 06 05 38</w:t>
            </w:r>
          </w:p>
        </w:tc>
        <w:tc>
          <w:tcPr>
            <w:tcW w:w="2409"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04</w:t>
            </w:r>
          </w:p>
        </w:tc>
        <w:tc>
          <w:tcPr>
            <w:tcW w:w="4423" w:type="dxa"/>
            <w:tcBorders/>
            <w:vAlign w:val="center"/>
          </w:tcPr>
          <w:p>
            <w:pPr>
              <w:pStyle w:val="style0"/>
              <w:spacing w:before="0"/>
              <w:rPr>
                <w:rFonts w:ascii="Arial" w:cs="Arial" w:hAnsi="Arial"/>
              </w:rPr>
            </w:pPr>
            <w:r>
              <w:rPr>
                <w:rFonts w:ascii="Arial" w:cs="Arial" w:hAnsi="Arial"/>
              </w:rPr>
              <w:t>KIENOU Ousséni</w:t>
            </w:r>
          </w:p>
        </w:tc>
        <w:tc>
          <w:tcPr>
            <w:tcW w:w="1134" w:type="dxa"/>
            <w:tcBorders/>
          </w:tcPr>
          <w:p>
            <w:pPr>
              <w:pStyle w:val="style0"/>
              <w:spacing w:before="0"/>
              <w:jc w:val="center"/>
              <w:rPr/>
            </w:pPr>
            <w:r>
              <w:rPr>
                <w:rFonts w:ascii="Arial" w:cs="Arial" w:hAnsi="Arial"/>
              </w:rPr>
              <w:t>M</w:t>
            </w:r>
          </w:p>
        </w:tc>
        <w:tc>
          <w:tcPr>
            <w:tcW w:w="2268" w:type="dxa"/>
            <w:tcBorders/>
            <w:vAlign w:val="center"/>
          </w:tcPr>
          <w:p>
            <w:pPr>
              <w:pStyle w:val="style0"/>
              <w:spacing w:before="0"/>
              <w:rPr>
                <w:rFonts w:ascii="Arial" w:cs="Arial" w:hAnsi="Arial"/>
              </w:rPr>
            </w:pPr>
            <w:r>
              <w:rPr>
                <w:rFonts w:ascii="Arial" w:cs="Arial" w:hAnsi="Arial"/>
              </w:rPr>
              <w:t>Agent d’Agriculture</w:t>
            </w:r>
          </w:p>
        </w:tc>
        <w:tc>
          <w:tcPr>
            <w:tcW w:w="3261" w:type="dxa"/>
            <w:tcBorders/>
            <w:vAlign w:val="center"/>
          </w:tcPr>
          <w:p>
            <w:pPr>
              <w:pStyle w:val="style0"/>
              <w:spacing w:before="0"/>
              <w:jc w:val="center"/>
              <w:rPr>
                <w:rFonts w:ascii="Arial" w:cs="Arial" w:hAnsi="Arial"/>
              </w:rPr>
            </w:pPr>
            <w:r>
              <w:rPr>
                <w:rFonts w:ascii="Arial" w:cs="Arial" w:hAnsi="Arial"/>
              </w:rPr>
              <w:t>70 43 98 54</w:t>
            </w:r>
          </w:p>
        </w:tc>
        <w:tc>
          <w:tcPr>
            <w:tcW w:w="2409"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05</w:t>
            </w:r>
          </w:p>
        </w:tc>
        <w:tc>
          <w:tcPr>
            <w:tcW w:w="4423" w:type="dxa"/>
            <w:tcBorders/>
            <w:vAlign w:val="center"/>
          </w:tcPr>
          <w:p>
            <w:pPr>
              <w:pStyle w:val="style0"/>
              <w:spacing w:before="0"/>
              <w:rPr>
                <w:rFonts w:ascii="Arial" w:cs="Arial" w:hAnsi="Arial"/>
              </w:rPr>
            </w:pPr>
            <w:r>
              <w:rPr>
                <w:rFonts w:ascii="Arial" w:cs="Arial" w:hAnsi="Arial"/>
              </w:rPr>
              <w:t>TRAORE Mamadou</w:t>
            </w:r>
          </w:p>
        </w:tc>
        <w:tc>
          <w:tcPr>
            <w:tcW w:w="1134" w:type="dxa"/>
            <w:tcBorders/>
          </w:tcPr>
          <w:p>
            <w:pPr>
              <w:pStyle w:val="style0"/>
              <w:spacing w:before="0"/>
              <w:jc w:val="center"/>
              <w:rPr/>
            </w:pPr>
            <w:r>
              <w:rPr>
                <w:rFonts w:ascii="Arial" w:cs="Arial" w:hAnsi="Arial"/>
              </w:rPr>
              <w:t>M</w:t>
            </w:r>
          </w:p>
        </w:tc>
        <w:tc>
          <w:tcPr>
            <w:tcW w:w="2268" w:type="dxa"/>
            <w:tcBorders/>
            <w:vAlign w:val="center"/>
          </w:tcPr>
          <w:p>
            <w:pPr>
              <w:pStyle w:val="style0"/>
              <w:spacing w:before="0"/>
              <w:rPr>
                <w:rFonts w:ascii="Arial" w:cs="Arial" w:hAnsi="Arial"/>
              </w:rPr>
            </w:pPr>
            <w:r>
              <w:rPr>
                <w:rFonts w:ascii="Arial" w:cs="Arial" w:hAnsi="Arial"/>
              </w:rPr>
              <w:t>Chef du village</w:t>
            </w:r>
          </w:p>
        </w:tc>
        <w:tc>
          <w:tcPr>
            <w:tcW w:w="3261" w:type="dxa"/>
            <w:tcBorders/>
            <w:vAlign w:val="center"/>
          </w:tcPr>
          <w:p>
            <w:pPr>
              <w:pStyle w:val="style0"/>
              <w:spacing w:before="0"/>
              <w:jc w:val="center"/>
              <w:rPr>
                <w:rFonts w:ascii="Arial" w:cs="Arial" w:hAnsi="Arial"/>
              </w:rPr>
            </w:pPr>
            <w:r>
              <w:rPr>
                <w:rFonts w:ascii="Arial" w:cs="Arial" w:hAnsi="Arial"/>
              </w:rPr>
              <w:t>76 24 28 07</w:t>
            </w:r>
          </w:p>
        </w:tc>
        <w:tc>
          <w:tcPr>
            <w:tcW w:w="2409"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06</w:t>
            </w:r>
          </w:p>
        </w:tc>
        <w:tc>
          <w:tcPr>
            <w:tcW w:w="4423" w:type="dxa"/>
            <w:tcBorders/>
            <w:vAlign w:val="center"/>
          </w:tcPr>
          <w:p>
            <w:pPr>
              <w:pStyle w:val="style0"/>
              <w:spacing w:before="0"/>
              <w:rPr>
                <w:rFonts w:ascii="Arial" w:cs="Arial" w:hAnsi="Arial"/>
              </w:rPr>
            </w:pPr>
            <w:r>
              <w:rPr>
                <w:rFonts w:ascii="Arial" w:cs="Arial" w:hAnsi="Arial"/>
              </w:rPr>
              <w:t>ZOMA Kouilga Emile</w:t>
            </w:r>
          </w:p>
        </w:tc>
        <w:tc>
          <w:tcPr>
            <w:tcW w:w="1134" w:type="dxa"/>
            <w:tcBorders/>
          </w:tcPr>
          <w:p>
            <w:pPr>
              <w:pStyle w:val="style0"/>
              <w:spacing w:before="0"/>
              <w:jc w:val="center"/>
              <w:rPr/>
            </w:pPr>
            <w:r>
              <w:rPr>
                <w:rFonts w:ascii="Arial" w:cs="Arial" w:hAnsi="Arial"/>
              </w:rPr>
              <w:t>M</w:t>
            </w:r>
          </w:p>
        </w:tc>
        <w:tc>
          <w:tcPr>
            <w:tcW w:w="2268" w:type="dxa"/>
            <w:tcBorders/>
            <w:vAlign w:val="center"/>
          </w:tcPr>
          <w:p>
            <w:pPr>
              <w:pStyle w:val="style0"/>
              <w:spacing w:before="0"/>
              <w:rPr>
                <w:rFonts w:ascii="Arial" w:cs="Arial" w:hAnsi="Arial"/>
              </w:rPr>
            </w:pPr>
            <w:r>
              <w:rPr>
                <w:rFonts w:ascii="Arial" w:cs="Arial" w:hAnsi="Arial"/>
              </w:rPr>
              <w:t>Chef SDEEVCC</w:t>
            </w:r>
          </w:p>
        </w:tc>
        <w:tc>
          <w:tcPr>
            <w:tcW w:w="3261" w:type="dxa"/>
            <w:tcBorders/>
            <w:vAlign w:val="center"/>
          </w:tcPr>
          <w:p>
            <w:pPr>
              <w:pStyle w:val="style0"/>
              <w:spacing w:before="0"/>
              <w:jc w:val="center"/>
              <w:rPr>
                <w:rFonts w:ascii="Arial" w:cs="Arial" w:hAnsi="Arial"/>
              </w:rPr>
            </w:pPr>
            <w:r>
              <w:rPr>
                <w:rFonts w:ascii="Arial" w:cs="Arial" w:hAnsi="Arial"/>
              </w:rPr>
              <w:t>71 54 25 38</w:t>
            </w:r>
          </w:p>
        </w:tc>
        <w:tc>
          <w:tcPr>
            <w:tcW w:w="2409"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07</w:t>
            </w:r>
          </w:p>
        </w:tc>
        <w:tc>
          <w:tcPr>
            <w:tcW w:w="4423" w:type="dxa"/>
            <w:tcBorders/>
            <w:vAlign w:val="center"/>
          </w:tcPr>
          <w:p>
            <w:pPr>
              <w:pStyle w:val="style0"/>
              <w:spacing w:before="0"/>
              <w:rPr>
                <w:rFonts w:ascii="Arial" w:cs="Arial" w:hAnsi="Arial"/>
              </w:rPr>
            </w:pPr>
            <w:r>
              <w:rPr>
                <w:rFonts w:ascii="Arial" w:cs="Arial" w:hAnsi="Arial"/>
              </w:rPr>
              <w:t>SAWADOGO Souleymane</w:t>
            </w:r>
          </w:p>
        </w:tc>
        <w:tc>
          <w:tcPr>
            <w:tcW w:w="1134" w:type="dxa"/>
            <w:tcBorders/>
          </w:tcPr>
          <w:p>
            <w:pPr>
              <w:pStyle w:val="style0"/>
              <w:spacing w:before="0"/>
              <w:jc w:val="center"/>
              <w:rPr/>
            </w:pPr>
            <w:r>
              <w:rPr>
                <w:rFonts w:ascii="Arial" w:cs="Arial" w:hAnsi="Arial"/>
              </w:rPr>
              <w:t>M</w:t>
            </w:r>
          </w:p>
        </w:tc>
        <w:tc>
          <w:tcPr>
            <w:tcW w:w="2268" w:type="dxa"/>
            <w:tcBorders/>
            <w:vAlign w:val="center"/>
          </w:tcPr>
          <w:p>
            <w:pPr>
              <w:pStyle w:val="style0"/>
              <w:spacing w:before="0"/>
              <w:rPr>
                <w:rFonts w:ascii="Arial" w:cs="Arial" w:hAnsi="Arial"/>
              </w:rPr>
            </w:pPr>
            <w:r>
              <w:rPr>
                <w:rFonts w:ascii="Arial" w:cs="Arial" w:hAnsi="Arial"/>
              </w:rPr>
              <w:t>Police</w:t>
            </w:r>
          </w:p>
        </w:tc>
        <w:tc>
          <w:tcPr>
            <w:tcW w:w="3261" w:type="dxa"/>
            <w:tcBorders/>
            <w:vAlign w:val="center"/>
          </w:tcPr>
          <w:p>
            <w:pPr>
              <w:pStyle w:val="style0"/>
              <w:spacing w:before="0"/>
              <w:jc w:val="center"/>
              <w:rPr>
                <w:rFonts w:ascii="Arial" w:cs="Arial" w:hAnsi="Arial"/>
              </w:rPr>
            </w:pPr>
            <w:r>
              <w:rPr>
                <w:rFonts w:ascii="Arial" w:cs="Arial" w:hAnsi="Arial"/>
              </w:rPr>
              <w:t>71 80 53 12</w:t>
            </w:r>
          </w:p>
        </w:tc>
        <w:tc>
          <w:tcPr>
            <w:tcW w:w="2409"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08</w:t>
            </w:r>
          </w:p>
        </w:tc>
        <w:tc>
          <w:tcPr>
            <w:tcW w:w="4423" w:type="dxa"/>
            <w:tcBorders/>
            <w:vAlign w:val="center"/>
          </w:tcPr>
          <w:p>
            <w:pPr>
              <w:pStyle w:val="style0"/>
              <w:spacing w:before="0"/>
              <w:rPr>
                <w:rFonts w:ascii="Arial" w:cs="Arial" w:hAnsi="Arial"/>
              </w:rPr>
            </w:pPr>
            <w:r>
              <w:rPr>
                <w:rFonts w:ascii="Arial" w:cs="Arial" w:hAnsi="Arial"/>
              </w:rPr>
              <w:t>RABO Zakaria</w:t>
            </w:r>
          </w:p>
        </w:tc>
        <w:tc>
          <w:tcPr>
            <w:tcW w:w="1134" w:type="dxa"/>
            <w:tcBorders/>
          </w:tcPr>
          <w:p>
            <w:pPr>
              <w:pStyle w:val="style0"/>
              <w:spacing w:before="0"/>
              <w:jc w:val="center"/>
              <w:rPr/>
            </w:pPr>
            <w:r>
              <w:rPr>
                <w:rFonts w:ascii="Arial" w:cs="Arial" w:hAnsi="Arial"/>
              </w:rPr>
              <w:t>M</w:t>
            </w:r>
          </w:p>
        </w:tc>
        <w:tc>
          <w:tcPr>
            <w:tcW w:w="2268" w:type="dxa"/>
            <w:tcBorders/>
            <w:vAlign w:val="center"/>
          </w:tcPr>
          <w:p>
            <w:pPr>
              <w:pStyle w:val="style0"/>
              <w:spacing w:before="0"/>
              <w:rPr>
                <w:rFonts w:ascii="Arial" w:cs="Arial" w:hAnsi="Arial"/>
              </w:rPr>
            </w:pPr>
            <w:r>
              <w:rPr>
                <w:rFonts w:ascii="Arial" w:cs="Arial" w:hAnsi="Arial"/>
              </w:rPr>
              <w:t>Préfecture</w:t>
            </w:r>
          </w:p>
        </w:tc>
        <w:tc>
          <w:tcPr>
            <w:tcW w:w="3261" w:type="dxa"/>
            <w:tcBorders/>
            <w:vAlign w:val="center"/>
          </w:tcPr>
          <w:p>
            <w:pPr>
              <w:pStyle w:val="style0"/>
              <w:spacing w:before="0"/>
              <w:jc w:val="center"/>
              <w:rPr>
                <w:rFonts w:ascii="Arial" w:cs="Arial" w:hAnsi="Arial"/>
              </w:rPr>
            </w:pPr>
            <w:r>
              <w:rPr>
                <w:rFonts w:ascii="Arial" w:cs="Arial" w:hAnsi="Arial"/>
              </w:rPr>
              <w:t>70 99 24 31</w:t>
            </w:r>
          </w:p>
        </w:tc>
        <w:tc>
          <w:tcPr>
            <w:tcW w:w="2409"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09</w:t>
            </w:r>
          </w:p>
        </w:tc>
        <w:tc>
          <w:tcPr>
            <w:tcW w:w="4423" w:type="dxa"/>
            <w:tcBorders/>
            <w:vAlign w:val="center"/>
          </w:tcPr>
          <w:p>
            <w:pPr>
              <w:pStyle w:val="style0"/>
              <w:spacing w:before="0"/>
              <w:rPr>
                <w:rFonts w:ascii="Arial" w:cs="Arial" w:hAnsi="Arial"/>
              </w:rPr>
            </w:pPr>
            <w:r>
              <w:rPr>
                <w:rFonts w:ascii="Arial" w:cs="Arial" w:hAnsi="Arial"/>
              </w:rPr>
              <w:t>TRAORE Yaya</w:t>
            </w:r>
          </w:p>
        </w:tc>
        <w:tc>
          <w:tcPr>
            <w:tcW w:w="1134" w:type="dxa"/>
            <w:tcBorders/>
          </w:tcPr>
          <w:p>
            <w:pPr>
              <w:pStyle w:val="style0"/>
              <w:spacing w:before="0"/>
              <w:jc w:val="center"/>
              <w:rPr>
                <w:rFonts w:ascii="Arial" w:cs="Arial" w:hAnsi="Arial"/>
              </w:rPr>
            </w:pPr>
            <w:r>
              <w:rPr>
                <w:rFonts w:ascii="Arial" w:cs="Arial" w:hAnsi="Arial"/>
              </w:rPr>
              <w:t>M</w:t>
            </w:r>
          </w:p>
        </w:tc>
        <w:tc>
          <w:tcPr>
            <w:tcW w:w="2268" w:type="dxa"/>
            <w:tcBorders/>
            <w:vAlign w:val="center"/>
          </w:tcPr>
          <w:p>
            <w:pPr>
              <w:pStyle w:val="style0"/>
              <w:spacing w:before="0"/>
              <w:rPr>
                <w:rFonts w:ascii="Arial" w:cs="Arial" w:hAnsi="Arial"/>
              </w:rPr>
            </w:pPr>
            <w:r>
              <w:rPr>
                <w:rFonts w:ascii="Arial" w:cs="Arial" w:hAnsi="Arial"/>
              </w:rPr>
              <w:t>Vice de la S.CAB</w:t>
            </w:r>
          </w:p>
        </w:tc>
        <w:tc>
          <w:tcPr>
            <w:tcW w:w="3261" w:type="dxa"/>
            <w:tcBorders/>
            <w:vAlign w:val="center"/>
          </w:tcPr>
          <w:p>
            <w:pPr>
              <w:pStyle w:val="style0"/>
              <w:spacing w:before="0"/>
              <w:jc w:val="center"/>
              <w:rPr>
                <w:rFonts w:ascii="Arial" w:cs="Arial" w:hAnsi="Arial"/>
              </w:rPr>
            </w:pPr>
            <w:r>
              <w:rPr>
                <w:rFonts w:ascii="Arial" w:cs="Arial" w:hAnsi="Arial"/>
              </w:rPr>
              <w:t>76 19 87 02</w:t>
            </w:r>
          </w:p>
        </w:tc>
        <w:tc>
          <w:tcPr>
            <w:tcW w:w="2409" w:type="dxa"/>
            <w:tcBorders/>
            <w:vAlign w:val="center"/>
          </w:tcPr>
          <w:p>
            <w:pPr>
              <w:pStyle w:val="style0"/>
              <w:spacing w:before="0"/>
              <w:jc w:val="center"/>
              <w:rPr>
                <w:rFonts w:ascii="Arial" w:cs="Arial" w:hAnsi="Arial"/>
              </w:rPr>
            </w:pPr>
          </w:p>
        </w:tc>
      </w:tr>
    </w:tbl>
    <w:p>
      <w:pPr>
        <w:pStyle w:val="style0"/>
        <w:spacing w:before="0"/>
        <w:rPr>
          <w:rFonts w:ascii="Arial" w:cs="Arial" w:hAnsi="Arial"/>
          <w:sz w:val="20"/>
        </w:rPr>
      </w:pPr>
    </w:p>
    <w:p>
      <w:pPr>
        <w:pStyle w:val="style0"/>
        <w:spacing w:before="0"/>
        <w:rPr>
          <w:rFonts w:ascii="Arial" w:cs="Arial" w:hAnsi="Arial"/>
          <w:sz w:val="20"/>
        </w:rPr>
      </w:pPr>
    </w:p>
    <w:p>
      <w:pPr>
        <w:pStyle w:val="style0"/>
        <w:spacing w:before="0"/>
        <w:rPr>
          <w:rFonts w:ascii="Arial" w:cs="Arial" w:hAnsi="Arial"/>
          <w:b/>
          <w:u w:val="dotted"/>
        </w:rPr>
      </w:pPr>
      <w:r>
        <w:rPr>
          <w:rFonts w:ascii="Arial" w:cs="Arial" w:hAnsi="Arial"/>
          <w:b/>
        </w:rPr>
        <w:t xml:space="preserve">                     </w:t>
      </w:r>
      <w:r>
        <w:rPr>
          <w:rFonts w:ascii="Arial" w:cs="Arial" w:hAnsi="Arial"/>
          <w:b/>
          <w:u w:val="dotted"/>
        </w:rPr>
        <w:t>INTITULE DU PROJET/PROGRAMME</w:t>
      </w:r>
      <w:r>
        <w:rPr>
          <w:rFonts w:ascii="Arial" w:cs="Arial" w:hAnsi="Arial"/>
          <w:b/>
        </w:rPr>
        <w:t xml:space="preserve"> : </w:t>
      </w:r>
      <w:r>
        <w:rPr>
          <w:rFonts w:ascii="Arial" w:cs="Arial" w:hAnsi="Arial"/>
          <w:b/>
          <w:u w:val="dotted"/>
        </w:rPr>
        <w:t>PROGRAMME DE DEVELOPPEMENT ET DE COMPETITIVITE AGRICOLE (PDCA)</w:t>
      </w:r>
    </w:p>
    <w:p>
      <w:pPr>
        <w:pStyle w:val="style0"/>
        <w:spacing w:before="0"/>
        <w:rPr>
          <w:rFonts w:ascii="Arial" w:cs="Arial" w:hAnsi="Arial"/>
          <w:b/>
          <w:sz w:val="18"/>
        </w:rPr>
      </w:pPr>
      <w:r>
        <w:rPr>
          <w:rFonts w:ascii="Arial" w:cs="Arial" w:hAnsi="Arial"/>
          <w:b/>
          <w:sz w:val="18"/>
        </w:rPr>
        <w:t>LISTE DES PARTICIPANTS AUX SEANCES DE CONSULTATIONS PUBLIQUES EN VUE DE L’ELABORATION DU CGES/PGPP</w:t>
      </w:r>
      <w:r>
        <w:rPr>
          <w:rFonts w:ascii="Arial" w:cs="Arial" w:hAnsi="Arial"/>
          <w:b/>
          <w:sz w:val="18"/>
        </w:rPr>
        <w:t>/CPR</w:t>
      </w:r>
    </w:p>
    <w:p>
      <w:pPr>
        <w:pStyle w:val="style0"/>
        <w:spacing w:before="0"/>
        <w:rPr>
          <w:rFonts w:ascii="Arial" w:cs="Arial" w:hAnsi="Arial"/>
          <w:b/>
          <w:sz w:val="20"/>
        </w:rPr>
      </w:pPr>
      <w:r>
        <w:rPr>
          <w:rFonts w:ascii="Arial" w:cs="Arial" w:hAnsi="Arial"/>
          <w:b/>
          <w:sz w:val="20"/>
        </w:rPr>
        <w:t xml:space="preserve">Région : </w:t>
      </w:r>
      <w:r>
        <w:rPr>
          <w:rFonts w:ascii="Arial" w:cs="Arial" w:hAnsi="Arial"/>
          <w:b/>
          <w:sz w:val="20"/>
          <w:u w:val="dotted"/>
        </w:rPr>
        <w:t>HAUTS BASSINS</w:t>
      </w:r>
      <w:r>
        <w:rPr>
          <w:rFonts w:ascii="Arial" w:cs="Arial" w:hAnsi="Arial"/>
          <w:b/>
          <w:sz w:val="20"/>
        </w:rPr>
        <w:t>…………………………</w:t>
      </w:r>
      <w:r>
        <w:rPr>
          <w:rFonts w:ascii="Arial" w:cs="Arial" w:hAnsi="Arial"/>
          <w:b/>
          <w:sz w:val="20"/>
          <w:u w:val="dotted"/>
        </w:rPr>
        <w:t>Province</w:t>
      </w:r>
      <w:r>
        <w:rPr>
          <w:rFonts w:ascii="Arial" w:cs="Arial" w:hAnsi="Arial"/>
          <w:b/>
          <w:sz w:val="20"/>
        </w:rPr>
        <w:t xml:space="preserve"> : </w:t>
      </w:r>
      <w:r>
        <w:rPr>
          <w:rFonts w:ascii="Arial" w:cs="Arial" w:hAnsi="Arial"/>
          <w:b/>
          <w:sz w:val="20"/>
          <w:u w:val="dotted"/>
        </w:rPr>
        <w:t>KENEDOUGOU</w:t>
      </w:r>
      <w:r>
        <w:rPr>
          <w:rFonts w:ascii="Arial" w:cs="Arial" w:hAnsi="Arial"/>
          <w:b/>
          <w:sz w:val="20"/>
        </w:rPr>
        <w:t>…………………………….</w:t>
      </w:r>
      <w:r>
        <w:rPr>
          <w:rFonts w:ascii="Arial" w:cs="Arial" w:hAnsi="Arial"/>
          <w:b/>
          <w:sz w:val="20"/>
          <w:u w:val="dotted"/>
        </w:rPr>
        <w:t>Commune</w:t>
      </w:r>
      <w:r>
        <w:rPr>
          <w:rFonts w:ascii="Arial" w:cs="Arial" w:hAnsi="Arial"/>
          <w:b/>
          <w:sz w:val="20"/>
        </w:rPr>
        <w:t xml:space="preserve"> : </w:t>
      </w:r>
      <w:r>
        <w:rPr>
          <w:rFonts w:ascii="Arial" w:cs="Arial" w:hAnsi="Arial"/>
          <w:b/>
          <w:sz w:val="20"/>
          <w:u w:val="dotted"/>
        </w:rPr>
        <w:t>ORODARA</w:t>
      </w:r>
      <w:r>
        <w:rPr>
          <w:rFonts w:ascii="Arial" w:cs="Arial" w:hAnsi="Arial"/>
          <w:b/>
          <w:sz w:val="20"/>
        </w:rPr>
        <w:t>…………………………..</w:t>
      </w:r>
    </w:p>
    <w:p>
      <w:pPr>
        <w:pStyle w:val="style0"/>
        <w:spacing w:before="0"/>
        <w:rPr/>
      </w:pPr>
      <w:r>
        <w:rPr>
          <w:rFonts w:ascii="Arial" w:cs="Arial" w:hAnsi="Arial"/>
          <w:b/>
          <w:sz w:val="20"/>
        </w:rPr>
        <w:t xml:space="preserve">Village : </w:t>
      </w:r>
      <w:r>
        <w:rPr>
          <w:rFonts w:ascii="Arial" w:cs="Arial" w:hAnsi="Arial"/>
          <w:b/>
          <w:sz w:val="20"/>
          <w:u w:val="dotted"/>
        </w:rPr>
        <w:t>ORODARA</w:t>
      </w:r>
      <w:r>
        <w:rPr>
          <w:rFonts w:ascii="Arial" w:cs="Arial" w:hAnsi="Arial"/>
          <w:b/>
          <w:sz w:val="20"/>
        </w:rPr>
        <w:t xml:space="preserve">………………………….Date : </w:t>
      </w:r>
      <w:r>
        <w:rPr>
          <w:rFonts w:ascii="Arial" w:cs="Arial" w:hAnsi="Arial"/>
          <w:b/>
          <w:sz w:val="20"/>
          <w:u w:val="dotted"/>
        </w:rPr>
        <w:t>09</w:t>
      </w:r>
      <w:r>
        <w:rPr>
          <w:rFonts w:ascii="Arial" w:cs="Arial" w:hAnsi="Arial"/>
          <w:b/>
          <w:sz w:val="20"/>
          <w:u w:val="dotted"/>
        </w:rPr>
        <w:t>/01/2019</w:t>
      </w:r>
      <w:r>
        <w:rPr>
          <w:rFonts w:ascii="Arial" w:cs="Arial" w:hAnsi="Arial"/>
          <w:b/>
          <w:sz w:val="20"/>
        </w:rPr>
        <w:t>…………………</w:t>
      </w:r>
      <w:r>
        <w:rPr>
          <w:rFonts w:ascii="Arial" w:cs="Arial" w:hAnsi="Arial"/>
          <w:b/>
          <w:sz w:val="20"/>
        </w:rPr>
        <w:t xml:space="preserve"> </w:t>
      </w:r>
      <w:r>
        <w:rPr>
          <w:rFonts w:ascii="Arial" w:cs="Arial" w:hAnsi="Arial"/>
          <w:b/>
          <w:sz w:val="20"/>
        </w:rPr>
        <w:t>Groupes cibles : Services techniques, Mairie/Préfectures…</w:t>
      </w:r>
    </w:p>
    <w:tbl>
      <w:tblPr>
        <w:tblStyle w:val="style154"/>
        <w:tblW w:w="14170" w:type="dxa"/>
        <w:tblLayout w:type="fixed"/>
        <w:tblLook w:val="04A0" w:firstRow="1" w:lastRow="0" w:firstColumn="1" w:lastColumn="0" w:noHBand="0" w:noVBand="1"/>
      </w:tblPr>
      <w:tblGrid>
        <w:gridCol w:w="675"/>
        <w:gridCol w:w="3856"/>
        <w:gridCol w:w="1276"/>
        <w:gridCol w:w="3686"/>
        <w:gridCol w:w="2409"/>
        <w:gridCol w:w="2268"/>
      </w:tblGrid>
      <w:tr>
        <w:trPr/>
        <w:tc>
          <w:tcPr>
            <w:tcW w:w="675" w:type="dxa"/>
            <w:tcBorders/>
            <w:vAlign w:val="center"/>
          </w:tcPr>
          <w:p>
            <w:pPr>
              <w:pStyle w:val="style0"/>
              <w:spacing w:before="0"/>
              <w:jc w:val="center"/>
              <w:rPr>
                <w:rFonts w:ascii="Arial" w:cs="Arial" w:hAnsi="Arial"/>
                <w:b/>
              </w:rPr>
            </w:pPr>
            <w:r>
              <w:rPr>
                <w:rFonts w:ascii="Arial" w:cs="Arial" w:hAnsi="Arial"/>
                <w:b/>
              </w:rPr>
              <w:t>N°</w:t>
            </w:r>
          </w:p>
        </w:tc>
        <w:tc>
          <w:tcPr>
            <w:tcW w:w="3856" w:type="dxa"/>
            <w:tcBorders/>
            <w:vAlign w:val="center"/>
          </w:tcPr>
          <w:p>
            <w:pPr>
              <w:pStyle w:val="style0"/>
              <w:spacing w:before="0"/>
              <w:jc w:val="center"/>
              <w:rPr>
                <w:rFonts w:ascii="Arial" w:cs="Arial" w:hAnsi="Arial"/>
                <w:b/>
              </w:rPr>
            </w:pPr>
            <w:r>
              <w:rPr>
                <w:rFonts w:ascii="Arial" w:cs="Arial" w:hAnsi="Arial"/>
                <w:b/>
              </w:rPr>
              <w:t>Nom et prénom (s)</w:t>
            </w:r>
          </w:p>
        </w:tc>
        <w:tc>
          <w:tcPr>
            <w:tcW w:w="1276" w:type="dxa"/>
            <w:tcBorders/>
            <w:vAlign w:val="center"/>
          </w:tcPr>
          <w:p>
            <w:pPr>
              <w:pStyle w:val="style0"/>
              <w:spacing w:before="0"/>
              <w:jc w:val="center"/>
              <w:rPr>
                <w:rFonts w:ascii="Arial" w:cs="Arial" w:hAnsi="Arial"/>
                <w:b/>
              </w:rPr>
            </w:pPr>
            <w:r>
              <w:rPr>
                <w:rFonts w:ascii="Arial" w:cs="Arial" w:hAnsi="Arial"/>
                <w:b/>
              </w:rPr>
              <w:t>Sexe</w:t>
            </w:r>
          </w:p>
        </w:tc>
        <w:tc>
          <w:tcPr>
            <w:tcW w:w="3686" w:type="dxa"/>
            <w:tcBorders/>
            <w:vAlign w:val="center"/>
          </w:tcPr>
          <w:p>
            <w:pPr>
              <w:pStyle w:val="style0"/>
              <w:spacing w:before="0"/>
              <w:jc w:val="center"/>
              <w:rPr>
                <w:rFonts w:ascii="Arial" w:cs="Arial" w:hAnsi="Arial"/>
                <w:b/>
              </w:rPr>
            </w:pPr>
            <w:r>
              <w:rPr>
                <w:rFonts w:ascii="Arial" w:cs="Arial" w:hAnsi="Arial"/>
                <w:b/>
              </w:rPr>
              <w:t>Profession</w:t>
            </w:r>
          </w:p>
        </w:tc>
        <w:tc>
          <w:tcPr>
            <w:tcW w:w="2409" w:type="dxa"/>
            <w:tcBorders/>
            <w:vAlign w:val="center"/>
          </w:tcPr>
          <w:p>
            <w:pPr>
              <w:pStyle w:val="style0"/>
              <w:spacing w:before="0"/>
              <w:jc w:val="center"/>
              <w:rPr>
                <w:rFonts w:ascii="Arial" w:cs="Arial" w:hAnsi="Arial"/>
                <w:b/>
              </w:rPr>
            </w:pPr>
            <w:r>
              <w:rPr>
                <w:rFonts w:ascii="Arial" w:cs="Arial" w:hAnsi="Arial"/>
                <w:b/>
              </w:rPr>
              <w:t>Téléphone</w:t>
            </w:r>
          </w:p>
        </w:tc>
        <w:tc>
          <w:tcPr>
            <w:tcW w:w="2268" w:type="dxa"/>
            <w:tcBorders/>
            <w:vAlign w:val="center"/>
          </w:tcPr>
          <w:p>
            <w:pPr>
              <w:pStyle w:val="style0"/>
              <w:spacing w:before="0"/>
              <w:jc w:val="center"/>
              <w:rPr>
                <w:rFonts w:ascii="Arial" w:cs="Arial" w:hAnsi="Arial"/>
                <w:b/>
              </w:rPr>
            </w:pPr>
            <w:r>
              <w:rPr>
                <w:rFonts w:ascii="Arial" w:cs="Arial" w:hAnsi="Arial"/>
                <w:b/>
              </w:rPr>
              <w:t>Signature/Empreinte</w:t>
            </w:r>
          </w:p>
        </w:tc>
      </w:tr>
      <w:tr>
        <w:tblPrEx/>
        <w:trPr/>
        <w:tc>
          <w:tcPr>
            <w:tcW w:w="675" w:type="dxa"/>
            <w:tcBorders/>
            <w:vAlign w:val="center"/>
          </w:tcPr>
          <w:p>
            <w:pPr>
              <w:pStyle w:val="style0"/>
              <w:spacing w:before="0"/>
              <w:jc w:val="center"/>
              <w:rPr>
                <w:rFonts w:ascii="Arial" w:cs="Arial" w:hAnsi="Arial"/>
              </w:rPr>
            </w:pPr>
            <w:r>
              <w:rPr>
                <w:rFonts w:ascii="Arial" w:cs="Arial" w:hAnsi="Arial"/>
              </w:rPr>
              <w:t>01</w:t>
            </w:r>
          </w:p>
        </w:tc>
        <w:tc>
          <w:tcPr>
            <w:tcW w:w="3856" w:type="dxa"/>
            <w:tcBorders/>
            <w:vAlign w:val="center"/>
          </w:tcPr>
          <w:p>
            <w:pPr>
              <w:pStyle w:val="style0"/>
              <w:spacing w:before="0"/>
              <w:rPr>
                <w:rFonts w:ascii="Arial" w:cs="Arial" w:hAnsi="Arial"/>
              </w:rPr>
            </w:pPr>
            <w:r>
              <w:rPr>
                <w:rFonts w:ascii="Arial" w:cs="Arial" w:hAnsi="Arial"/>
              </w:rPr>
              <w:t>YARO Haoua</w:t>
            </w:r>
          </w:p>
        </w:tc>
        <w:tc>
          <w:tcPr>
            <w:tcW w:w="1276" w:type="dxa"/>
            <w:tcBorders/>
          </w:tcPr>
          <w:p>
            <w:pPr>
              <w:pStyle w:val="style0"/>
              <w:spacing w:before="0"/>
              <w:jc w:val="center"/>
              <w:rPr>
                <w:rFonts w:ascii="Arial" w:cs="Arial" w:hAnsi="Arial"/>
              </w:rPr>
            </w:pPr>
            <w:r>
              <w:rPr>
                <w:rFonts w:ascii="Arial" w:cs="Arial" w:hAnsi="Arial"/>
              </w:rPr>
              <w:t>F</w:t>
            </w:r>
          </w:p>
        </w:tc>
        <w:tc>
          <w:tcPr>
            <w:tcW w:w="3686" w:type="dxa"/>
            <w:tcBorders/>
            <w:vAlign w:val="center"/>
          </w:tcPr>
          <w:p>
            <w:pPr>
              <w:pStyle w:val="style0"/>
              <w:spacing w:before="0"/>
              <w:rPr>
                <w:rFonts w:ascii="Arial" w:cs="Arial" w:hAnsi="Arial"/>
              </w:rPr>
            </w:pPr>
            <w:r>
              <w:rPr>
                <w:rFonts w:ascii="Arial" w:cs="Arial" w:hAnsi="Arial"/>
              </w:rPr>
              <w:t>Conseillère d’Agriculture</w:t>
            </w:r>
          </w:p>
        </w:tc>
        <w:tc>
          <w:tcPr>
            <w:tcW w:w="2409" w:type="dxa"/>
            <w:tcBorders/>
            <w:vAlign w:val="center"/>
          </w:tcPr>
          <w:p>
            <w:pPr>
              <w:pStyle w:val="style0"/>
              <w:spacing w:before="0"/>
              <w:jc w:val="center"/>
              <w:rPr>
                <w:rFonts w:ascii="Arial" w:cs="Arial" w:hAnsi="Arial"/>
              </w:rPr>
            </w:pPr>
            <w:r>
              <w:rPr>
                <w:rFonts w:ascii="Arial" w:cs="Arial" w:hAnsi="Arial"/>
              </w:rPr>
              <w:t>70 34 40 23</w:t>
            </w:r>
          </w:p>
        </w:tc>
        <w:tc>
          <w:tcPr>
            <w:tcW w:w="2268"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02</w:t>
            </w:r>
          </w:p>
        </w:tc>
        <w:tc>
          <w:tcPr>
            <w:tcW w:w="3856" w:type="dxa"/>
            <w:tcBorders/>
            <w:vAlign w:val="center"/>
          </w:tcPr>
          <w:p>
            <w:pPr>
              <w:pStyle w:val="style0"/>
              <w:spacing w:before="0"/>
              <w:rPr>
                <w:rFonts w:ascii="Arial" w:cs="Arial" w:hAnsi="Arial"/>
                <w:lang w:val="de-DE"/>
              </w:rPr>
            </w:pPr>
            <w:r>
              <w:rPr>
                <w:rFonts w:ascii="Arial" w:cs="Arial" w:hAnsi="Arial"/>
                <w:lang w:val="de-DE"/>
              </w:rPr>
              <w:t xml:space="preserve">SANGARE A. </w:t>
            </w:r>
            <w:r>
              <w:rPr>
                <w:rFonts w:ascii="Arial" w:cs="Arial" w:hAnsi="Arial"/>
                <w:lang w:val="de-DE"/>
              </w:rPr>
              <w:t>Pathé</w:t>
            </w:r>
          </w:p>
        </w:tc>
        <w:tc>
          <w:tcPr>
            <w:tcW w:w="1276" w:type="dxa"/>
            <w:tcBorders/>
          </w:tcPr>
          <w:p>
            <w:pPr>
              <w:pStyle w:val="style0"/>
              <w:spacing w:before="0"/>
              <w:jc w:val="center"/>
              <w:rPr>
                <w:lang w:val="de-DE"/>
              </w:rPr>
            </w:pPr>
            <w:r>
              <w:rPr>
                <w:rFonts w:ascii="Arial" w:cs="Arial" w:hAnsi="Arial"/>
                <w:lang w:val="de-DE"/>
              </w:rPr>
              <w:t>M</w:t>
            </w:r>
          </w:p>
        </w:tc>
        <w:tc>
          <w:tcPr>
            <w:tcW w:w="3686" w:type="dxa"/>
            <w:tcBorders/>
            <w:vAlign w:val="center"/>
          </w:tcPr>
          <w:p>
            <w:pPr>
              <w:pStyle w:val="style0"/>
              <w:spacing w:before="0"/>
              <w:rPr>
                <w:rFonts w:ascii="Arial" w:cs="Arial" w:hAnsi="Arial"/>
              </w:rPr>
            </w:pPr>
            <w:r>
              <w:rPr>
                <w:rFonts w:ascii="Arial" w:cs="Arial" w:hAnsi="Arial"/>
              </w:rPr>
              <w:t>Administrateur Civil</w:t>
            </w:r>
          </w:p>
        </w:tc>
        <w:tc>
          <w:tcPr>
            <w:tcW w:w="2409" w:type="dxa"/>
            <w:tcBorders/>
            <w:vAlign w:val="center"/>
          </w:tcPr>
          <w:p>
            <w:pPr>
              <w:pStyle w:val="style0"/>
              <w:spacing w:before="0"/>
              <w:jc w:val="center"/>
              <w:rPr>
                <w:rFonts w:ascii="Arial" w:cs="Arial" w:hAnsi="Arial"/>
                <w:lang w:val="de-DE"/>
              </w:rPr>
            </w:pPr>
            <w:r>
              <w:rPr>
                <w:rFonts w:ascii="Arial" w:cs="Arial" w:hAnsi="Arial"/>
                <w:lang w:val="de-DE"/>
              </w:rPr>
              <w:t>60 74 44 78</w:t>
            </w:r>
          </w:p>
        </w:tc>
        <w:tc>
          <w:tcPr>
            <w:tcW w:w="2268" w:type="dxa"/>
            <w:tcBorders/>
            <w:vAlign w:val="center"/>
          </w:tcPr>
          <w:p>
            <w:pPr>
              <w:pStyle w:val="style0"/>
              <w:spacing w:before="0"/>
              <w:jc w:val="center"/>
              <w:rPr>
                <w:rFonts w:ascii="Arial" w:cs="Arial" w:hAnsi="Arial"/>
                <w:lang w:val="de-DE"/>
              </w:rPr>
            </w:pPr>
          </w:p>
        </w:tc>
      </w:tr>
      <w:tr>
        <w:tblPrEx/>
        <w:trPr/>
        <w:tc>
          <w:tcPr>
            <w:tcW w:w="675" w:type="dxa"/>
            <w:tcBorders/>
            <w:vAlign w:val="center"/>
          </w:tcPr>
          <w:p>
            <w:pPr>
              <w:pStyle w:val="style0"/>
              <w:spacing w:before="0"/>
              <w:jc w:val="center"/>
              <w:rPr>
                <w:rFonts w:ascii="Arial" w:cs="Arial" w:hAnsi="Arial"/>
                <w:lang w:val="de-DE"/>
              </w:rPr>
            </w:pPr>
            <w:r>
              <w:rPr>
                <w:rFonts w:ascii="Arial" w:cs="Arial" w:hAnsi="Arial"/>
                <w:lang w:val="de-DE"/>
              </w:rPr>
              <w:t>03</w:t>
            </w:r>
          </w:p>
        </w:tc>
        <w:tc>
          <w:tcPr>
            <w:tcW w:w="3856" w:type="dxa"/>
            <w:tcBorders/>
            <w:vAlign w:val="center"/>
          </w:tcPr>
          <w:p>
            <w:pPr>
              <w:pStyle w:val="style0"/>
              <w:spacing w:before="0"/>
              <w:rPr>
                <w:rFonts w:ascii="Arial" w:cs="Arial" w:hAnsi="Arial"/>
                <w:lang w:val="de-DE"/>
              </w:rPr>
            </w:pPr>
            <w:r>
              <w:rPr>
                <w:rFonts w:ascii="Arial" w:cs="Arial" w:hAnsi="Arial"/>
                <w:lang w:val="de-DE"/>
              </w:rPr>
              <w:t>TRAORE F. Mamadou</w:t>
            </w:r>
          </w:p>
        </w:tc>
        <w:tc>
          <w:tcPr>
            <w:tcW w:w="1276" w:type="dxa"/>
            <w:tcBorders/>
          </w:tcPr>
          <w:p>
            <w:pPr>
              <w:pStyle w:val="style0"/>
              <w:spacing w:before="0"/>
              <w:jc w:val="center"/>
              <w:rPr>
                <w:lang w:val="de-DE"/>
              </w:rPr>
            </w:pPr>
            <w:r>
              <w:rPr>
                <w:rFonts w:ascii="Arial" w:cs="Arial" w:hAnsi="Arial"/>
                <w:lang w:val="de-DE"/>
              </w:rPr>
              <w:t>M</w:t>
            </w:r>
          </w:p>
        </w:tc>
        <w:tc>
          <w:tcPr>
            <w:tcW w:w="3686" w:type="dxa"/>
            <w:tcBorders/>
            <w:vAlign w:val="center"/>
          </w:tcPr>
          <w:p>
            <w:pPr>
              <w:pStyle w:val="style0"/>
              <w:spacing w:before="0"/>
              <w:rPr>
                <w:rFonts w:ascii="Arial" w:cs="Arial" w:hAnsi="Arial"/>
                <w:lang w:val="de-DE"/>
              </w:rPr>
            </w:pPr>
            <w:r>
              <w:rPr>
                <w:rFonts w:ascii="Arial" w:cs="Arial" w:hAnsi="Arial"/>
                <w:lang w:val="de-DE"/>
              </w:rPr>
              <w:t xml:space="preserve">Conseiller d’élévage </w:t>
            </w:r>
          </w:p>
        </w:tc>
        <w:tc>
          <w:tcPr>
            <w:tcW w:w="2409" w:type="dxa"/>
            <w:tcBorders/>
            <w:vAlign w:val="center"/>
          </w:tcPr>
          <w:p>
            <w:pPr>
              <w:pStyle w:val="style0"/>
              <w:spacing w:before="0"/>
              <w:jc w:val="center"/>
              <w:rPr>
                <w:rFonts w:ascii="Arial" w:cs="Arial" w:hAnsi="Arial"/>
                <w:lang w:val="de-DE"/>
              </w:rPr>
            </w:pPr>
            <w:r>
              <w:rPr>
                <w:rFonts w:ascii="Arial" w:cs="Arial" w:hAnsi="Arial"/>
                <w:lang w:val="de-DE"/>
              </w:rPr>
              <w:t>60 00 84 15</w:t>
            </w:r>
          </w:p>
        </w:tc>
        <w:tc>
          <w:tcPr>
            <w:tcW w:w="2268" w:type="dxa"/>
            <w:tcBorders/>
            <w:vAlign w:val="center"/>
          </w:tcPr>
          <w:p>
            <w:pPr>
              <w:pStyle w:val="style0"/>
              <w:spacing w:before="0"/>
              <w:jc w:val="center"/>
              <w:rPr>
                <w:rFonts w:ascii="Arial" w:cs="Arial" w:hAnsi="Arial"/>
                <w:lang w:val="de-DE"/>
              </w:rPr>
            </w:pPr>
          </w:p>
        </w:tc>
      </w:tr>
      <w:tr>
        <w:tblPrEx/>
        <w:trPr/>
        <w:tc>
          <w:tcPr>
            <w:tcW w:w="675" w:type="dxa"/>
            <w:tcBorders/>
            <w:vAlign w:val="center"/>
          </w:tcPr>
          <w:p>
            <w:pPr>
              <w:pStyle w:val="style0"/>
              <w:spacing w:before="0"/>
              <w:jc w:val="center"/>
              <w:rPr>
                <w:rFonts w:ascii="Arial" w:cs="Arial" w:hAnsi="Arial"/>
                <w:lang w:val="de-DE"/>
              </w:rPr>
            </w:pPr>
            <w:r>
              <w:rPr>
                <w:rFonts w:ascii="Arial" w:cs="Arial" w:hAnsi="Arial"/>
                <w:lang w:val="de-DE"/>
              </w:rPr>
              <w:t>04</w:t>
            </w:r>
          </w:p>
        </w:tc>
        <w:tc>
          <w:tcPr>
            <w:tcW w:w="3856" w:type="dxa"/>
            <w:tcBorders/>
            <w:vAlign w:val="center"/>
          </w:tcPr>
          <w:p>
            <w:pPr>
              <w:pStyle w:val="style0"/>
              <w:spacing w:before="0"/>
              <w:rPr>
                <w:rFonts w:ascii="Arial" w:cs="Arial" w:hAnsi="Arial"/>
                <w:lang w:val="de-DE"/>
              </w:rPr>
            </w:pPr>
            <w:r>
              <w:rPr>
                <w:rFonts w:ascii="Arial" w:cs="Arial" w:hAnsi="Arial"/>
                <w:lang w:val="de-DE"/>
              </w:rPr>
              <w:t>BAKOAN Honorine</w:t>
            </w:r>
          </w:p>
        </w:tc>
        <w:tc>
          <w:tcPr>
            <w:tcW w:w="1276" w:type="dxa"/>
            <w:tcBorders/>
          </w:tcPr>
          <w:p>
            <w:pPr>
              <w:pStyle w:val="style0"/>
              <w:spacing w:before="0"/>
              <w:jc w:val="center"/>
              <w:rPr>
                <w:lang w:val="de-DE"/>
              </w:rPr>
            </w:pPr>
            <w:r>
              <w:rPr>
                <w:rFonts w:ascii="Arial" w:cs="Arial" w:hAnsi="Arial"/>
                <w:lang w:val="de-DE"/>
              </w:rPr>
              <w:t>F</w:t>
            </w:r>
          </w:p>
        </w:tc>
        <w:tc>
          <w:tcPr>
            <w:tcW w:w="3686" w:type="dxa"/>
            <w:tcBorders/>
            <w:vAlign w:val="center"/>
          </w:tcPr>
          <w:p>
            <w:pPr>
              <w:pStyle w:val="style0"/>
              <w:spacing w:before="0"/>
              <w:rPr>
                <w:rFonts w:ascii="Arial" w:cs="Arial" w:hAnsi="Arial"/>
                <w:lang w:val="de-DE"/>
              </w:rPr>
            </w:pPr>
            <w:r>
              <w:rPr>
                <w:rFonts w:ascii="Arial" w:cs="Arial" w:hAnsi="Arial"/>
                <w:lang w:val="de-DE"/>
              </w:rPr>
              <w:t>Technicien Supérieur d’élevage</w:t>
            </w:r>
          </w:p>
        </w:tc>
        <w:tc>
          <w:tcPr>
            <w:tcW w:w="2409" w:type="dxa"/>
            <w:tcBorders/>
            <w:vAlign w:val="center"/>
          </w:tcPr>
          <w:p>
            <w:pPr>
              <w:pStyle w:val="style0"/>
              <w:spacing w:before="0"/>
              <w:jc w:val="center"/>
              <w:rPr>
                <w:rFonts w:ascii="Arial" w:cs="Arial" w:hAnsi="Arial"/>
              </w:rPr>
            </w:pPr>
            <w:r>
              <w:rPr>
                <w:rFonts w:ascii="Arial" w:cs="Arial" w:hAnsi="Arial"/>
              </w:rPr>
              <w:t>71 97 55 76</w:t>
            </w:r>
          </w:p>
        </w:tc>
        <w:tc>
          <w:tcPr>
            <w:tcW w:w="2268"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lang w:val="de-DE"/>
              </w:rPr>
            </w:pPr>
            <w:r>
              <w:rPr>
                <w:rFonts w:ascii="Arial" w:cs="Arial" w:hAnsi="Arial"/>
                <w:lang w:val="de-DE"/>
              </w:rPr>
              <w:t>05</w:t>
            </w:r>
          </w:p>
        </w:tc>
        <w:tc>
          <w:tcPr>
            <w:tcW w:w="3856" w:type="dxa"/>
            <w:tcBorders/>
            <w:vAlign w:val="center"/>
          </w:tcPr>
          <w:p>
            <w:pPr>
              <w:pStyle w:val="style0"/>
              <w:spacing w:before="0"/>
              <w:rPr>
                <w:rFonts w:ascii="Arial" w:cs="Arial" w:hAnsi="Arial"/>
                <w:lang w:val="de-DE"/>
              </w:rPr>
            </w:pPr>
            <w:r>
              <w:rPr>
                <w:rFonts w:ascii="Arial" w:cs="Arial" w:hAnsi="Arial"/>
                <w:lang w:val="de-DE"/>
              </w:rPr>
              <w:t>MILLOGO Aminata</w:t>
            </w:r>
          </w:p>
        </w:tc>
        <w:tc>
          <w:tcPr>
            <w:tcW w:w="1276" w:type="dxa"/>
            <w:tcBorders/>
          </w:tcPr>
          <w:p>
            <w:pPr>
              <w:pStyle w:val="style0"/>
              <w:spacing w:before="0"/>
              <w:jc w:val="center"/>
              <w:rPr>
                <w:lang w:val="de-DE"/>
              </w:rPr>
            </w:pPr>
            <w:r>
              <w:rPr>
                <w:rFonts w:ascii="Arial" w:cs="Arial" w:hAnsi="Arial"/>
                <w:lang w:val="de-DE"/>
              </w:rPr>
              <w:t>F</w:t>
            </w:r>
          </w:p>
        </w:tc>
        <w:tc>
          <w:tcPr>
            <w:tcW w:w="3686" w:type="dxa"/>
            <w:tcBorders/>
            <w:vAlign w:val="center"/>
          </w:tcPr>
          <w:p>
            <w:pPr>
              <w:pStyle w:val="style0"/>
              <w:spacing w:before="0"/>
              <w:rPr>
                <w:rFonts w:ascii="Arial" w:cs="Arial" w:hAnsi="Arial"/>
              </w:rPr>
            </w:pPr>
            <w:r>
              <w:rPr>
                <w:rFonts w:ascii="Arial" w:cs="Arial" w:hAnsi="Arial"/>
              </w:rPr>
              <w:t>Inspectrice des Eau et For</w:t>
            </w:r>
            <w:r>
              <w:rPr>
                <w:rFonts w:ascii="Arial" w:cs="Arial" w:hAnsi="Arial"/>
              </w:rPr>
              <w:t>êts</w:t>
            </w:r>
          </w:p>
        </w:tc>
        <w:tc>
          <w:tcPr>
            <w:tcW w:w="2409" w:type="dxa"/>
            <w:tcBorders/>
            <w:vAlign w:val="center"/>
          </w:tcPr>
          <w:p>
            <w:pPr>
              <w:pStyle w:val="style0"/>
              <w:spacing w:before="0"/>
              <w:jc w:val="center"/>
              <w:rPr>
                <w:rFonts w:ascii="Arial" w:cs="Arial" w:hAnsi="Arial"/>
              </w:rPr>
            </w:pPr>
            <w:r>
              <w:rPr>
                <w:rFonts w:ascii="Arial" w:cs="Arial" w:hAnsi="Arial"/>
              </w:rPr>
              <w:t>70 12 43 20</w:t>
            </w:r>
          </w:p>
        </w:tc>
        <w:tc>
          <w:tcPr>
            <w:tcW w:w="2268" w:type="dxa"/>
            <w:tcBorders/>
            <w:vAlign w:val="center"/>
          </w:tcPr>
          <w:p>
            <w:pPr>
              <w:pStyle w:val="style0"/>
              <w:spacing w:before="0"/>
              <w:jc w:val="center"/>
              <w:rPr>
                <w:rFonts w:ascii="Arial" w:cs="Arial" w:hAnsi="Arial"/>
              </w:rPr>
            </w:pPr>
          </w:p>
        </w:tc>
      </w:tr>
    </w:tbl>
    <w:p>
      <w:pPr>
        <w:pStyle w:val="style0"/>
        <w:spacing w:before="0"/>
        <w:rPr>
          <w:rFonts w:ascii="Arial" w:cs="Arial" w:hAnsi="Arial"/>
          <w:sz w:val="20"/>
        </w:rPr>
      </w:pPr>
    </w:p>
    <w:p>
      <w:pPr>
        <w:pStyle w:val="style0"/>
        <w:spacing w:before="0"/>
        <w:rPr>
          <w:rFonts w:ascii="Arial" w:cs="Arial" w:hAnsi="Arial"/>
          <w:sz w:val="20"/>
        </w:rPr>
      </w:pPr>
    </w:p>
    <w:p>
      <w:pPr>
        <w:pStyle w:val="style0"/>
        <w:spacing w:before="0"/>
        <w:rPr>
          <w:rFonts w:ascii="Arial" w:cs="Arial" w:hAnsi="Arial"/>
          <w:b/>
        </w:rPr>
      </w:pPr>
      <w:r>
        <w:rPr>
          <w:rFonts w:ascii="Arial" w:cs="Arial" w:hAnsi="Arial"/>
          <w:b/>
          <w:u w:val="dotted"/>
        </w:rPr>
        <w:t>INTITULE DU PROJET/PROGRAMME</w:t>
      </w:r>
      <w:r>
        <w:rPr>
          <w:rFonts w:ascii="Arial" w:cs="Arial" w:hAnsi="Arial"/>
          <w:b/>
        </w:rPr>
        <w:t xml:space="preserve"> : </w:t>
      </w:r>
      <w:r>
        <w:rPr>
          <w:rFonts w:ascii="Arial" w:cs="Arial" w:hAnsi="Arial"/>
          <w:b/>
          <w:u w:val="dotted"/>
        </w:rPr>
        <w:t>PROGRAMME DE DEVELOPPEMENT ET DE COMPETITIVITE AGRICOLE (PDCA)</w:t>
      </w:r>
    </w:p>
    <w:p>
      <w:pPr>
        <w:pStyle w:val="style0"/>
        <w:spacing w:before="0"/>
        <w:jc w:val="center"/>
        <w:rPr>
          <w:rFonts w:ascii="Arial" w:cs="Arial" w:hAnsi="Arial"/>
          <w:b/>
          <w:sz w:val="18"/>
        </w:rPr>
      </w:pPr>
      <w:r>
        <w:rPr>
          <w:rFonts w:ascii="Arial" w:cs="Arial" w:hAnsi="Arial"/>
          <w:b/>
          <w:sz w:val="18"/>
        </w:rPr>
        <w:t>LISTE DES PARTICIPANTS AUX SEANCES DE CONSULTATIONS PUBLIQUES EN VUE DE L’ELABORATION DU CGES/PGPP</w:t>
      </w:r>
      <w:r>
        <w:rPr>
          <w:rFonts w:ascii="Arial" w:cs="Arial" w:hAnsi="Arial"/>
          <w:b/>
          <w:sz w:val="18"/>
        </w:rPr>
        <w:t>/CPR</w:t>
      </w:r>
    </w:p>
    <w:p>
      <w:pPr>
        <w:pStyle w:val="style0"/>
        <w:spacing w:before="0"/>
        <w:rPr>
          <w:rFonts w:ascii="Arial" w:cs="Arial" w:hAnsi="Arial"/>
          <w:b/>
          <w:sz w:val="20"/>
        </w:rPr>
      </w:pPr>
      <w:r>
        <w:rPr>
          <w:rFonts w:ascii="Arial" w:cs="Arial" w:hAnsi="Arial"/>
          <w:b/>
          <w:sz w:val="20"/>
        </w:rPr>
        <w:t xml:space="preserve">Région : </w:t>
      </w:r>
      <w:r>
        <w:rPr>
          <w:rFonts w:ascii="Arial" w:cs="Arial" w:hAnsi="Arial"/>
          <w:b/>
          <w:sz w:val="20"/>
          <w:u w:val="dotted"/>
        </w:rPr>
        <w:t>BOUCLE DU MOUHOUN</w:t>
      </w:r>
      <w:r>
        <w:rPr>
          <w:rFonts w:ascii="Arial" w:cs="Arial" w:hAnsi="Arial"/>
          <w:b/>
          <w:sz w:val="20"/>
        </w:rPr>
        <w:t>…………………………</w:t>
      </w:r>
      <w:r>
        <w:rPr>
          <w:rFonts w:ascii="Arial" w:cs="Arial" w:hAnsi="Arial"/>
          <w:b/>
          <w:sz w:val="20"/>
          <w:u w:val="dotted"/>
        </w:rPr>
        <w:t>Province</w:t>
      </w:r>
      <w:r>
        <w:rPr>
          <w:rFonts w:ascii="Arial" w:cs="Arial" w:hAnsi="Arial"/>
          <w:b/>
          <w:sz w:val="20"/>
        </w:rPr>
        <w:t xml:space="preserve"> : </w:t>
      </w:r>
      <w:r>
        <w:rPr>
          <w:rFonts w:ascii="Arial" w:cs="Arial" w:hAnsi="Arial"/>
          <w:b/>
          <w:sz w:val="20"/>
          <w:u w:val="dotted"/>
        </w:rPr>
        <w:t>KOSSI</w:t>
      </w:r>
      <w:r>
        <w:rPr>
          <w:rFonts w:ascii="Arial" w:cs="Arial" w:hAnsi="Arial"/>
          <w:b/>
          <w:sz w:val="20"/>
        </w:rPr>
        <w:t>…………………………….</w:t>
      </w:r>
      <w:r>
        <w:rPr>
          <w:rFonts w:ascii="Arial" w:cs="Arial" w:hAnsi="Arial"/>
          <w:b/>
          <w:sz w:val="20"/>
          <w:u w:val="dotted"/>
        </w:rPr>
        <w:t>Commune</w:t>
      </w:r>
      <w:r>
        <w:rPr>
          <w:rFonts w:ascii="Arial" w:cs="Arial" w:hAnsi="Arial"/>
          <w:b/>
          <w:sz w:val="20"/>
        </w:rPr>
        <w:t xml:space="preserve"> : </w:t>
      </w:r>
      <w:r>
        <w:rPr>
          <w:rFonts w:ascii="Arial" w:cs="Arial" w:hAnsi="Arial"/>
          <w:b/>
          <w:sz w:val="20"/>
          <w:u w:val="dotted"/>
        </w:rPr>
        <w:t>SONO</w:t>
      </w:r>
      <w:r>
        <w:rPr>
          <w:rFonts w:ascii="Arial" w:cs="Arial" w:hAnsi="Arial"/>
          <w:b/>
          <w:sz w:val="20"/>
        </w:rPr>
        <w:t>…………………………..</w:t>
      </w:r>
    </w:p>
    <w:p>
      <w:pPr>
        <w:pStyle w:val="style0"/>
        <w:spacing w:before="0"/>
        <w:rPr/>
      </w:pPr>
      <w:r>
        <w:rPr>
          <w:rFonts w:ascii="Arial" w:cs="Arial" w:hAnsi="Arial"/>
          <w:b/>
          <w:sz w:val="20"/>
        </w:rPr>
        <w:t xml:space="preserve">Village : </w:t>
      </w:r>
      <w:r>
        <w:rPr>
          <w:rFonts w:ascii="Arial" w:cs="Arial" w:hAnsi="Arial"/>
          <w:b/>
          <w:sz w:val="20"/>
          <w:u w:val="dotted"/>
        </w:rPr>
        <w:t>DANGOUMANA</w:t>
      </w:r>
      <w:r>
        <w:rPr>
          <w:rFonts w:ascii="Arial" w:cs="Arial" w:hAnsi="Arial"/>
          <w:b/>
          <w:sz w:val="20"/>
        </w:rPr>
        <w:t xml:space="preserve">………………………….Date : </w:t>
      </w:r>
      <w:r>
        <w:rPr>
          <w:rFonts w:ascii="Arial" w:cs="Arial" w:hAnsi="Arial"/>
          <w:b/>
          <w:sz w:val="20"/>
          <w:u w:val="dotted"/>
        </w:rPr>
        <w:t>12</w:t>
      </w:r>
      <w:r>
        <w:rPr>
          <w:rFonts w:ascii="Arial" w:cs="Arial" w:hAnsi="Arial"/>
          <w:b/>
          <w:sz w:val="20"/>
          <w:u w:val="dotted"/>
        </w:rPr>
        <w:t>/01/2019</w:t>
      </w:r>
      <w:r>
        <w:rPr>
          <w:rFonts w:ascii="Arial" w:cs="Arial" w:hAnsi="Arial"/>
          <w:b/>
          <w:sz w:val="20"/>
        </w:rPr>
        <w:t>…………………</w:t>
      </w:r>
      <w:r>
        <w:rPr>
          <w:rFonts w:ascii="Arial" w:cs="Arial" w:hAnsi="Arial"/>
          <w:b/>
          <w:sz w:val="20"/>
        </w:rPr>
        <w:t xml:space="preserve"> </w:t>
      </w:r>
      <w:r>
        <w:rPr>
          <w:rFonts w:ascii="Arial" w:cs="Arial" w:hAnsi="Arial"/>
          <w:b/>
          <w:sz w:val="20"/>
        </w:rPr>
        <w:t>Groupes cibles : Producteurs</w:t>
      </w:r>
    </w:p>
    <w:tbl>
      <w:tblPr>
        <w:tblStyle w:val="style154"/>
        <w:tblW w:w="14170" w:type="dxa"/>
        <w:tblLayout w:type="fixed"/>
        <w:tblLook w:val="04A0" w:firstRow="1" w:lastRow="0" w:firstColumn="1" w:lastColumn="0" w:noHBand="0" w:noVBand="1"/>
      </w:tblPr>
      <w:tblGrid>
        <w:gridCol w:w="675"/>
        <w:gridCol w:w="3289"/>
        <w:gridCol w:w="1560"/>
        <w:gridCol w:w="3402"/>
        <w:gridCol w:w="2551"/>
        <w:gridCol w:w="2693"/>
      </w:tblGrid>
      <w:tr>
        <w:trPr/>
        <w:tc>
          <w:tcPr>
            <w:tcW w:w="675" w:type="dxa"/>
            <w:tcBorders/>
            <w:vAlign w:val="center"/>
          </w:tcPr>
          <w:p>
            <w:pPr>
              <w:pStyle w:val="style0"/>
              <w:spacing w:before="0"/>
              <w:rPr>
                <w:rFonts w:ascii="Arial" w:cs="Arial" w:hAnsi="Arial"/>
                <w:b/>
              </w:rPr>
            </w:pPr>
            <w:r>
              <w:rPr>
                <w:rFonts w:ascii="Arial" w:cs="Arial" w:hAnsi="Arial"/>
                <w:b/>
              </w:rPr>
              <w:t>N°</w:t>
            </w:r>
          </w:p>
        </w:tc>
        <w:tc>
          <w:tcPr>
            <w:tcW w:w="3289" w:type="dxa"/>
            <w:tcBorders/>
            <w:vAlign w:val="center"/>
          </w:tcPr>
          <w:p>
            <w:pPr>
              <w:pStyle w:val="style0"/>
              <w:spacing w:before="0"/>
              <w:jc w:val="center"/>
              <w:rPr>
                <w:rFonts w:ascii="Arial" w:cs="Arial" w:hAnsi="Arial"/>
                <w:b/>
              </w:rPr>
            </w:pPr>
            <w:r>
              <w:rPr>
                <w:rFonts w:ascii="Arial" w:cs="Arial" w:hAnsi="Arial"/>
                <w:b/>
              </w:rPr>
              <w:t>Nom et prénom (s)</w:t>
            </w:r>
          </w:p>
        </w:tc>
        <w:tc>
          <w:tcPr>
            <w:tcW w:w="1560" w:type="dxa"/>
            <w:tcBorders/>
            <w:vAlign w:val="center"/>
          </w:tcPr>
          <w:p>
            <w:pPr>
              <w:pStyle w:val="style0"/>
              <w:spacing w:before="0"/>
              <w:jc w:val="center"/>
              <w:rPr>
                <w:rFonts w:ascii="Arial" w:cs="Arial" w:hAnsi="Arial"/>
                <w:b/>
              </w:rPr>
            </w:pPr>
            <w:r>
              <w:rPr>
                <w:rFonts w:ascii="Arial" w:cs="Arial" w:hAnsi="Arial"/>
                <w:b/>
              </w:rPr>
              <w:t>Sexe</w:t>
            </w:r>
          </w:p>
        </w:tc>
        <w:tc>
          <w:tcPr>
            <w:tcW w:w="3402" w:type="dxa"/>
            <w:tcBorders/>
            <w:vAlign w:val="center"/>
          </w:tcPr>
          <w:p>
            <w:pPr>
              <w:pStyle w:val="style0"/>
              <w:spacing w:before="0"/>
              <w:jc w:val="center"/>
              <w:rPr>
                <w:rFonts w:ascii="Arial" w:cs="Arial" w:hAnsi="Arial"/>
                <w:b/>
              </w:rPr>
            </w:pPr>
            <w:r>
              <w:rPr>
                <w:rFonts w:ascii="Arial" w:cs="Arial" w:hAnsi="Arial"/>
                <w:b/>
              </w:rPr>
              <w:t>Profession</w:t>
            </w:r>
          </w:p>
        </w:tc>
        <w:tc>
          <w:tcPr>
            <w:tcW w:w="2551" w:type="dxa"/>
            <w:tcBorders/>
            <w:vAlign w:val="center"/>
          </w:tcPr>
          <w:p>
            <w:pPr>
              <w:pStyle w:val="style0"/>
              <w:spacing w:before="0"/>
              <w:jc w:val="center"/>
              <w:rPr>
                <w:rFonts w:ascii="Arial" w:cs="Arial" w:hAnsi="Arial"/>
                <w:b/>
              </w:rPr>
            </w:pPr>
            <w:r>
              <w:rPr>
                <w:rFonts w:ascii="Arial" w:cs="Arial" w:hAnsi="Arial"/>
                <w:b/>
              </w:rPr>
              <w:t>Téléphone</w:t>
            </w:r>
          </w:p>
        </w:tc>
        <w:tc>
          <w:tcPr>
            <w:tcW w:w="2693" w:type="dxa"/>
            <w:tcBorders/>
            <w:vAlign w:val="center"/>
          </w:tcPr>
          <w:p>
            <w:pPr>
              <w:pStyle w:val="style0"/>
              <w:spacing w:before="0"/>
              <w:jc w:val="center"/>
              <w:rPr>
                <w:rFonts w:ascii="Arial" w:cs="Arial" w:hAnsi="Arial"/>
                <w:b/>
              </w:rPr>
            </w:pPr>
            <w:r>
              <w:rPr>
                <w:rFonts w:ascii="Arial" w:cs="Arial" w:hAnsi="Arial"/>
                <w:b/>
              </w:rPr>
              <w:t>Signature/Empreinte</w:t>
            </w:r>
          </w:p>
        </w:tc>
      </w:tr>
      <w:tr>
        <w:tblPrEx/>
        <w:trPr/>
        <w:tc>
          <w:tcPr>
            <w:tcW w:w="675" w:type="dxa"/>
            <w:tcBorders/>
            <w:vAlign w:val="center"/>
          </w:tcPr>
          <w:p>
            <w:pPr>
              <w:pStyle w:val="style0"/>
              <w:spacing w:before="0"/>
              <w:jc w:val="center"/>
              <w:rPr>
                <w:rFonts w:ascii="Arial" w:cs="Arial" w:hAnsi="Arial"/>
              </w:rPr>
            </w:pPr>
            <w:r>
              <w:rPr>
                <w:rFonts w:ascii="Arial" w:cs="Arial" w:hAnsi="Arial"/>
              </w:rPr>
              <w:t>01</w:t>
            </w:r>
          </w:p>
        </w:tc>
        <w:tc>
          <w:tcPr>
            <w:tcW w:w="3289" w:type="dxa"/>
            <w:tcBorders/>
            <w:vAlign w:val="center"/>
          </w:tcPr>
          <w:p>
            <w:pPr>
              <w:pStyle w:val="style0"/>
              <w:spacing w:before="0"/>
              <w:rPr>
                <w:rFonts w:ascii="Arial" w:cs="Arial" w:hAnsi="Arial"/>
              </w:rPr>
            </w:pPr>
            <w:r>
              <w:rPr>
                <w:rFonts w:ascii="Arial" w:cs="Arial" w:hAnsi="Arial"/>
              </w:rPr>
              <w:t>ZOROME Madi</w:t>
            </w:r>
          </w:p>
        </w:tc>
        <w:tc>
          <w:tcPr>
            <w:tcW w:w="1560" w:type="dxa"/>
            <w:tcBorders/>
          </w:tcPr>
          <w:p>
            <w:pPr>
              <w:pStyle w:val="style0"/>
              <w:spacing w:before="0"/>
              <w:jc w:val="center"/>
              <w:rPr/>
            </w:pPr>
            <w:r>
              <w:rPr>
                <w:rFonts w:ascii="Arial" w:cs="Arial" w:hAnsi="Arial"/>
                <w:lang w:val="de-DE"/>
              </w:rPr>
              <w:t>M</w:t>
            </w:r>
          </w:p>
        </w:tc>
        <w:tc>
          <w:tcPr>
            <w:tcW w:w="3402" w:type="dxa"/>
            <w:tcBorders/>
            <w:vAlign w:val="center"/>
          </w:tcPr>
          <w:p>
            <w:pPr>
              <w:pStyle w:val="style0"/>
              <w:spacing w:before="0"/>
              <w:rPr>
                <w:rFonts w:ascii="Arial" w:cs="Arial" w:hAnsi="Arial"/>
              </w:rPr>
            </w:pPr>
            <w:r>
              <w:rPr>
                <w:rFonts w:ascii="Arial" w:cs="Arial" w:hAnsi="Arial"/>
              </w:rPr>
              <w:t>Chef de Terre</w:t>
            </w:r>
          </w:p>
        </w:tc>
        <w:tc>
          <w:tcPr>
            <w:tcW w:w="2551" w:type="dxa"/>
            <w:tcBorders/>
            <w:vAlign w:val="center"/>
          </w:tcPr>
          <w:p>
            <w:pPr>
              <w:pStyle w:val="style0"/>
              <w:spacing w:before="0"/>
              <w:jc w:val="center"/>
              <w:rPr>
                <w:rFonts w:ascii="Arial" w:cs="Arial" w:hAnsi="Arial"/>
              </w:rPr>
            </w:pP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02</w:t>
            </w:r>
          </w:p>
        </w:tc>
        <w:tc>
          <w:tcPr>
            <w:tcW w:w="3289" w:type="dxa"/>
            <w:tcBorders/>
            <w:vAlign w:val="center"/>
          </w:tcPr>
          <w:p>
            <w:pPr>
              <w:pStyle w:val="style0"/>
              <w:spacing w:before="0"/>
              <w:rPr>
                <w:rFonts w:ascii="Arial" w:cs="Arial" w:hAnsi="Arial"/>
                <w:lang w:val="de-DE"/>
              </w:rPr>
            </w:pPr>
            <w:r>
              <w:rPr>
                <w:rFonts w:ascii="Arial" w:cs="Arial" w:hAnsi="Arial"/>
                <w:lang w:val="de-DE"/>
              </w:rPr>
              <w:t>BANGORO Madou</w:t>
            </w:r>
          </w:p>
        </w:tc>
        <w:tc>
          <w:tcPr>
            <w:tcW w:w="1560" w:type="dxa"/>
            <w:tcBorders/>
          </w:tcPr>
          <w:p>
            <w:pPr>
              <w:pStyle w:val="style0"/>
              <w:spacing w:before="0"/>
              <w:jc w:val="center"/>
              <w:rPr/>
            </w:pPr>
            <w:r>
              <w:rPr>
                <w:rFonts w:ascii="Arial" w:cs="Arial" w:hAnsi="Arial"/>
                <w:lang w:val="de-DE"/>
              </w:rPr>
              <w:t>M</w:t>
            </w:r>
          </w:p>
        </w:tc>
        <w:tc>
          <w:tcPr>
            <w:tcW w:w="3402" w:type="dxa"/>
            <w:tcBorders/>
            <w:vAlign w:val="center"/>
          </w:tcPr>
          <w:p>
            <w:pPr>
              <w:pStyle w:val="style0"/>
              <w:spacing w:before="0"/>
              <w:rPr>
                <w:rFonts w:ascii="Arial" w:cs="Arial" w:hAnsi="Arial"/>
              </w:rPr>
            </w:pPr>
            <w:r>
              <w:rPr>
                <w:rFonts w:ascii="Arial" w:cs="Arial" w:hAnsi="Arial"/>
              </w:rPr>
              <w:t>Cultivateur</w:t>
            </w:r>
          </w:p>
        </w:tc>
        <w:tc>
          <w:tcPr>
            <w:tcW w:w="2551" w:type="dxa"/>
            <w:tcBorders/>
            <w:vAlign w:val="center"/>
          </w:tcPr>
          <w:p>
            <w:pPr>
              <w:pStyle w:val="style0"/>
              <w:spacing w:before="0"/>
              <w:jc w:val="center"/>
              <w:rPr>
                <w:rFonts w:ascii="Arial" w:cs="Arial" w:hAnsi="Arial"/>
                <w:lang w:val="de-DE"/>
              </w:rPr>
            </w:pPr>
            <w:r>
              <w:rPr>
                <w:rFonts w:ascii="Arial" w:cs="Arial" w:hAnsi="Arial"/>
                <w:lang w:val="de-DE"/>
              </w:rPr>
              <w:t>76 08 12 66</w:t>
            </w:r>
          </w:p>
        </w:tc>
        <w:tc>
          <w:tcPr>
            <w:tcW w:w="2693" w:type="dxa"/>
            <w:tcBorders/>
            <w:vAlign w:val="center"/>
          </w:tcPr>
          <w:p>
            <w:pPr>
              <w:pStyle w:val="style0"/>
              <w:spacing w:before="0"/>
              <w:jc w:val="center"/>
              <w:rPr>
                <w:rFonts w:ascii="Arial" w:cs="Arial" w:hAnsi="Arial"/>
                <w:lang w:val="de-DE"/>
              </w:rPr>
            </w:pPr>
          </w:p>
        </w:tc>
      </w:tr>
      <w:tr>
        <w:tblPrEx/>
        <w:trPr/>
        <w:tc>
          <w:tcPr>
            <w:tcW w:w="675" w:type="dxa"/>
            <w:tcBorders/>
            <w:vAlign w:val="center"/>
          </w:tcPr>
          <w:p>
            <w:pPr>
              <w:pStyle w:val="style0"/>
              <w:spacing w:before="0"/>
              <w:jc w:val="center"/>
              <w:rPr>
                <w:rFonts w:ascii="Arial" w:cs="Arial" w:hAnsi="Arial"/>
                <w:lang w:val="de-DE"/>
              </w:rPr>
            </w:pPr>
            <w:r>
              <w:rPr>
                <w:rFonts w:ascii="Arial" w:cs="Arial" w:hAnsi="Arial"/>
                <w:lang w:val="de-DE"/>
              </w:rPr>
              <w:t>03</w:t>
            </w:r>
          </w:p>
        </w:tc>
        <w:tc>
          <w:tcPr>
            <w:tcW w:w="3289" w:type="dxa"/>
            <w:tcBorders/>
            <w:vAlign w:val="center"/>
          </w:tcPr>
          <w:p>
            <w:pPr>
              <w:pStyle w:val="style0"/>
              <w:spacing w:before="0"/>
              <w:rPr>
                <w:rFonts w:ascii="Arial" w:cs="Arial" w:hAnsi="Arial"/>
                <w:lang w:val="de-DE"/>
              </w:rPr>
            </w:pPr>
            <w:r>
              <w:rPr>
                <w:rFonts w:ascii="Arial" w:cs="Arial" w:hAnsi="Arial"/>
                <w:lang w:val="de-DE"/>
              </w:rPr>
              <w:t>KONATE Madou</w:t>
            </w:r>
          </w:p>
        </w:tc>
        <w:tc>
          <w:tcPr>
            <w:tcW w:w="1560" w:type="dxa"/>
            <w:tcBorders/>
          </w:tcPr>
          <w:p>
            <w:pPr>
              <w:pStyle w:val="style0"/>
              <w:spacing w:before="0"/>
              <w:jc w:val="center"/>
              <w:rPr/>
            </w:pPr>
            <w:r>
              <w:rPr>
                <w:rFonts w:ascii="Arial" w:cs="Arial" w:hAnsi="Arial"/>
                <w:lang w:val="de-DE"/>
              </w:rPr>
              <w:t>M</w:t>
            </w:r>
          </w:p>
        </w:tc>
        <w:tc>
          <w:tcPr>
            <w:tcW w:w="3402" w:type="dxa"/>
            <w:tcBorders/>
          </w:tcPr>
          <w:p>
            <w:pPr>
              <w:pStyle w:val="style0"/>
              <w:spacing w:before="0"/>
              <w:rPr/>
            </w:pPr>
            <w:r>
              <w:rPr>
                <w:rFonts w:ascii="Arial" w:cs="Arial" w:hAnsi="Arial"/>
              </w:rPr>
              <w:t>Cultivateur</w:t>
            </w:r>
          </w:p>
        </w:tc>
        <w:tc>
          <w:tcPr>
            <w:tcW w:w="2551" w:type="dxa"/>
            <w:tcBorders/>
            <w:vAlign w:val="center"/>
          </w:tcPr>
          <w:p>
            <w:pPr>
              <w:pStyle w:val="style0"/>
              <w:spacing w:before="0"/>
              <w:jc w:val="center"/>
              <w:rPr>
                <w:rFonts w:ascii="Arial" w:cs="Arial" w:hAnsi="Arial"/>
                <w:lang w:val="de-DE"/>
              </w:rPr>
            </w:pPr>
            <w:r>
              <w:rPr>
                <w:rFonts w:ascii="Arial" w:cs="Arial" w:hAnsi="Arial"/>
                <w:lang w:val="de-DE"/>
              </w:rPr>
              <w:t>71 14 69 36</w:t>
            </w:r>
          </w:p>
        </w:tc>
        <w:tc>
          <w:tcPr>
            <w:tcW w:w="2693" w:type="dxa"/>
            <w:tcBorders/>
            <w:vAlign w:val="center"/>
          </w:tcPr>
          <w:p>
            <w:pPr>
              <w:pStyle w:val="style0"/>
              <w:spacing w:before="0"/>
              <w:jc w:val="center"/>
              <w:rPr>
                <w:rFonts w:ascii="Arial" w:cs="Arial" w:hAnsi="Arial"/>
                <w:lang w:val="de-DE"/>
              </w:rPr>
            </w:pPr>
          </w:p>
        </w:tc>
      </w:tr>
      <w:tr>
        <w:tblPrEx/>
        <w:trPr/>
        <w:tc>
          <w:tcPr>
            <w:tcW w:w="675" w:type="dxa"/>
            <w:tcBorders/>
            <w:vAlign w:val="center"/>
          </w:tcPr>
          <w:p>
            <w:pPr>
              <w:pStyle w:val="style0"/>
              <w:spacing w:before="0"/>
              <w:jc w:val="center"/>
              <w:rPr>
                <w:rFonts w:ascii="Arial" w:cs="Arial" w:hAnsi="Arial"/>
                <w:lang w:val="de-DE"/>
              </w:rPr>
            </w:pPr>
            <w:r>
              <w:rPr>
                <w:rFonts w:ascii="Arial" w:cs="Arial" w:hAnsi="Arial"/>
                <w:lang w:val="de-DE"/>
              </w:rPr>
              <w:t>04</w:t>
            </w:r>
          </w:p>
        </w:tc>
        <w:tc>
          <w:tcPr>
            <w:tcW w:w="3289" w:type="dxa"/>
            <w:tcBorders/>
            <w:vAlign w:val="center"/>
          </w:tcPr>
          <w:p>
            <w:pPr>
              <w:pStyle w:val="style0"/>
              <w:spacing w:before="0"/>
              <w:rPr>
                <w:rFonts w:ascii="Arial" w:cs="Arial" w:hAnsi="Arial"/>
                <w:lang w:val="de-DE"/>
              </w:rPr>
            </w:pPr>
            <w:r>
              <w:rPr>
                <w:rFonts w:ascii="Arial" w:cs="Arial" w:hAnsi="Arial"/>
                <w:lang w:val="de-DE"/>
              </w:rPr>
              <w:t>ZOROME Zoumana</w:t>
            </w:r>
          </w:p>
        </w:tc>
        <w:tc>
          <w:tcPr>
            <w:tcW w:w="1560" w:type="dxa"/>
            <w:tcBorders/>
          </w:tcPr>
          <w:p>
            <w:pPr>
              <w:pStyle w:val="style0"/>
              <w:spacing w:before="0"/>
              <w:jc w:val="center"/>
              <w:rPr/>
            </w:pPr>
            <w:r>
              <w:rPr>
                <w:rFonts w:ascii="Arial" w:cs="Arial" w:hAnsi="Arial"/>
                <w:lang w:val="de-DE"/>
              </w:rPr>
              <w:t>M</w:t>
            </w:r>
          </w:p>
        </w:tc>
        <w:tc>
          <w:tcPr>
            <w:tcW w:w="3402" w:type="dxa"/>
            <w:tcBorders/>
          </w:tcPr>
          <w:p>
            <w:pPr>
              <w:pStyle w:val="style0"/>
              <w:spacing w:before="0"/>
              <w:rPr/>
            </w:pPr>
            <w:r>
              <w:rPr>
                <w:rFonts w:ascii="Arial" w:cs="Arial" w:hAnsi="Arial"/>
              </w:rPr>
              <w:t>Cultivateur</w:t>
            </w:r>
          </w:p>
        </w:tc>
        <w:tc>
          <w:tcPr>
            <w:tcW w:w="2551" w:type="dxa"/>
            <w:tcBorders/>
            <w:vAlign w:val="center"/>
          </w:tcPr>
          <w:p>
            <w:pPr>
              <w:pStyle w:val="style0"/>
              <w:spacing w:before="0"/>
              <w:jc w:val="center"/>
              <w:rPr>
                <w:rFonts w:ascii="Arial" w:cs="Arial" w:hAnsi="Arial"/>
              </w:rPr>
            </w:pPr>
            <w:r>
              <w:rPr>
                <w:rFonts w:ascii="Arial" w:cs="Arial" w:hAnsi="Arial"/>
              </w:rPr>
              <w:t>51 18 84 32</w:t>
            </w:r>
          </w:p>
        </w:tc>
        <w:tc>
          <w:tcPr>
            <w:tcW w:w="2693"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lang w:val="de-DE"/>
              </w:rPr>
            </w:pPr>
            <w:r>
              <w:rPr>
                <w:rFonts w:ascii="Arial" w:cs="Arial" w:hAnsi="Arial"/>
                <w:lang w:val="de-DE"/>
              </w:rPr>
              <w:t>05</w:t>
            </w:r>
          </w:p>
        </w:tc>
        <w:tc>
          <w:tcPr>
            <w:tcW w:w="3289" w:type="dxa"/>
            <w:tcBorders/>
            <w:vAlign w:val="center"/>
          </w:tcPr>
          <w:p>
            <w:pPr>
              <w:pStyle w:val="style0"/>
              <w:spacing w:before="0"/>
              <w:rPr>
                <w:rFonts w:ascii="Arial" w:cs="Arial" w:hAnsi="Arial"/>
                <w:lang w:val="de-DE"/>
              </w:rPr>
            </w:pPr>
            <w:r>
              <w:rPr>
                <w:rFonts w:ascii="Arial" w:cs="Arial" w:hAnsi="Arial"/>
                <w:lang w:val="de-DE"/>
              </w:rPr>
              <w:t>ZOROME Bakri</w:t>
            </w:r>
          </w:p>
        </w:tc>
        <w:tc>
          <w:tcPr>
            <w:tcW w:w="1560" w:type="dxa"/>
            <w:tcBorders/>
          </w:tcPr>
          <w:p>
            <w:pPr>
              <w:pStyle w:val="style0"/>
              <w:spacing w:before="0"/>
              <w:jc w:val="center"/>
              <w:rPr/>
            </w:pPr>
            <w:r>
              <w:rPr>
                <w:rFonts w:ascii="Arial" w:cs="Arial" w:hAnsi="Arial"/>
                <w:lang w:val="de-DE"/>
              </w:rPr>
              <w:t>M</w:t>
            </w:r>
          </w:p>
        </w:tc>
        <w:tc>
          <w:tcPr>
            <w:tcW w:w="3402" w:type="dxa"/>
            <w:tcBorders/>
          </w:tcPr>
          <w:p>
            <w:pPr>
              <w:pStyle w:val="style0"/>
              <w:spacing w:before="0"/>
              <w:rPr/>
            </w:pPr>
            <w:r>
              <w:rPr>
                <w:rFonts w:ascii="Arial" w:cs="Arial" w:hAnsi="Arial"/>
              </w:rPr>
              <w:t>Cultivateur</w:t>
            </w:r>
          </w:p>
        </w:tc>
        <w:tc>
          <w:tcPr>
            <w:tcW w:w="2551" w:type="dxa"/>
            <w:tcBorders/>
            <w:vAlign w:val="center"/>
          </w:tcPr>
          <w:p>
            <w:pPr>
              <w:pStyle w:val="style0"/>
              <w:spacing w:before="0"/>
              <w:jc w:val="center"/>
              <w:rPr>
                <w:rFonts w:ascii="Arial" w:cs="Arial" w:hAnsi="Arial"/>
              </w:rPr>
            </w:pPr>
          </w:p>
        </w:tc>
        <w:tc>
          <w:tcPr>
            <w:tcW w:w="2693" w:type="dxa"/>
            <w:tcBorders/>
            <w:vAlign w:val="center"/>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06</w:t>
            </w:r>
          </w:p>
        </w:tc>
        <w:tc>
          <w:tcPr>
            <w:tcW w:w="3289" w:type="dxa"/>
            <w:tcBorders/>
          </w:tcPr>
          <w:p>
            <w:pPr>
              <w:pStyle w:val="style0"/>
              <w:spacing w:before="0"/>
              <w:rPr>
                <w:rFonts w:ascii="Arial" w:cs="Arial" w:hAnsi="Arial"/>
              </w:rPr>
            </w:pPr>
            <w:r>
              <w:rPr>
                <w:rFonts w:ascii="Arial" w:cs="Arial" w:hAnsi="Arial"/>
              </w:rPr>
              <w:t>ZOROME Lassina</w:t>
            </w:r>
          </w:p>
        </w:tc>
        <w:tc>
          <w:tcPr>
            <w:tcW w:w="1560" w:type="dxa"/>
            <w:tcBorders/>
          </w:tcPr>
          <w:p>
            <w:pPr>
              <w:pStyle w:val="style0"/>
              <w:spacing w:before="0"/>
              <w:jc w:val="center"/>
              <w:rPr/>
            </w:pPr>
            <w:r>
              <w:rPr>
                <w:rFonts w:ascii="Arial" w:cs="Arial" w:hAnsi="Arial"/>
                <w:lang w:val="de-DE"/>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72 32 25 39</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07</w:t>
            </w:r>
          </w:p>
        </w:tc>
        <w:tc>
          <w:tcPr>
            <w:tcW w:w="3289" w:type="dxa"/>
            <w:tcBorders/>
          </w:tcPr>
          <w:p>
            <w:pPr>
              <w:pStyle w:val="style0"/>
              <w:spacing w:before="0"/>
              <w:rPr>
                <w:rFonts w:ascii="Arial" w:cs="Arial" w:hAnsi="Arial"/>
                <w:lang w:val="de-DE"/>
              </w:rPr>
            </w:pPr>
            <w:r>
              <w:rPr>
                <w:rFonts w:ascii="Arial" w:cs="Arial" w:hAnsi="Arial"/>
                <w:lang w:val="de-DE"/>
              </w:rPr>
              <w:t>ZOROME Boureima</w:t>
            </w:r>
          </w:p>
        </w:tc>
        <w:tc>
          <w:tcPr>
            <w:tcW w:w="1560" w:type="dxa"/>
            <w:tcBorders/>
          </w:tcPr>
          <w:p>
            <w:pPr>
              <w:pStyle w:val="style0"/>
              <w:spacing w:before="0"/>
              <w:jc w:val="center"/>
              <w:rPr/>
            </w:pPr>
            <w:r>
              <w:rPr>
                <w:rFonts w:ascii="Arial" w:cs="Arial" w:hAnsi="Arial"/>
                <w:lang w:val="de-DE"/>
              </w:rPr>
              <w:t>M</w:t>
            </w:r>
          </w:p>
        </w:tc>
        <w:tc>
          <w:tcPr>
            <w:tcW w:w="3402" w:type="dxa"/>
            <w:tcBorders/>
          </w:tcPr>
          <w:p>
            <w:pPr>
              <w:pStyle w:val="style0"/>
              <w:spacing w:before="0"/>
              <w:rPr>
                <w:rFonts w:ascii="Arial" w:cs="Arial" w:hAnsi="Arial"/>
              </w:rPr>
            </w:pPr>
            <w:r>
              <w:rPr>
                <w:rFonts w:ascii="Arial" w:cs="Arial" w:hAnsi="Arial"/>
              </w:rPr>
              <w:t>Conseiller</w:t>
            </w:r>
          </w:p>
        </w:tc>
        <w:tc>
          <w:tcPr>
            <w:tcW w:w="2551" w:type="dxa"/>
            <w:tcBorders/>
          </w:tcPr>
          <w:p>
            <w:pPr>
              <w:pStyle w:val="style0"/>
              <w:spacing w:before="0"/>
              <w:jc w:val="center"/>
              <w:rPr>
                <w:rFonts w:ascii="Arial" w:cs="Arial" w:hAnsi="Arial"/>
                <w:lang w:val="de-DE"/>
              </w:rPr>
            </w:pPr>
            <w:r>
              <w:rPr>
                <w:rFonts w:ascii="Arial" w:cs="Arial" w:hAnsi="Arial"/>
                <w:lang w:val="de-DE"/>
              </w:rPr>
              <w:t>73 05 91 74</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08</w:t>
            </w:r>
          </w:p>
        </w:tc>
        <w:tc>
          <w:tcPr>
            <w:tcW w:w="3289" w:type="dxa"/>
            <w:tcBorders/>
          </w:tcPr>
          <w:p>
            <w:pPr>
              <w:pStyle w:val="style0"/>
              <w:spacing w:before="0"/>
              <w:rPr>
                <w:rFonts w:ascii="Arial" w:cs="Arial" w:hAnsi="Arial"/>
                <w:lang w:val="de-DE"/>
              </w:rPr>
            </w:pPr>
            <w:r>
              <w:rPr>
                <w:rFonts w:ascii="Arial" w:cs="Arial" w:hAnsi="Arial"/>
                <w:lang w:val="de-DE"/>
              </w:rPr>
              <w:t>DEME Bakari</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lang w:val="de-DE"/>
              </w:rPr>
            </w:pPr>
            <w:r>
              <w:rPr>
                <w:rFonts w:ascii="Arial" w:cs="Arial" w:hAnsi="Arial"/>
                <w:lang w:val="de-DE"/>
              </w:rPr>
              <w:t>71 49 32 46</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09</w:t>
            </w:r>
          </w:p>
        </w:tc>
        <w:tc>
          <w:tcPr>
            <w:tcW w:w="3289" w:type="dxa"/>
            <w:tcBorders/>
          </w:tcPr>
          <w:p>
            <w:pPr>
              <w:pStyle w:val="style0"/>
              <w:spacing w:before="0"/>
              <w:rPr>
                <w:rFonts w:ascii="Arial" w:cs="Arial" w:hAnsi="Arial"/>
                <w:lang w:val="de-DE"/>
              </w:rPr>
            </w:pPr>
            <w:r>
              <w:rPr>
                <w:rFonts w:ascii="Arial" w:cs="Arial" w:hAnsi="Arial"/>
                <w:lang w:val="de-DE"/>
              </w:rPr>
              <w:t>DRAME Lassana</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70 49 31 96</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10</w:t>
            </w:r>
          </w:p>
        </w:tc>
        <w:tc>
          <w:tcPr>
            <w:tcW w:w="3289" w:type="dxa"/>
            <w:tcBorders/>
          </w:tcPr>
          <w:p>
            <w:pPr>
              <w:pStyle w:val="style0"/>
              <w:spacing w:before="0"/>
              <w:rPr>
                <w:rFonts w:ascii="Arial" w:cs="Arial" w:hAnsi="Arial"/>
                <w:lang w:val="de-DE"/>
              </w:rPr>
            </w:pPr>
            <w:r>
              <w:rPr>
                <w:rFonts w:ascii="Arial" w:cs="Arial" w:hAnsi="Arial"/>
                <w:lang w:val="de-DE"/>
              </w:rPr>
              <w:t>KONATE Nouhou</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51 35 97 43</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11</w:t>
            </w:r>
          </w:p>
        </w:tc>
        <w:tc>
          <w:tcPr>
            <w:tcW w:w="3289" w:type="dxa"/>
            <w:tcBorders/>
          </w:tcPr>
          <w:p>
            <w:pPr>
              <w:pStyle w:val="style0"/>
              <w:spacing w:before="0"/>
              <w:rPr>
                <w:rFonts w:ascii="Arial" w:cs="Arial" w:hAnsi="Arial"/>
              </w:rPr>
            </w:pPr>
            <w:r>
              <w:rPr>
                <w:rFonts w:ascii="Arial" w:cs="Arial" w:hAnsi="Arial"/>
              </w:rPr>
              <w:t>ZONGO Rahingsom</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54 85 49 38</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12</w:t>
            </w:r>
          </w:p>
        </w:tc>
        <w:tc>
          <w:tcPr>
            <w:tcW w:w="3289" w:type="dxa"/>
            <w:tcBorders/>
          </w:tcPr>
          <w:p>
            <w:pPr>
              <w:pStyle w:val="style0"/>
              <w:spacing w:before="0"/>
              <w:rPr>
                <w:rFonts w:ascii="Arial" w:cs="Arial" w:hAnsi="Arial"/>
                <w:lang w:val="de-DE"/>
              </w:rPr>
            </w:pPr>
            <w:r>
              <w:rPr>
                <w:rFonts w:ascii="Arial" w:cs="Arial" w:hAnsi="Arial"/>
                <w:lang w:val="de-DE"/>
              </w:rPr>
              <w:t>ZOUON Issouf</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lang w:val="de-DE"/>
              </w:rPr>
            </w:pPr>
            <w:r>
              <w:rPr>
                <w:rFonts w:ascii="Arial" w:cs="Arial" w:hAnsi="Arial"/>
                <w:lang w:val="de-DE"/>
              </w:rPr>
              <w:t>57 02 30 26</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13</w:t>
            </w:r>
          </w:p>
        </w:tc>
        <w:tc>
          <w:tcPr>
            <w:tcW w:w="3289" w:type="dxa"/>
            <w:tcBorders/>
          </w:tcPr>
          <w:p>
            <w:pPr>
              <w:pStyle w:val="style0"/>
              <w:spacing w:before="0"/>
              <w:rPr>
                <w:rFonts w:ascii="Arial" w:cs="Arial" w:hAnsi="Arial"/>
                <w:lang w:val="de-DE"/>
              </w:rPr>
            </w:pPr>
            <w:r>
              <w:rPr>
                <w:rFonts w:ascii="Arial" w:cs="Arial" w:hAnsi="Arial"/>
                <w:lang w:val="de-DE"/>
              </w:rPr>
              <w:t>BANGORO Siaka</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lang w:val="de-DE"/>
              </w:rPr>
            </w:pPr>
            <w:r>
              <w:rPr>
                <w:rFonts w:ascii="Arial" w:cs="Arial" w:hAnsi="Arial"/>
                <w:lang w:val="de-DE"/>
              </w:rPr>
              <w:t>57 22 90 93</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14</w:t>
            </w:r>
          </w:p>
        </w:tc>
        <w:tc>
          <w:tcPr>
            <w:tcW w:w="3289" w:type="dxa"/>
            <w:tcBorders/>
          </w:tcPr>
          <w:p>
            <w:pPr>
              <w:pStyle w:val="style0"/>
              <w:spacing w:before="0"/>
              <w:rPr>
                <w:rFonts w:ascii="Arial" w:cs="Arial" w:hAnsi="Arial"/>
                <w:lang w:val="de-DE"/>
              </w:rPr>
            </w:pPr>
            <w:r>
              <w:rPr>
                <w:rFonts w:ascii="Arial" w:cs="Arial" w:hAnsi="Arial"/>
                <w:lang w:val="de-DE"/>
              </w:rPr>
              <w:t>ZOUON Fatoumata</w:t>
            </w:r>
          </w:p>
        </w:tc>
        <w:tc>
          <w:tcPr>
            <w:tcW w:w="1560" w:type="dxa"/>
            <w:tcBorders/>
          </w:tcPr>
          <w:p>
            <w:pPr>
              <w:pStyle w:val="style0"/>
              <w:spacing w:before="0"/>
              <w:jc w:val="center"/>
              <w:rPr>
                <w:lang w:val="de-DE"/>
              </w:rPr>
            </w:pPr>
            <w:r>
              <w:rPr>
                <w:lang w:val="de-DE"/>
              </w:rPr>
              <w:t>F</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15</w:t>
            </w:r>
          </w:p>
        </w:tc>
        <w:tc>
          <w:tcPr>
            <w:tcW w:w="3289" w:type="dxa"/>
            <w:tcBorders/>
          </w:tcPr>
          <w:p>
            <w:pPr>
              <w:pStyle w:val="style0"/>
              <w:spacing w:before="0"/>
              <w:rPr>
                <w:rFonts w:ascii="Arial" w:cs="Arial" w:hAnsi="Arial"/>
                <w:lang w:val="de-DE"/>
              </w:rPr>
            </w:pPr>
            <w:r>
              <w:rPr>
                <w:rFonts w:ascii="Arial" w:cs="Arial" w:hAnsi="Arial"/>
                <w:lang w:val="de-DE"/>
              </w:rPr>
              <w:t>SANGARE Djénéba</w:t>
            </w:r>
          </w:p>
        </w:tc>
        <w:tc>
          <w:tcPr>
            <w:tcW w:w="1560" w:type="dxa"/>
            <w:tcBorders/>
          </w:tcPr>
          <w:p>
            <w:pPr>
              <w:pStyle w:val="style0"/>
              <w:spacing w:before="0"/>
              <w:jc w:val="center"/>
              <w:rPr>
                <w:rFonts w:ascii="Arial" w:cs="Arial" w:hAnsi="Arial"/>
                <w:lang w:val="de-DE"/>
              </w:rPr>
            </w:pPr>
            <w:r>
              <w:rPr>
                <w:rFonts w:ascii="Arial" w:cs="Arial" w:hAnsi="Arial"/>
                <w:lang w:val="de-DE"/>
              </w:rPr>
              <w:t>F</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16</w:t>
            </w:r>
          </w:p>
        </w:tc>
        <w:tc>
          <w:tcPr>
            <w:tcW w:w="3289" w:type="dxa"/>
            <w:tcBorders/>
          </w:tcPr>
          <w:p>
            <w:pPr>
              <w:pStyle w:val="style0"/>
              <w:spacing w:before="0"/>
              <w:rPr>
                <w:rFonts w:ascii="Arial" w:cs="Arial" w:hAnsi="Arial"/>
              </w:rPr>
            </w:pPr>
            <w:r>
              <w:rPr>
                <w:rFonts w:ascii="Arial" w:cs="Arial" w:hAnsi="Arial"/>
              </w:rPr>
              <w:t>DIARRA Soulemane</w:t>
            </w:r>
          </w:p>
        </w:tc>
        <w:tc>
          <w:tcPr>
            <w:tcW w:w="1560" w:type="dxa"/>
            <w:tcBorders/>
          </w:tcPr>
          <w:p>
            <w:pPr>
              <w:pStyle w:val="style0"/>
              <w:spacing w:before="0"/>
              <w:jc w:val="center"/>
              <w:rPr>
                <w:rFonts w:ascii="Arial" w:cs="Arial" w:hAnsi="Arial"/>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73 31 96 89</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17</w:t>
            </w:r>
          </w:p>
        </w:tc>
        <w:tc>
          <w:tcPr>
            <w:tcW w:w="3289" w:type="dxa"/>
            <w:tcBorders/>
          </w:tcPr>
          <w:p>
            <w:pPr>
              <w:pStyle w:val="style0"/>
              <w:spacing w:before="0"/>
              <w:rPr>
                <w:rFonts w:ascii="Arial" w:cs="Arial" w:hAnsi="Arial"/>
                <w:lang w:val="de-DE"/>
              </w:rPr>
            </w:pPr>
            <w:r>
              <w:rPr>
                <w:rFonts w:ascii="Arial" w:cs="Arial" w:hAnsi="Arial"/>
                <w:lang w:val="de-DE"/>
              </w:rPr>
              <w:t>DIARRA Fatoumata</w:t>
            </w:r>
          </w:p>
        </w:tc>
        <w:tc>
          <w:tcPr>
            <w:tcW w:w="1560" w:type="dxa"/>
            <w:tcBorders/>
          </w:tcPr>
          <w:p>
            <w:pPr>
              <w:pStyle w:val="style0"/>
              <w:spacing w:before="0"/>
              <w:jc w:val="center"/>
              <w:rPr>
                <w:rFonts w:ascii="Arial" w:cs="Arial" w:hAnsi="Arial"/>
                <w:lang w:val="de-DE"/>
              </w:rPr>
            </w:pPr>
            <w:r>
              <w:rPr>
                <w:rFonts w:ascii="Arial" w:cs="Arial" w:hAnsi="Arial"/>
                <w:lang w:val="de-DE"/>
              </w:rPr>
              <w:t>F</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lang w:val="de-DE"/>
              </w:rPr>
            </w:pPr>
            <w:r>
              <w:rPr>
                <w:rFonts w:ascii="Arial" w:cs="Arial" w:hAnsi="Arial"/>
                <w:lang w:val="de-DE"/>
              </w:rPr>
              <w:t>-</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18</w:t>
            </w:r>
          </w:p>
        </w:tc>
        <w:tc>
          <w:tcPr>
            <w:tcW w:w="3289" w:type="dxa"/>
            <w:tcBorders/>
          </w:tcPr>
          <w:p>
            <w:pPr>
              <w:pStyle w:val="style0"/>
              <w:spacing w:before="0"/>
              <w:rPr>
                <w:rFonts w:ascii="Arial" w:cs="Arial" w:hAnsi="Arial"/>
                <w:lang w:val="de-DE"/>
              </w:rPr>
            </w:pPr>
            <w:r>
              <w:rPr>
                <w:rFonts w:ascii="Arial" w:cs="Arial" w:hAnsi="Arial"/>
                <w:lang w:val="de-DE"/>
              </w:rPr>
              <w:t>DIARRA Djéneba</w:t>
            </w:r>
          </w:p>
        </w:tc>
        <w:tc>
          <w:tcPr>
            <w:tcW w:w="1560" w:type="dxa"/>
            <w:tcBorders/>
          </w:tcPr>
          <w:p>
            <w:pPr>
              <w:pStyle w:val="style0"/>
              <w:spacing w:before="0"/>
              <w:jc w:val="center"/>
              <w:rPr/>
            </w:pPr>
            <w:r>
              <w:rPr>
                <w:rFonts w:ascii="Arial" w:cs="Arial" w:hAnsi="Arial"/>
                <w:lang w:val="de-DE"/>
              </w:rPr>
              <w:t>F</w:t>
            </w:r>
          </w:p>
        </w:tc>
        <w:tc>
          <w:tcPr>
            <w:tcW w:w="3402" w:type="dxa"/>
            <w:tcBorders/>
          </w:tcPr>
          <w:p>
            <w:pPr>
              <w:pStyle w:val="style0"/>
              <w:spacing w:before="0"/>
              <w:rPr>
                <w:rFonts w:ascii="Arial" w:cs="Arial" w:hAnsi="Arial"/>
                <w:lang w:val="de-DE"/>
              </w:rPr>
            </w:pPr>
            <w:r>
              <w:rPr>
                <w:rFonts w:ascii="Arial" w:cs="Arial" w:hAnsi="Arial"/>
                <w:lang w:val="de-DE"/>
              </w:rPr>
              <w:t>Cultivatrice</w:t>
            </w:r>
          </w:p>
        </w:tc>
        <w:tc>
          <w:tcPr>
            <w:tcW w:w="2551" w:type="dxa"/>
            <w:tcBorders/>
          </w:tcPr>
          <w:p>
            <w:pPr>
              <w:pStyle w:val="style0"/>
              <w:spacing w:before="0"/>
              <w:jc w:val="center"/>
              <w:rPr>
                <w:rFonts w:ascii="Arial" w:cs="Arial" w:hAnsi="Arial"/>
                <w:lang w:val="de-DE"/>
              </w:rPr>
            </w:pPr>
            <w:r>
              <w:rPr>
                <w:rFonts w:ascii="Arial" w:cs="Arial" w:hAnsi="Arial"/>
                <w:lang w:val="de-DE"/>
              </w:rPr>
              <w:t>-</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19</w:t>
            </w:r>
          </w:p>
        </w:tc>
        <w:tc>
          <w:tcPr>
            <w:tcW w:w="3289" w:type="dxa"/>
            <w:tcBorders/>
          </w:tcPr>
          <w:p>
            <w:pPr>
              <w:pStyle w:val="style0"/>
              <w:spacing w:before="0"/>
              <w:rPr>
                <w:rFonts w:ascii="Arial" w:cs="Arial" w:hAnsi="Arial"/>
                <w:lang w:val="de-DE"/>
              </w:rPr>
            </w:pPr>
            <w:r>
              <w:rPr>
                <w:rFonts w:ascii="Arial" w:cs="Arial" w:hAnsi="Arial"/>
                <w:lang w:val="de-DE"/>
              </w:rPr>
              <w:t>KONATE Aboussita</w:t>
            </w:r>
          </w:p>
        </w:tc>
        <w:tc>
          <w:tcPr>
            <w:tcW w:w="1560" w:type="dxa"/>
            <w:tcBorders/>
          </w:tcPr>
          <w:p>
            <w:pPr>
              <w:pStyle w:val="style0"/>
              <w:spacing w:before="0"/>
              <w:jc w:val="center"/>
              <w:rPr/>
            </w:pPr>
            <w:r>
              <w:rPr>
                <w:rFonts w:ascii="Arial" w:cs="Arial" w:hAnsi="Arial"/>
                <w:lang w:val="de-DE"/>
              </w:rPr>
              <w:t>F</w:t>
            </w:r>
          </w:p>
        </w:tc>
        <w:tc>
          <w:tcPr>
            <w:tcW w:w="3402" w:type="dxa"/>
            <w:tcBorders/>
          </w:tcPr>
          <w:p>
            <w:pPr>
              <w:pStyle w:val="style0"/>
              <w:spacing w:before="0"/>
              <w:rPr/>
            </w:pPr>
            <w:r>
              <w:rPr>
                <w:rFonts w:ascii="Arial" w:cs="Arial" w:hAnsi="Arial"/>
                <w:lang w:val="de-DE"/>
              </w:rPr>
              <w:t>Cultivatrice</w:t>
            </w:r>
          </w:p>
        </w:tc>
        <w:tc>
          <w:tcPr>
            <w:tcW w:w="2551" w:type="dxa"/>
            <w:tcBorders/>
          </w:tcPr>
          <w:p>
            <w:pPr>
              <w:pStyle w:val="style0"/>
              <w:spacing w:before="0"/>
              <w:jc w:val="center"/>
              <w:rPr>
                <w:rFonts w:ascii="Arial" w:cs="Arial" w:hAnsi="Arial"/>
              </w:rPr>
            </w:pPr>
            <w:r>
              <w:rPr>
                <w:rFonts w:ascii="Arial" w:cs="Arial" w:hAnsi="Arial"/>
              </w:rPr>
              <w:t>-</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20</w:t>
            </w:r>
          </w:p>
        </w:tc>
        <w:tc>
          <w:tcPr>
            <w:tcW w:w="3289" w:type="dxa"/>
            <w:tcBorders/>
          </w:tcPr>
          <w:p>
            <w:pPr>
              <w:pStyle w:val="style0"/>
              <w:spacing w:before="0"/>
              <w:rPr>
                <w:rFonts w:ascii="Arial" w:cs="Arial" w:hAnsi="Arial"/>
                <w:lang w:val="de-DE"/>
              </w:rPr>
            </w:pPr>
            <w:r>
              <w:rPr>
                <w:rFonts w:ascii="Arial" w:cs="Arial" w:hAnsi="Arial"/>
                <w:lang w:val="de-DE"/>
              </w:rPr>
              <w:t>ZOROME Sanata</w:t>
            </w:r>
          </w:p>
        </w:tc>
        <w:tc>
          <w:tcPr>
            <w:tcW w:w="1560" w:type="dxa"/>
            <w:tcBorders/>
          </w:tcPr>
          <w:p>
            <w:pPr>
              <w:pStyle w:val="style0"/>
              <w:spacing w:before="0"/>
              <w:jc w:val="center"/>
              <w:rPr/>
            </w:pPr>
            <w:r>
              <w:rPr>
                <w:rFonts w:ascii="Arial" w:cs="Arial" w:hAnsi="Arial"/>
                <w:lang w:val="de-DE"/>
              </w:rPr>
              <w:t>F</w:t>
            </w:r>
          </w:p>
        </w:tc>
        <w:tc>
          <w:tcPr>
            <w:tcW w:w="3402" w:type="dxa"/>
            <w:tcBorders/>
          </w:tcPr>
          <w:p>
            <w:pPr>
              <w:pStyle w:val="style0"/>
              <w:spacing w:before="0"/>
              <w:rPr/>
            </w:pPr>
            <w:r>
              <w:rPr>
                <w:rFonts w:ascii="Arial" w:cs="Arial" w:hAnsi="Arial"/>
                <w:lang w:val="de-DE"/>
              </w:rPr>
              <w:t>Cultivatrice</w:t>
            </w:r>
          </w:p>
        </w:tc>
        <w:tc>
          <w:tcPr>
            <w:tcW w:w="2551" w:type="dxa"/>
            <w:tcBorders/>
          </w:tcPr>
          <w:p>
            <w:pPr>
              <w:pStyle w:val="style0"/>
              <w:spacing w:before="0"/>
              <w:jc w:val="center"/>
              <w:rPr>
                <w:rFonts w:ascii="Arial" w:cs="Arial" w:hAnsi="Arial"/>
              </w:rPr>
            </w:pPr>
            <w:r>
              <w:rPr>
                <w:rFonts w:ascii="Arial" w:cs="Arial" w:hAnsi="Arial"/>
              </w:rPr>
              <w:t>-</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21</w:t>
            </w:r>
          </w:p>
        </w:tc>
        <w:tc>
          <w:tcPr>
            <w:tcW w:w="3289" w:type="dxa"/>
            <w:tcBorders/>
          </w:tcPr>
          <w:p>
            <w:pPr>
              <w:pStyle w:val="style0"/>
              <w:spacing w:before="0"/>
              <w:rPr>
                <w:rFonts w:ascii="Arial" w:cs="Arial" w:hAnsi="Arial"/>
              </w:rPr>
            </w:pPr>
            <w:r>
              <w:rPr>
                <w:rFonts w:ascii="Arial" w:cs="Arial" w:hAnsi="Arial"/>
              </w:rPr>
              <w:t>BNHORO Sita</w:t>
            </w:r>
          </w:p>
        </w:tc>
        <w:tc>
          <w:tcPr>
            <w:tcW w:w="1560" w:type="dxa"/>
            <w:tcBorders/>
          </w:tcPr>
          <w:p>
            <w:pPr>
              <w:pStyle w:val="style0"/>
              <w:spacing w:before="0"/>
              <w:jc w:val="center"/>
              <w:rPr/>
            </w:pPr>
            <w:r>
              <w:rPr>
                <w:rFonts w:ascii="Arial" w:cs="Arial" w:hAnsi="Arial"/>
                <w:lang w:val="de-DE"/>
              </w:rPr>
              <w:t>F</w:t>
            </w:r>
          </w:p>
        </w:tc>
        <w:tc>
          <w:tcPr>
            <w:tcW w:w="3402" w:type="dxa"/>
            <w:tcBorders/>
          </w:tcPr>
          <w:p>
            <w:pPr>
              <w:pStyle w:val="style0"/>
              <w:spacing w:before="0"/>
              <w:rPr/>
            </w:pPr>
            <w:r>
              <w:rPr>
                <w:rFonts w:ascii="Arial" w:cs="Arial" w:hAnsi="Arial"/>
                <w:lang w:val="de-DE"/>
              </w:rPr>
              <w:t>Cultivatrice</w:t>
            </w:r>
          </w:p>
        </w:tc>
        <w:tc>
          <w:tcPr>
            <w:tcW w:w="2551" w:type="dxa"/>
            <w:tcBorders/>
          </w:tcPr>
          <w:p>
            <w:pPr>
              <w:pStyle w:val="style0"/>
              <w:spacing w:before="0"/>
              <w:jc w:val="center"/>
              <w:rPr>
                <w:rFonts w:ascii="Arial" w:cs="Arial" w:hAnsi="Arial"/>
              </w:rPr>
            </w:pPr>
            <w:r>
              <w:rPr>
                <w:rFonts w:ascii="Arial" w:cs="Arial" w:hAnsi="Arial"/>
              </w:rPr>
              <w:t>-</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22</w:t>
            </w:r>
          </w:p>
        </w:tc>
        <w:tc>
          <w:tcPr>
            <w:tcW w:w="3289" w:type="dxa"/>
            <w:tcBorders/>
          </w:tcPr>
          <w:p>
            <w:pPr>
              <w:pStyle w:val="style0"/>
              <w:spacing w:before="0"/>
              <w:rPr>
                <w:rFonts w:ascii="Arial" w:cs="Arial" w:hAnsi="Arial"/>
                <w:lang w:val="de-DE"/>
              </w:rPr>
            </w:pPr>
            <w:r>
              <w:rPr>
                <w:rFonts w:ascii="Arial" w:cs="Arial" w:hAnsi="Arial"/>
                <w:lang w:val="de-DE"/>
              </w:rPr>
              <w:t>SANOGO Daouda</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rFonts w:ascii="Arial" w:cs="Arial" w:hAnsi="Arial"/>
              </w:rPr>
            </w:pPr>
            <w:r>
              <w:rPr>
                <w:rFonts w:ascii="Arial" w:cs="Arial" w:hAnsi="Arial"/>
              </w:rPr>
              <w:t>Cultivateur</w:t>
            </w:r>
          </w:p>
        </w:tc>
        <w:tc>
          <w:tcPr>
            <w:tcW w:w="2551" w:type="dxa"/>
            <w:tcBorders/>
          </w:tcPr>
          <w:p>
            <w:pPr>
              <w:pStyle w:val="style0"/>
              <w:spacing w:before="0"/>
              <w:jc w:val="center"/>
              <w:rPr>
                <w:rFonts w:ascii="Arial" w:cs="Arial" w:hAnsi="Arial"/>
                <w:lang w:val="de-DE"/>
              </w:rPr>
            </w:pPr>
            <w:r>
              <w:rPr>
                <w:rFonts w:ascii="Arial" w:cs="Arial" w:hAnsi="Arial"/>
                <w:lang w:val="de-DE"/>
              </w:rPr>
              <w:t>-</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23</w:t>
            </w:r>
          </w:p>
        </w:tc>
        <w:tc>
          <w:tcPr>
            <w:tcW w:w="3289" w:type="dxa"/>
            <w:tcBorders/>
          </w:tcPr>
          <w:p>
            <w:pPr>
              <w:pStyle w:val="style0"/>
              <w:spacing w:before="0"/>
              <w:rPr>
                <w:rFonts w:ascii="Arial" w:cs="Arial" w:hAnsi="Arial"/>
                <w:lang w:val="de-DE"/>
              </w:rPr>
            </w:pPr>
            <w:r>
              <w:rPr>
                <w:rFonts w:ascii="Arial" w:cs="Arial" w:hAnsi="Arial"/>
                <w:lang w:val="de-DE"/>
              </w:rPr>
              <w:t>ZOROME Issa</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rFonts w:ascii="Arial" w:cs="Arial" w:hAnsi="Arial"/>
                <w:lang w:val="de-DE"/>
              </w:rPr>
            </w:pPr>
            <w:r>
              <w:rPr>
                <w:rFonts w:ascii="Arial" w:cs="Arial" w:hAnsi="Arial"/>
                <w:lang w:val="de-DE"/>
              </w:rPr>
              <w:t>Chef du village</w:t>
            </w:r>
          </w:p>
        </w:tc>
        <w:tc>
          <w:tcPr>
            <w:tcW w:w="2551" w:type="dxa"/>
            <w:tcBorders/>
          </w:tcPr>
          <w:p>
            <w:pPr>
              <w:pStyle w:val="style0"/>
              <w:spacing w:before="0"/>
              <w:jc w:val="center"/>
              <w:rPr>
                <w:rFonts w:ascii="Arial" w:cs="Arial" w:hAnsi="Arial"/>
                <w:lang w:val="de-DE"/>
              </w:rPr>
            </w:pPr>
            <w:r>
              <w:rPr>
                <w:rFonts w:ascii="Arial" w:cs="Arial" w:hAnsi="Arial"/>
                <w:lang w:val="de-DE"/>
              </w:rPr>
              <w:t>60 98 70 78</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24</w:t>
            </w:r>
          </w:p>
        </w:tc>
        <w:tc>
          <w:tcPr>
            <w:tcW w:w="3289" w:type="dxa"/>
            <w:tcBorders/>
          </w:tcPr>
          <w:p>
            <w:pPr>
              <w:pStyle w:val="style0"/>
              <w:spacing w:before="0"/>
              <w:rPr>
                <w:rFonts w:ascii="Arial" w:cs="Arial" w:hAnsi="Arial"/>
                <w:lang w:val="de-DE"/>
              </w:rPr>
            </w:pPr>
            <w:r>
              <w:rPr>
                <w:rFonts w:ascii="Arial" w:cs="Arial" w:hAnsi="Arial"/>
                <w:lang w:val="de-DE"/>
              </w:rPr>
              <w:t>TRAORE Abdoulaye</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rFonts w:ascii="Arial" w:cs="Arial" w:hAnsi="Arial"/>
                <w:lang w:val="de-DE"/>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25</w:t>
            </w:r>
          </w:p>
        </w:tc>
        <w:tc>
          <w:tcPr>
            <w:tcW w:w="3289" w:type="dxa"/>
            <w:tcBorders/>
          </w:tcPr>
          <w:p>
            <w:pPr>
              <w:pStyle w:val="style0"/>
              <w:spacing w:before="0"/>
              <w:rPr>
                <w:rFonts w:ascii="Arial" w:cs="Arial" w:hAnsi="Arial"/>
                <w:lang w:val="de-DE"/>
              </w:rPr>
            </w:pPr>
            <w:r>
              <w:rPr>
                <w:rFonts w:ascii="Arial" w:cs="Arial" w:hAnsi="Arial"/>
                <w:lang w:val="de-DE"/>
              </w:rPr>
              <w:t>ZOROME Zakaria</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rFonts w:ascii="Arial" w:cs="Arial" w:hAnsi="Arial"/>
              </w:rPr>
            </w:pPr>
            <w:r>
              <w:rPr>
                <w:rFonts w:ascii="Arial" w:cs="Arial" w:hAnsi="Arial"/>
              </w:rPr>
              <w:t>CDV</w:t>
            </w:r>
          </w:p>
        </w:tc>
        <w:tc>
          <w:tcPr>
            <w:tcW w:w="2551" w:type="dxa"/>
            <w:tcBorders/>
          </w:tcPr>
          <w:p>
            <w:pPr>
              <w:pStyle w:val="style0"/>
              <w:spacing w:before="0"/>
              <w:jc w:val="center"/>
              <w:rPr>
                <w:rFonts w:ascii="Arial" w:cs="Arial" w:hAnsi="Arial"/>
              </w:rPr>
            </w:pPr>
            <w:r>
              <w:rPr>
                <w:rFonts w:ascii="Arial" w:cs="Arial" w:hAnsi="Arial"/>
              </w:rPr>
              <w:t>-</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26</w:t>
            </w:r>
          </w:p>
        </w:tc>
        <w:tc>
          <w:tcPr>
            <w:tcW w:w="3289" w:type="dxa"/>
            <w:tcBorders/>
          </w:tcPr>
          <w:p>
            <w:pPr>
              <w:pStyle w:val="style0"/>
              <w:spacing w:before="0"/>
              <w:rPr>
                <w:rFonts w:ascii="Arial" w:cs="Arial" w:hAnsi="Arial"/>
              </w:rPr>
            </w:pPr>
            <w:r>
              <w:rPr>
                <w:rFonts w:ascii="Arial" w:cs="Arial" w:hAnsi="Arial"/>
              </w:rPr>
              <w:t>TRAORE Drissa</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rFonts w:ascii="Arial" w:cs="Arial" w:hAnsi="Arial"/>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56 10 23 62</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27</w:t>
            </w:r>
          </w:p>
        </w:tc>
        <w:tc>
          <w:tcPr>
            <w:tcW w:w="3289" w:type="dxa"/>
            <w:tcBorders/>
          </w:tcPr>
          <w:p>
            <w:pPr>
              <w:pStyle w:val="style0"/>
              <w:spacing w:before="0"/>
              <w:rPr>
                <w:rFonts w:ascii="Arial" w:cs="Arial" w:hAnsi="Arial"/>
                <w:lang w:val="de-DE"/>
              </w:rPr>
            </w:pPr>
            <w:r>
              <w:rPr>
                <w:rFonts w:ascii="Arial" w:cs="Arial" w:hAnsi="Arial"/>
                <w:lang w:val="de-DE"/>
              </w:rPr>
              <w:t>KONATE Abi</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rFonts w:ascii="Arial" w:cs="Arial" w:hAnsi="Arial"/>
              </w:rPr>
            </w:pPr>
            <w:r>
              <w:rPr>
                <w:rFonts w:ascii="Arial" w:cs="Arial" w:hAnsi="Arial"/>
              </w:rPr>
              <w:t>Cultivateur</w:t>
            </w:r>
          </w:p>
        </w:tc>
        <w:tc>
          <w:tcPr>
            <w:tcW w:w="2551" w:type="dxa"/>
            <w:tcBorders/>
          </w:tcPr>
          <w:p>
            <w:pPr>
              <w:pStyle w:val="style0"/>
              <w:spacing w:before="0"/>
              <w:jc w:val="center"/>
              <w:rPr>
                <w:rFonts w:ascii="Arial" w:cs="Arial" w:hAnsi="Arial"/>
                <w:lang w:val="de-DE"/>
              </w:rPr>
            </w:pPr>
            <w:r>
              <w:rPr>
                <w:rFonts w:ascii="Arial" w:cs="Arial" w:hAnsi="Arial"/>
                <w:lang w:val="de-DE"/>
              </w:rPr>
              <w:t>-</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28</w:t>
            </w:r>
          </w:p>
        </w:tc>
        <w:tc>
          <w:tcPr>
            <w:tcW w:w="3289" w:type="dxa"/>
            <w:tcBorders/>
          </w:tcPr>
          <w:p>
            <w:pPr>
              <w:pStyle w:val="style0"/>
              <w:spacing w:before="0"/>
              <w:rPr>
                <w:rFonts w:ascii="Arial" w:cs="Arial" w:hAnsi="Arial"/>
                <w:lang w:val="de-DE"/>
              </w:rPr>
            </w:pPr>
            <w:r>
              <w:rPr>
                <w:rFonts w:ascii="Arial" w:cs="Arial" w:hAnsi="Arial"/>
                <w:lang w:val="de-DE"/>
              </w:rPr>
              <w:t>TRAORE Somono</w:t>
            </w:r>
          </w:p>
        </w:tc>
        <w:tc>
          <w:tcPr>
            <w:tcW w:w="1560" w:type="dxa"/>
            <w:tcBorders/>
          </w:tcPr>
          <w:p>
            <w:pPr>
              <w:pStyle w:val="style0"/>
              <w:spacing w:before="0"/>
              <w:jc w:val="center"/>
              <w:rPr>
                <w:lang w:val="de-DE"/>
              </w:rPr>
            </w:pPr>
            <w:r>
              <w:rPr>
                <w:rFonts w:ascii="Arial" w:cs="Arial" w:hAnsi="Arial"/>
                <w:lang w:val="de-DE"/>
              </w:rPr>
              <w:t>F</w:t>
            </w:r>
          </w:p>
        </w:tc>
        <w:tc>
          <w:tcPr>
            <w:tcW w:w="3402" w:type="dxa"/>
            <w:tcBorders/>
          </w:tcPr>
          <w:p>
            <w:pPr>
              <w:pStyle w:val="style0"/>
              <w:spacing w:before="0"/>
              <w:rPr>
                <w:rFonts w:ascii="Arial" w:cs="Arial" w:hAnsi="Arial"/>
                <w:lang w:val="de-DE"/>
              </w:rPr>
            </w:pPr>
            <w:r>
              <w:rPr>
                <w:rFonts w:ascii="Arial" w:cs="Arial" w:hAnsi="Arial"/>
                <w:lang w:val="de-DE"/>
              </w:rPr>
              <w:t>Cultivatrice</w:t>
            </w:r>
          </w:p>
        </w:tc>
        <w:tc>
          <w:tcPr>
            <w:tcW w:w="2551" w:type="dxa"/>
            <w:tcBorders/>
          </w:tcPr>
          <w:p>
            <w:pPr>
              <w:pStyle w:val="style0"/>
              <w:spacing w:before="0"/>
              <w:jc w:val="center"/>
              <w:rPr>
                <w:rFonts w:ascii="Arial" w:cs="Arial" w:hAnsi="Arial"/>
                <w:lang w:val="de-DE"/>
              </w:rPr>
            </w:pPr>
            <w:r>
              <w:rPr>
                <w:rFonts w:ascii="Arial" w:cs="Arial" w:hAnsi="Arial"/>
                <w:lang w:val="de-DE"/>
              </w:rPr>
              <w:t>-</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29</w:t>
            </w:r>
          </w:p>
        </w:tc>
        <w:tc>
          <w:tcPr>
            <w:tcW w:w="3289" w:type="dxa"/>
            <w:tcBorders/>
          </w:tcPr>
          <w:p>
            <w:pPr>
              <w:pStyle w:val="style0"/>
              <w:spacing w:before="0"/>
              <w:rPr>
                <w:rFonts w:ascii="Arial" w:cs="Arial" w:hAnsi="Arial"/>
                <w:lang w:val="de-DE"/>
              </w:rPr>
            </w:pPr>
            <w:r>
              <w:rPr>
                <w:rFonts w:ascii="Arial" w:cs="Arial" w:hAnsi="Arial"/>
                <w:lang w:val="de-DE"/>
              </w:rPr>
              <w:t>KONATE Lassina</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60 20 35 89</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30</w:t>
            </w:r>
          </w:p>
        </w:tc>
        <w:tc>
          <w:tcPr>
            <w:tcW w:w="3289" w:type="dxa"/>
            <w:tcBorders/>
          </w:tcPr>
          <w:p>
            <w:pPr>
              <w:pStyle w:val="style0"/>
              <w:spacing w:before="0"/>
              <w:rPr>
                <w:rFonts w:ascii="Arial" w:cs="Arial" w:hAnsi="Arial"/>
                <w:lang w:val="de-DE"/>
              </w:rPr>
            </w:pPr>
            <w:r>
              <w:rPr>
                <w:rFonts w:ascii="Arial" w:cs="Arial" w:hAnsi="Arial"/>
                <w:lang w:val="de-DE"/>
              </w:rPr>
              <w:t>DRAME Modou</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71 47 66 47</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31</w:t>
            </w:r>
          </w:p>
        </w:tc>
        <w:tc>
          <w:tcPr>
            <w:tcW w:w="3289" w:type="dxa"/>
            <w:tcBorders/>
          </w:tcPr>
          <w:p>
            <w:pPr>
              <w:pStyle w:val="style0"/>
              <w:spacing w:before="0"/>
              <w:rPr>
                <w:rFonts w:ascii="Arial" w:cs="Arial" w:hAnsi="Arial"/>
              </w:rPr>
            </w:pPr>
            <w:r>
              <w:rPr>
                <w:rFonts w:ascii="Arial" w:cs="Arial" w:hAnsi="Arial"/>
              </w:rPr>
              <w:t>ZOROME Lassina</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63 34 58 56</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32</w:t>
            </w:r>
          </w:p>
        </w:tc>
        <w:tc>
          <w:tcPr>
            <w:tcW w:w="3289" w:type="dxa"/>
            <w:tcBorders/>
          </w:tcPr>
          <w:p>
            <w:pPr>
              <w:pStyle w:val="style0"/>
              <w:spacing w:before="0"/>
              <w:rPr>
                <w:rFonts w:ascii="Arial" w:cs="Arial" w:hAnsi="Arial"/>
                <w:lang w:val="de-DE"/>
              </w:rPr>
            </w:pPr>
            <w:r>
              <w:rPr>
                <w:rFonts w:ascii="Arial" w:cs="Arial" w:hAnsi="Arial"/>
                <w:lang w:val="de-DE"/>
              </w:rPr>
              <w:t>ZOROME Djéneba</w:t>
            </w:r>
          </w:p>
        </w:tc>
        <w:tc>
          <w:tcPr>
            <w:tcW w:w="1560" w:type="dxa"/>
            <w:tcBorders/>
          </w:tcPr>
          <w:p>
            <w:pPr>
              <w:pStyle w:val="style0"/>
              <w:spacing w:before="0"/>
              <w:jc w:val="center"/>
              <w:rPr>
                <w:lang w:val="de-DE"/>
              </w:rPr>
            </w:pPr>
            <w:r>
              <w:rPr>
                <w:rFonts w:ascii="Arial" w:cs="Arial" w:hAnsi="Arial"/>
                <w:lang w:val="de-DE"/>
              </w:rPr>
              <w:t>F</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lang w:val="de-DE"/>
              </w:rPr>
            </w:pPr>
            <w:r>
              <w:rPr>
                <w:rFonts w:ascii="Arial" w:cs="Arial" w:hAnsi="Arial"/>
                <w:lang w:val="de-DE"/>
              </w:rPr>
              <w:t>-</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33</w:t>
            </w:r>
          </w:p>
        </w:tc>
        <w:tc>
          <w:tcPr>
            <w:tcW w:w="3289" w:type="dxa"/>
            <w:tcBorders/>
          </w:tcPr>
          <w:p>
            <w:pPr>
              <w:pStyle w:val="style0"/>
              <w:spacing w:before="0"/>
              <w:rPr>
                <w:rFonts w:ascii="Arial" w:cs="Arial" w:hAnsi="Arial"/>
                <w:lang w:val="de-DE"/>
              </w:rPr>
            </w:pPr>
            <w:r>
              <w:rPr>
                <w:rFonts w:ascii="Arial" w:cs="Arial" w:hAnsi="Arial"/>
                <w:lang w:val="de-DE"/>
              </w:rPr>
              <w:t>ZOUON Seydou</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lang w:val="de-DE"/>
              </w:rPr>
            </w:pPr>
            <w:r>
              <w:rPr>
                <w:rFonts w:ascii="Arial" w:cs="Arial" w:hAnsi="Arial"/>
                <w:lang w:val="de-DE"/>
              </w:rPr>
              <w:t>72 66 56 43</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34</w:t>
            </w:r>
          </w:p>
        </w:tc>
        <w:tc>
          <w:tcPr>
            <w:tcW w:w="3289" w:type="dxa"/>
            <w:tcBorders/>
          </w:tcPr>
          <w:p>
            <w:pPr>
              <w:pStyle w:val="style0"/>
              <w:spacing w:before="0"/>
              <w:rPr>
                <w:rFonts w:ascii="Arial" w:cs="Arial" w:hAnsi="Arial"/>
                <w:lang w:val="de-DE"/>
              </w:rPr>
            </w:pPr>
            <w:r>
              <w:rPr>
                <w:rFonts w:ascii="Arial" w:cs="Arial" w:hAnsi="Arial"/>
                <w:lang w:val="de-DE"/>
              </w:rPr>
              <w:t>KONATE Bakari</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35</w:t>
            </w:r>
          </w:p>
        </w:tc>
        <w:tc>
          <w:tcPr>
            <w:tcW w:w="3289" w:type="dxa"/>
            <w:tcBorders/>
          </w:tcPr>
          <w:p>
            <w:pPr>
              <w:pStyle w:val="style0"/>
              <w:spacing w:before="0"/>
              <w:rPr>
                <w:rFonts w:ascii="Arial" w:cs="Arial" w:hAnsi="Arial"/>
                <w:lang w:val="de-DE"/>
              </w:rPr>
            </w:pPr>
            <w:r>
              <w:rPr>
                <w:rFonts w:ascii="Arial" w:cs="Arial" w:hAnsi="Arial"/>
                <w:lang w:val="de-DE"/>
              </w:rPr>
              <w:t>ZOROME Nouké</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71 69 13 62</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36</w:t>
            </w:r>
          </w:p>
        </w:tc>
        <w:tc>
          <w:tcPr>
            <w:tcW w:w="3289" w:type="dxa"/>
            <w:tcBorders/>
          </w:tcPr>
          <w:p>
            <w:pPr>
              <w:pStyle w:val="style0"/>
              <w:spacing w:before="0"/>
              <w:rPr>
                <w:rFonts w:ascii="Arial" w:cs="Arial" w:hAnsi="Arial"/>
              </w:rPr>
            </w:pPr>
            <w:r>
              <w:rPr>
                <w:rFonts w:ascii="Arial" w:cs="Arial" w:hAnsi="Arial"/>
              </w:rPr>
              <w:t>TRAORE Oumarou</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60 71 54 34</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37</w:t>
            </w:r>
          </w:p>
        </w:tc>
        <w:tc>
          <w:tcPr>
            <w:tcW w:w="3289" w:type="dxa"/>
            <w:tcBorders/>
          </w:tcPr>
          <w:p>
            <w:pPr>
              <w:pStyle w:val="style0"/>
              <w:spacing w:before="0"/>
              <w:rPr>
                <w:rFonts w:ascii="Arial" w:cs="Arial" w:hAnsi="Arial"/>
                <w:lang w:val="de-DE"/>
              </w:rPr>
            </w:pPr>
            <w:r>
              <w:rPr>
                <w:rFonts w:ascii="Arial" w:cs="Arial" w:hAnsi="Arial"/>
                <w:lang w:val="de-DE"/>
              </w:rPr>
              <w:t>ZONGO Dominique</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lang w:val="de-DE"/>
              </w:rPr>
            </w:pPr>
            <w:r>
              <w:rPr>
                <w:rFonts w:ascii="Arial" w:cs="Arial" w:hAnsi="Arial"/>
                <w:lang w:val="de-DE"/>
              </w:rPr>
              <w:t>63 19 16 99</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38</w:t>
            </w:r>
          </w:p>
        </w:tc>
        <w:tc>
          <w:tcPr>
            <w:tcW w:w="3289" w:type="dxa"/>
            <w:tcBorders/>
          </w:tcPr>
          <w:p>
            <w:pPr>
              <w:pStyle w:val="style0"/>
              <w:spacing w:before="0"/>
              <w:rPr>
                <w:rFonts w:ascii="Arial" w:cs="Arial" w:hAnsi="Arial"/>
                <w:lang w:val="de-DE"/>
              </w:rPr>
            </w:pPr>
            <w:r>
              <w:rPr>
                <w:rFonts w:ascii="Arial" w:cs="Arial" w:hAnsi="Arial"/>
                <w:lang w:val="de-DE"/>
              </w:rPr>
              <w:t>ZOROME Modou</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lang w:val="de-DE"/>
              </w:rPr>
            </w:pPr>
            <w:r>
              <w:rPr>
                <w:rFonts w:ascii="Arial" w:cs="Arial" w:hAnsi="Arial"/>
                <w:lang w:val="de-DE"/>
              </w:rPr>
              <w:t>60 52 43 13</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39</w:t>
            </w:r>
          </w:p>
        </w:tc>
        <w:tc>
          <w:tcPr>
            <w:tcW w:w="3289" w:type="dxa"/>
            <w:tcBorders/>
          </w:tcPr>
          <w:p>
            <w:pPr>
              <w:pStyle w:val="style0"/>
              <w:spacing w:before="0"/>
              <w:rPr>
                <w:rFonts w:ascii="Arial" w:cs="Arial" w:hAnsi="Arial"/>
                <w:lang w:val="de-DE"/>
              </w:rPr>
            </w:pPr>
            <w:r>
              <w:rPr>
                <w:rFonts w:ascii="Arial" w:cs="Arial" w:hAnsi="Arial"/>
                <w:lang w:val="de-DE"/>
              </w:rPr>
              <w:t>ZOROME Modou</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60 37 60 19</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40</w:t>
            </w:r>
          </w:p>
        </w:tc>
        <w:tc>
          <w:tcPr>
            <w:tcW w:w="3289" w:type="dxa"/>
            <w:tcBorders/>
          </w:tcPr>
          <w:p>
            <w:pPr>
              <w:pStyle w:val="style0"/>
              <w:spacing w:before="0"/>
              <w:rPr>
                <w:rFonts w:ascii="Arial" w:cs="Arial" w:hAnsi="Arial"/>
                <w:lang w:val="de-DE"/>
              </w:rPr>
            </w:pPr>
            <w:r>
              <w:rPr>
                <w:rFonts w:ascii="Arial" w:cs="Arial" w:hAnsi="Arial"/>
                <w:lang w:val="de-DE"/>
              </w:rPr>
              <w:t>KONATE Issa</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41</w:t>
            </w:r>
          </w:p>
        </w:tc>
        <w:tc>
          <w:tcPr>
            <w:tcW w:w="3289" w:type="dxa"/>
            <w:tcBorders/>
          </w:tcPr>
          <w:p>
            <w:pPr>
              <w:pStyle w:val="style0"/>
              <w:spacing w:before="0"/>
              <w:rPr>
                <w:rFonts w:ascii="Arial" w:cs="Arial" w:hAnsi="Arial"/>
              </w:rPr>
            </w:pPr>
            <w:r>
              <w:rPr>
                <w:rFonts w:ascii="Arial" w:cs="Arial" w:hAnsi="Arial"/>
              </w:rPr>
              <w:t>ZONGO Zoudaogo</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73 23 04 33</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42</w:t>
            </w:r>
          </w:p>
        </w:tc>
        <w:tc>
          <w:tcPr>
            <w:tcW w:w="3289" w:type="dxa"/>
            <w:tcBorders/>
          </w:tcPr>
          <w:p>
            <w:pPr>
              <w:pStyle w:val="style0"/>
              <w:spacing w:before="0"/>
              <w:rPr>
                <w:rFonts w:ascii="Arial" w:cs="Arial" w:hAnsi="Arial"/>
                <w:lang w:val="de-DE"/>
              </w:rPr>
            </w:pPr>
            <w:r>
              <w:rPr>
                <w:rFonts w:ascii="Arial" w:cs="Arial" w:hAnsi="Arial"/>
                <w:lang w:val="de-DE"/>
              </w:rPr>
              <w:t>KONATE Soumeila</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lang w:val="de-DE"/>
              </w:rPr>
            </w:pPr>
            <w:r>
              <w:rPr>
                <w:rFonts w:ascii="Arial" w:cs="Arial" w:hAnsi="Arial"/>
                <w:lang w:val="de-DE"/>
              </w:rPr>
              <w:t>52 40 29 46</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43</w:t>
            </w:r>
          </w:p>
        </w:tc>
        <w:tc>
          <w:tcPr>
            <w:tcW w:w="3289" w:type="dxa"/>
            <w:tcBorders/>
          </w:tcPr>
          <w:p>
            <w:pPr>
              <w:pStyle w:val="style0"/>
              <w:spacing w:before="0"/>
              <w:rPr>
                <w:rFonts w:ascii="Arial" w:cs="Arial" w:hAnsi="Arial"/>
                <w:lang w:val="de-DE"/>
              </w:rPr>
            </w:pPr>
            <w:r>
              <w:rPr>
                <w:rFonts w:ascii="Arial" w:cs="Arial" w:hAnsi="Arial"/>
                <w:lang w:val="de-DE"/>
              </w:rPr>
              <w:t>TRAORE Adama</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lang w:val="de-DE"/>
              </w:rPr>
            </w:pPr>
            <w:r>
              <w:rPr>
                <w:rFonts w:ascii="Arial" w:cs="Arial" w:hAnsi="Arial"/>
                <w:lang w:val="de-DE"/>
              </w:rPr>
              <w:t>71 03 36 61</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44</w:t>
            </w:r>
          </w:p>
        </w:tc>
        <w:tc>
          <w:tcPr>
            <w:tcW w:w="3289" w:type="dxa"/>
            <w:tcBorders/>
          </w:tcPr>
          <w:p>
            <w:pPr>
              <w:pStyle w:val="style0"/>
              <w:spacing w:before="0"/>
              <w:rPr>
                <w:rFonts w:ascii="Arial" w:cs="Arial" w:hAnsi="Arial"/>
                <w:lang w:val="de-DE"/>
              </w:rPr>
            </w:pPr>
            <w:r>
              <w:rPr>
                <w:rFonts w:ascii="Arial" w:cs="Arial" w:hAnsi="Arial"/>
                <w:lang w:val="de-DE"/>
              </w:rPr>
              <w:t>DRAME Sali</w:t>
            </w:r>
          </w:p>
        </w:tc>
        <w:tc>
          <w:tcPr>
            <w:tcW w:w="1560" w:type="dxa"/>
            <w:tcBorders/>
          </w:tcPr>
          <w:p>
            <w:pPr>
              <w:pStyle w:val="style0"/>
              <w:spacing w:before="0"/>
              <w:jc w:val="center"/>
              <w:rPr>
                <w:lang w:val="de-DE"/>
              </w:rPr>
            </w:pPr>
            <w:r>
              <w:rPr>
                <w:rFonts w:ascii="Arial" w:cs="Arial" w:hAnsi="Arial"/>
                <w:lang w:val="de-DE"/>
              </w:rPr>
              <w:t>F</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45</w:t>
            </w:r>
          </w:p>
        </w:tc>
        <w:tc>
          <w:tcPr>
            <w:tcW w:w="3289" w:type="dxa"/>
            <w:tcBorders/>
          </w:tcPr>
          <w:p>
            <w:pPr>
              <w:pStyle w:val="style0"/>
              <w:spacing w:before="0"/>
              <w:rPr>
                <w:rFonts w:ascii="Arial" w:cs="Arial" w:hAnsi="Arial"/>
                <w:lang w:val="de-DE"/>
              </w:rPr>
            </w:pPr>
            <w:r>
              <w:rPr>
                <w:rFonts w:ascii="Arial" w:cs="Arial" w:hAnsi="Arial"/>
                <w:lang w:val="de-DE"/>
              </w:rPr>
              <w:t>KONATE Mazeneba</w:t>
            </w:r>
          </w:p>
        </w:tc>
        <w:tc>
          <w:tcPr>
            <w:tcW w:w="1560" w:type="dxa"/>
            <w:tcBorders/>
          </w:tcPr>
          <w:p>
            <w:pPr>
              <w:pStyle w:val="style0"/>
              <w:spacing w:before="0"/>
              <w:jc w:val="center"/>
              <w:rPr>
                <w:lang w:val="de-DE"/>
              </w:rPr>
            </w:pPr>
            <w:r>
              <w:rPr>
                <w:rFonts w:ascii="Arial" w:cs="Arial" w:hAnsi="Arial"/>
                <w:lang w:val="de-DE"/>
              </w:rPr>
              <w:t>F</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46</w:t>
            </w:r>
          </w:p>
        </w:tc>
        <w:tc>
          <w:tcPr>
            <w:tcW w:w="3289" w:type="dxa"/>
            <w:tcBorders/>
          </w:tcPr>
          <w:p>
            <w:pPr>
              <w:pStyle w:val="style0"/>
              <w:spacing w:before="0"/>
              <w:rPr>
                <w:rFonts w:ascii="Arial" w:cs="Arial" w:hAnsi="Arial"/>
              </w:rPr>
            </w:pPr>
            <w:r>
              <w:rPr>
                <w:rFonts w:ascii="Arial" w:cs="Arial" w:hAnsi="Arial"/>
              </w:rPr>
              <w:t>KONATE Yacouba</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66 60 40 56</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47</w:t>
            </w:r>
          </w:p>
        </w:tc>
        <w:tc>
          <w:tcPr>
            <w:tcW w:w="3289" w:type="dxa"/>
            <w:tcBorders/>
          </w:tcPr>
          <w:p>
            <w:pPr>
              <w:pStyle w:val="style0"/>
              <w:spacing w:before="0"/>
              <w:rPr>
                <w:rFonts w:ascii="Arial" w:cs="Arial" w:hAnsi="Arial"/>
                <w:lang w:val="de-DE"/>
              </w:rPr>
            </w:pPr>
            <w:r>
              <w:rPr>
                <w:rFonts w:ascii="Arial" w:cs="Arial" w:hAnsi="Arial"/>
                <w:lang w:val="de-DE"/>
              </w:rPr>
              <w:t>DIARRA Lassina</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lang w:val="de-DE"/>
              </w:rPr>
            </w:pPr>
            <w:r>
              <w:rPr>
                <w:rFonts w:ascii="Arial" w:cs="Arial" w:hAnsi="Arial"/>
                <w:lang w:val="de-DE"/>
              </w:rPr>
              <w:t>-</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48</w:t>
            </w:r>
          </w:p>
        </w:tc>
        <w:tc>
          <w:tcPr>
            <w:tcW w:w="3289" w:type="dxa"/>
            <w:tcBorders/>
          </w:tcPr>
          <w:p>
            <w:pPr>
              <w:pStyle w:val="style0"/>
              <w:spacing w:before="0"/>
              <w:rPr>
                <w:rFonts w:ascii="Arial" w:cs="Arial" w:hAnsi="Arial"/>
                <w:lang w:val="de-DE"/>
              </w:rPr>
            </w:pPr>
            <w:r>
              <w:rPr>
                <w:rFonts w:ascii="Arial" w:cs="Arial" w:hAnsi="Arial"/>
                <w:lang w:val="de-DE"/>
              </w:rPr>
              <w:t>SANE Adama</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lang w:val="de-DE"/>
              </w:rPr>
            </w:pPr>
            <w:r>
              <w:rPr>
                <w:rFonts w:ascii="Arial" w:cs="Arial" w:hAnsi="Arial"/>
                <w:lang w:val="de-DE"/>
              </w:rPr>
              <w:t>77 49 79 94</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49</w:t>
            </w:r>
          </w:p>
        </w:tc>
        <w:tc>
          <w:tcPr>
            <w:tcW w:w="3289" w:type="dxa"/>
            <w:tcBorders/>
          </w:tcPr>
          <w:p>
            <w:pPr>
              <w:pStyle w:val="style0"/>
              <w:spacing w:before="0"/>
              <w:rPr>
                <w:rFonts w:ascii="Arial" w:cs="Arial" w:hAnsi="Arial"/>
                <w:lang w:val="de-DE"/>
              </w:rPr>
            </w:pPr>
            <w:r>
              <w:rPr>
                <w:rFonts w:ascii="Arial" w:cs="Arial" w:hAnsi="Arial"/>
                <w:lang w:val="de-DE"/>
              </w:rPr>
              <w:t>SOUMA Rahmané</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67 48 74 20</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50</w:t>
            </w:r>
          </w:p>
        </w:tc>
        <w:tc>
          <w:tcPr>
            <w:tcW w:w="3289" w:type="dxa"/>
            <w:tcBorders/>
          </w:tcPr>
          <w:p>
            <w:pPr>
              <w:pStyle w:val="style0"/>
              <w:spacing w:before="0"/>
              <w:rPr>
                <w:rFonts w:ascii="Arial" w:cs="Arial" w:hAnsi="Arial"/>
                <w:lang w:val="de-DE"/>
              </w:rPr>
            </w:pPr>
            <w:r>
              <w:rPr>
                <w:rFonts w:ascii="Arial" w:cs="Arial" w:hAnsi="Arial"/>
                <w:lang w:val="de-DE"/>
              </w:rPr>
              <w:t>DIALLO Moumouni</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70 87 39 38</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51</w:t>
            </w:r>
          </w:p>
        </w:tc>
        <w:tc>
          <w:tcPr>
            <w:tcW w:w="3289" w:type="dxa"/>
            <w:tcBorders/>
          </w:tcPr>
          <w:p>
            <w:pPr>
              <w:pStyle w:val="style0"/>
              <w:spacing w:before="0"/>
              <w:rPr>
                <w:rFonts w:ascii="Arial" w:cs="Arial" w:hAnsi="Arial"/>
              </w:rPr>
            </w:pPr>
            <w:r>
              <w:rPr>
                <w:rFonts w:ascii="Arial" w:cs="Arial" w:hAnsi="Arial"/>
              </w:rPr>
              <w:t>KONATE Adama</w:t>
            </w:r>
          </w:p>
        </w:tc>
        <w:tc>
          <w:tcPr>
            <w:tcW w:w="1560" w:type="dxa"/>
            <w:tcBorders/>
          </w:tcPr>
          <w:p>
            <w:pPr>
              <w:pStyle w:val="style0"/>
              <w:spacing w:before="0"/>
              <w:jc w:val="center"/>
              <w:rPr>
                <w:rFonts w:ascii="Arial" w:cs="Arial" w:hAnsi="Arial"/>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56 11 20 44</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52</w:t>
            </w:r>
          </w:p>
        </w:tc>
        <w:tc>
          <w:tcPr>
            <w:tcW w:w="3289" w:type="dxa"/>
            <w:tcBorders/>
          </w:tcPr>
          <w:p>
            <w:pPr>
              <w:pStyle w:val="style0"/>
              <w:spacing w:before="0"/>
              <w:rPr>
                <w:rFonts w:ascii="Arial" w:cs="Arial" w:hAnsi="Arial"/>
                <w:lang w:val="de-DE"/>
              </w:rPr>
            </w:pPr>
            <w:r>
              <w:rPr>
                <w:rFonts w:ascii="Arial" w:cs="Arial" w:hAnsi="Arial"/>
                <w:lang w:val="de-DE"/>
              </w:rPr>
              <w:t>ZOROME Abi</w:t>
            </w:r>
          </w:p>
        </w:tc>
        <w:tc>
          <w:tcPr>
            <w:tcW w:w="1560" w:type="dxa"/>
            <w:tcBorders/>
          </w:tcPr>
          <w:p>
            <w:pPr>
              <w:pStyle w:val="style0"/>
              <w:spacing w:before="0"/>
              <w:jc w:val="center"/>
              <w:rPr/>
            </w:pPr>
            <w:r>
              <w:rPr>
                <w:rFonts w:ascii="Arial" w:cs="Arial" w:hAnsi="Arial"/>
                <w:lang w:val="de-DE"/>
              </w:rPr>
              <w:t>F</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lang w:val="de-DE"/>
              </w:rPr>
            </w:pPr>
            <w:r>
              <w:rPr>
                <w:rFonts w:ascii="Arial" w:cs="Arial" w:hAnsi="Arial"/>
                <w:lang w:val="de-DE"/>
              </w:rPr>
              <w:t>-</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53</w:t>
            </w:r>
          </w:p>
        </w:tc>
        <w:tc>
          <w:tcPr>
            <w:tcW w:w="3289" w:type="dxa"/>
            <w:tcBorders/>
          </w:tcPr>
          <w:p>
            <w:pPr>
              <w:pStyle w:val="style0"/>
              <w:spacing w:before="0"/>
              <w:rPr>
                <w:rFonts w:ascii="Arial" w:cs="Arial" w:hAnsi="Arial"/>
                <w:lang w:val="de-DE"/>
              </w:rPr>
            </w:pPr>
            <w:r>
              <w:rPr>
                <w:rFonts w:ascii="Arial" w:cs="Arial" w:hAnsi="Arial"/>
                <w:lang w:val="de-DE"/>
              </w:rPr>
              <w:t>SAWADOGO Nemata</w:t>
            </w:r>
          </w:p>
        </w:tc>
        <w:tc>
          <w:tcPr>
            <w:tcW w:w="1560" w:type="dxa"/>
            <w:tcBorders/>
          </w:tcPr>
          <w:p>
            <w:pPr>
              <w:pStyle w:val="style0"/>
              <w:spacing w:before="0"/>
              <w:jc w:val="center"/>
              <w:rPr/>
            </w:pPr>
            <w:r>
              <w:rPr>
                <w:rFonts w:ascii="Arial" w:cs="Arial" w:hAnsi="Arial"/>
                <w:lang w:val="de-DE"/>
              </w:rPr>
              <w:t>F</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lang w:val="de-DE"/>
              </w:rPr>
            </w:pPr>
            <w:r>
              <w:rPr>
                <w:rFonts w:ascii="Arial" w:cs="Arial" w:hAnsi="Arial"/>
                <w:lang w:val="de-DE"/>
              </w:rPr>
              <w:t>-</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54</w:t>
            </w:r>
          </w:p>
        </w:tc>
        <w:tc>
          <w:tcPr>
            <w:tcW w:w="3289" w:type="dxa"/>
            <w:tcBorders/>
          </w:tcPr>
          <w:p>
            <w:pPr>
              <w:pStyle w:val="style0"/>
              <w:spacing w:before="0"/>
              <w:rPr>
                <w:rFonts w:ascii="Arial" w:cs="Arial" w:hAnsi="Arial"/>
                <w:lang w:val="de-DE"/>
              </w:rPr>
            </w:pPr>
            <w:r>
              <w:rPr>
                <w:rFonts w:ascii="Arial" w:cs="Arial" w:hAnsi="Arial"/>
                <w:lang w:val="de-DE"/>
              </w:rPr>
              <w:t>ZOROME Sayouba</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55</w:t>
            </w:r>
          </w:p>
        </w:tc>
        <w:tc>
          <w:tcPr>
            <w:tcW w:w="3289" w:type="dxa"/>
            <w:tcBorders/>
          </w:tcPr>
          <w:p>
            <w:pPr>
              <w:pStyle w:val="style0"/>
              <w:spacing w:before="0"/>
              <w:rPr>
                <w:rFonts w:ascii="Arial" w:cs="Arial" w:hAnsi="Arial"/>
                <w:lang w:val="de-DE"/>
              </w:rPr>
            </w:pPr>
            <w:r>
              <w:rPr>
                <w:rFonts w:ascii="Arial" w:cs="Arial" w:hAnsi="Arial"/>
                <w:lang w:val="de-DE"/>
              </w:rPr>
              <w:t>KONATE Kassim</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61 91 67 95</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56</w:t>
            </w:r>
          </w:p>
        </w:tc>
        <w:tc>
          <w:tcPr>
            <w:tcW w:w="3289" w:type="dxa"/>
            <w:tcBorders/>
          </w:tcPr>
          <w:p>
            <w:pPr>
              <w:pStyle w:val="style0"/>
              <w:spacing w:before="0"/>
              <w:rPr>
                <w:rFonts w:ascii="Arial" w:cs="Arial" w:hAnsi="Arial"/>
              </w:rPr>
            </w:pPr>
            <w:r>
              <w:rPr>
                <w:rFonts w:ascii="Arial" w:cs="Arial" w:hAnsi="Arial"/>
              </w:rPr>
              <w:t>BANHORO Lassina</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72 51 22 79</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57</w:t>
            </w:r>
          </w:p>
        </w:tc>
        <w:tc>
          <w:tcPr>
            <w:tcW w:w="3289" w:type="dxa"/>
            <w:tcBorders/>
          </w:tcPr>
          <w:p>
            <w:pPr>
              <w:pStyle w:val="style0"/>
              <w:spacing w:before="0"/>
              <w:rPr>
                <w:rFonts w:ascii="Arial" w:cs="Arial" w:hAnsi="Arial"/>
                <w:lang w:val="de-DE"/>
              </w:rPr>
            </w:pPr>
            <w:r>
              <w:rPr>
                <w:rFonts w:ascii="Arial" w:cs="Arial" w:hAnsi="Arial"/>
                <w:lang w:val="de-DE"/>
              </w:rPr>
              <w:t>ZOUON Drissa</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lang w:val="de-DE"/>
              </w:rPr>
            </w:pPr>
            <w:r>
              <w:rPr>
                <w:rFonts w:ascii="Arial" w:cs="Arial" w:hAnsi="Arial"/>
                <w:lang w:val="de-DE"/>
              </w:rPr>
              <w:t>72 55 45 74</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58</w:t>
            </w:r>
          </w:p>
        </w:tc>
        <w:tc>
          <w:tcPr>
            <w:tcW w:w="3289" w:type="dxa"/>
            <w:tcBorders/>
          </w:tcPr>
          <w:p>
            <w:pPr>
              <w:pStyle w:val="style0"/>
              <w:spacing w:before="0"/>
              <w:rPr>
                <w:rFonts w:ascii="Arial" w:cs="Arial" w:hAnsi="Arial"/>
                <w:lang w:val="de-DE"/>
              </w:rPr>
            </w:pPr>
            <w:r>
              <w:rPr>
                <w:rFonts w:ascii="Arial" w:cs="Arial" w:hAnsi="Arial"/>
                <w:lang w:val="de-DE"/>
              </w:rPr>
              <w:t>DEME Modou</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lang w:val="de-DE"/>
              </w:rPr>
            </w:pPr>
            <w:r>
              <w:rPr>
                <w:rFonts w:ascii="Arial" w:cs="Arial" w:hAnsi="Arial"/>
                <w:lang w:val="de-DE"/>
              </w:rPr>
              <w:t>71 15 61 49</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59</w:t>
            </w:r>
          </w:p>
        </w:tc>
        <w:tc>
          <w:tcPr>
            <w:tcW w:w="3289" w:type="dxa"/>
            <w:tcBorders/>
          </w:tcPr>
          <w:p>
            <w:pPr>
              <w:pStyle w:val="style0"/>
              <w:spacing w:before="0"/>
              <w:rPr>
                <w:rFonts w:ascii="Arial" w:cs="Arial" w:hAnsi="Arial"/>
                <w:lang w:val="de-DE"/>
              </w:rPr>
            </w:pPr>
            <w:r>
              <w:rPr>
                <w:rFonts w:ascii="Arial" w:cs="Arial" w:hAnsi="Arial"/>
                <w:lang w:val="de-DE"/>
              </w:rPr>
              <w:t>KONATE Adama</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60</w:t>
            </w:r>
          </w:p>
        </w:tc>
        <w:tc>
          <w:tcPr>
            <w:tcW w:w="3289" w:type="dxa"/>
            <w:tcBorders/>
          </w:tcPr>
          <w:p>
            <w:pPr>
              <w:pStyle w:val="style0"/>
              <w:spacing w:before="0"/>
              <w:rPr>
                <w:rFonts w:ascii="Arial" w:cs="Arial" w:hAnsi="Arial"/>
                <w:lang w:val="de-DE"/>
              </w:rPr>
            </w:pPr>
            <w:r>
              <w:rPr>
                <w:rFonts w:ascii="Arial" w:cs="Arial" w:hAnsi="Arial"/>
                <w:lang w:val="de-DE"/>
              </w:rPr>
              <w:t>KONATE Modou</w:t>
            </w:r>
          </w:p>
        </w:tc>
        <w:tc>
          <w:tcPr>
            <w:tcW w:w="1560" w:type="dxa"/>
            <w:tcBorders/>
          </w:tcPr>
          <w:p>
            <w:pPr>
              <w:pStyle w:val="style0"/>
              <w:spacing w:before="0"/>
              <w:jc w:val="center"/>
              <w:rPr>
                <w:lang w:val="de-DE"/>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6</w:t>
            </w:r>
            <w:r>
              <w:rPr>
                <w:rFonts w:ascii="Arial" w:cs="Arial" w:hAnsi="Arial"/>
              </w:rPr>
              <w:t>1</w:t>
            </w:r>
          </w:p>
        </w:tc>
        <w:tc>
          <w:tcPr>
            <w:tcW w:w="3289" w:type="dxa"/>
            <w:tcBorders/>
          </w:tcPr>
          <w:p>
            <w:pPr>
              <w:pStyle w:val="style0"/>
              <w:spacing w:before="0"/>
              <w:rPr>
                <w:rFonts w:ascii="Arial" w:cs="Arial" w:hAnsi="Arial"/>
              </w:rPr>
            </w:pPr>
            <w:r>
              <w:rPr>
                <w:rFonts w:ascii="Arial" w:cs="Arial" w:hAnsi="Arial"/>
              </w:rPr>
              <w:t>TRAORE Kalinou</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73 80 74 97</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6</w:t>
            </w:r>
            <w:r>
              <w:rPr>
                <w:rFonts w:ascii="Arial" w:cs="Arial" w:hAnsi="Arial"/>
              </w:rPr>
              <w:t>2</w:t>
            </w:r>
          </w:p>
        </w:tc>
        <w:tc>
          <w:tcPr>
            <w:tcW w:w="3289" w:type="dxa"/>
            <w:tcBorders/>
          </w:tcPr>
          <w:p>
            <w:pPr>
              <w:pStyle w:val="style0"/>
              <w:spacing w:before="0"/>
              <w:rPr>
                <w:rFonts w:ascii="Arial" w:cs="Arial" w:hAnsi="Arial"/>
                <w:lang w:val="de-DE"/>
              </w:rPr>
            </w:pPr>
            <w:r>
              <w:rPr>
                <w:rFonts w:ascii="Arial" w:cs="Arial" w:hAnsi="Arial"/>
                <w:lang w:val="de-DE"/>
              </w:rPr>
              <w:t>DIARRA Yaya</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lang w:val="de-DE"/>
              </w:rPr>
            </w:pPr>
            <w:r>
              <w:rPr>
                <w:rFonts w:ascii="Arial" w:cs="Arial" w:hAnsi="Arial"/>
                <w:lang w:val="de-DE"/>
              </w:rPr>
              <w:t>73 91 79 14</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6</w:t>
            </w:r>
            <w:r>
              <w:rPr>
                <w:rFonts w:ascii="Arial" w:cs="Arial" w:hAnsi="Arial"/>
                <w:lang w:val="de-DE"/>
              </w:rPr>
              <w:t>3</w:t>
            </w:r>
          </w:p>
        </w:tc>
        <w:tc>
          <w:tcPr>
            <w:tcW w:w="3289" w:type="dxa"/>
            <w:tcBorders/>
          </w:tcPr>
          <w:p>
            <w:pPr>
              <w:pStyle w:val="style0"/>
              <w:spacing w:before="0"/>
              <w:rPr>
                <w:rFonts w:ascii="Arial" w:cs="Arial" w:hAnsi="Arial"/>
                <w:lang w:val="de-DE"/>
              </w:rPr>
            </w:pPr>
            <w:r>
              <w:rPr>
                <w:rFonts w:ascii="Arial" w:cs="Arial" w:hAnsi="Arial"/>
                <w:lang w:val="de-DE"/>
              </w:rPr>
              <w:t>DIARRA Zoumana</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lang w:val="de-DE"/>
              </w:rPr>
            </w:pPr>
            <w:r>
              <w:rPr>
                <w:rFonts w:ascii="Arial" w:cs="Arial" w:hAnsi="Arial"/>
                <w:lang w:val="de-DE"/>
              </w:rPr>
              <w:t>75 43 36 24</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6</w:t>
            </w:r>
            <w:r>
              <w:rPr>
                <w:rFonts w:ascii="Arial" w:cs="Arial" w:hAnsi="Arial"/>
                <w:lang w:val="de-DE"/>
              </w:rPr>
              <w:t>4</w:t>
            </w:r>
          </w:p>
        </w:tc>
        <w:tc>
          <w:tcPr>
            <w:tcW w:w="3289" w:type="dxa"/>
            <w:tcBorders/>
          </w:tcPr>
          <w:p>
            <w:pPr>
              <w:pStyle w:val="style0"/>
              <w:spacing w:before="0"/>
              <w:rPr>
                <w:rFonts w:ascii="Arial" w:cs="Arial" w:hAnsi="Arial"/>
                <w:lang w:val="de-DE"/>
              </w:rPr>
            </w:pPr>
            <w:r>
              <w:rPr>
                <w:rFonts w:ascii="Arial" w:cs="Arial" w:hAnsi="Arial"/>
                <w:lang w:val="de-DE"/>
              </w:rPr>
              <w:t>ZOUON Karim</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61 52 53 43</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6</w:t>
            </w:r>
            <w:r>
              <w:rPr>
                <w:rFonts w:ascii="Arial" w:cs="Arial" w:hAnsi="Arial"/>
                <w:lang w:val="de-DE"/>
              </w:rPr>
              <w:t>5</w:t>
            </w:r>
          </w:p>
        </w:tc>
        <w:tc>
          <w:tcPr>
            <w:tcW w:w="3289" w:type="dxa"/>
            <w:tcBorders/>
          </w:tcPr>
          <w:p>
            <w:pPr>
              <w:pStyle w:val="style0"/>
              <w:spacing w:before="0"/>
              <w:rPr>
                <w:rFonts w:ascii="Arial" w:cs="Arial" w:hAnsi="Arial"/>
                <w:lang w:val="de-DE"/>
              </w:rPr>
            </w:pPr>
            <w:r>
              <w:rPr>
                <w:rFonts w:ascii="Arial" w:cs="Arial" w:hAnsi="Arial"/>
                <w:lang w:val="de-DE"/>
              </w:rPr>
              <w:t>TRAORE Seydou</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73 42 82 47</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66</w:t>
            </w:r>
          </w:p>
        </w:tc>
        <w:tc>
          <w:tcPr>
            <w:tcW w:w="3289" w:type="dxa"/>
            <w:tcBorders/>
          </w:tcPr>
          <w:p>
            <w:pPr>
              <w:pStyle w:val="style0"/>
              <w:spacing w:before="0"/>
              <w:rPr>
                <w:rFonts w:ascii="Arial" w:cs="Arial" w:hAnsi="Arial"/>
              </w:rPr>
            </w:pPr>
            <w:r>
              <w:rPr>
                <w:rFonts w:ascii="Arial" w:cs="Arial" w:hAnsi="Arial"/>
              </w:rPr>
              <w:t>ZOUON Drissa</w:t>
            </w:r>
          </w:p>
        </w:tc>
        <w:tc>
          <w:tcPr>
            <w:tcW w:w="1560"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70 95 15 35</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67</w:t>
            </w:r>
          </w:p>
        </w:tc>
        <w:tc>
          <w:tcPr>
            <w:tcW w:w="3289" w:type="dxa"/>
            <w:tcBorders/>
          </w:tcPr>
          <w:p>
            <w:pPr>
              <w:pStyle w:val="style0"/>
              <w:spacing w:before="0"/>
              <w:rPr>
                <w:rFonts w:ascii="Arial" w:cs="Arial" w:hAnsi="Arial"/>
                <w:lang w:val="de-DE"/>
              </w:rPr>
            </w:pPr>
            <w:r>
              <w:rPr>
                <w:rFonts w:ascii="Arial" w:cs="Arial" w:hAnsi="Arial"/>
                <w:lang w:val="de-DE"/>
              </w:rPr>
              <w:t>DIELO Adjéta</w:t>
            </w:r>
          </w:p>
        </w:tc>
        <w:tc>
          <w:tcPr>
            <w:tcW w:w="1560" w:type="dxa"/>
            <w:tcBorders/>
          </w:tcPr>
          <w:p>
            <w:pPr>
              <w:pStyle w:val="style0"/>
              <w:spacing w:before="0"/>
              <w:jc w:val="center"/>
              <w:rPr>
                <w:rFonts w:ascii="Arial" w:cs="Arial" w:hAnsi="Arial"/>
                <w:lang w:val="de-DE"/>
              </w:rPr>
            </w:pPr>
            <w:r>
              <w:rPr>
                <w:rFonts w:ascii="Arial" w:cs="Arial" w:hAnsi="Arial"/>
                <w:lang w:val="de-DE"/>
              </w:rPr>
              <w:t>F</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lang w:val="de-DE"/>
              </w:rPr>
            </w:pPr>
            <w:r>
              <w:rPr>
                <w:rFonts w:ascii="Arial" w:cs="Arial" w:hAnsi="Arial"/>
                <w:lang w:val="de-DE"/>
              </w:rPr>
              <w:t>63 34 48 68</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68</w:t>
            </w:r>
          </w:p>
        </w:tc>
        <w:tc>
          <w:tcPr>
            <w:tcW w:w="3289" w:type="dxa"/>
            <w:tcBorders/>
          </w:tcPr>
          <w:p>
            <w:pPr>
              <w:pStyle w:val="style0"/>
              <w:spacing w:before="0"/>
              <w:rPr>
                <w:rFonts w:ascii="Arial" w:cs="Arial" w:hAnsi="Arial"/>
                <w:lang w:val="de-DE"/>
              </w:rPr>
            </w:pPr>
            <w:r>
              <w:rPr>
                <w:rFonts w:ascii="Arial" w:cs="Arial" w:hAnsi="Arial"/>
                <w:lang w:val="de-DE"/>
              </w:rPr>
              <w:t>DAO Mamounata</w:t>
            </w:r>
          </w:p>
        </w:tc>
        <w:tc>
          <w:tcPr>
            <w:tcW w:w="1560" w:type="dxa"/>
            <w:tcBorders/>
          </w:tcPr>
          <w:p>
            <w:pPr>
              <w:pStyle w:val="style0"/>
              <w:spacing w:before="0"/>
              <w:jc w:val="center"/>
              <w:rPr>
                <w:lang w:val="de-DE"/>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551" w:type="dxa"/>
            <w:tcBorders/>
          </w:tcPr>
          <w:p>
            <w:pPr>
              <w:pStyle w:val="style0"/>
              <w:spacing w:before="0"/>
              <w:jc w:val="center"/>
              <w:rPr>
                <w:rFonts w:ascii="Arial" w:cs="Arial" w:hAnsi="Arial"/>
                <w:lang w:val="de-DE"/>
              </w:rPr>
            </w:pPr>
            <w:r>
              <w:rPr>
                <w:rFonts w:ascii="Arial" w:cs="Arial" w:hAnsi="Arial"/>
                <w:lang w:val="de-DE"/>
              </w:rPr>
              <w:t>-</w:t>
            </w:r>
          </w:p>
        </w:tc>
        <w:tc>
          <w:tcPr>
            <w:tcW w:w="2693" w:type="dxa"/>
            <w:tcBorders/>
          </w:tcPr>
          <w:p>
            <w:pPr>
              <w:pStyle w:val="style0"/>
              <w:spacing w:before="0"/>
              <w:jc w:val="center"/>
              <w:rPr>
                <w:rFonts w:ascii="Arial" w:cs="Arial" w:hAnsi="Arial"/>
                <w:lang w:val="de-DE"/>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69</w:t>
            </w:r>
          </w:p>
        </w:tc>
        <w:tc>
          <w:tcPr>
            <w:tcW w:w="3289" w:type="dxa"/>
            <w:tcBorders/>
          </w:tcPr>
          <w:p>
            <w:pPr>
              <w:pStyle w:val="style0"/>
              <w:spacing w:before="0"/>
              <w:rPr>
                <w:rFonts w:ascii="Arial" w:cs="Arial" w:hAnsi="Arial"/>
                <w:lang w:val="de-DE"/>
              </w:rPr>
            </w:pPr>
            <w:r>
              <w:rPr>
                <w:rFonts w:ascii="Arial" w:cs="Arial" w:hAnsi="Arial"/>
                <w:lang w:val="de-DE"/>
              </w:rPr>
              <w:t>TRAORE Seydou</w:t>
            </w:r>
          </w:p>
        </w:tc>
        <w:tc>
          <w:tcPr>
            <w:tcW w:w="1560" w:type="dxa"/>
            <w:tcBorders/>
          </w:tcPr>
          <w:p>
            <w:pPr>
              <w:pStyle w:val="style0"/>
              <w:spacing w:before="0"/>
              <w:jc w:val="center"/>
              <w:rPr>
                <w:lang w:val="de-DE"/>
              </w:rPr>
            </w:pPr>
            <w:r>
              <w:rPr>
                <w:lang w:val="de-DE"/>
              </w:rPr>
              <w:t>M</w:t>
            </w:r>
          </w:p>
        </w:tc>
        <w:tc>
          <w:tcPr>
            <w:tcW w:w="3402" w:type="dxa"/>
            <w:tcBorders/>
          </w:tcPr>
          <w:p>
            <w:pPr>
              <w:pStyle w:val="style0"/>
              <w:spacing w:before="0"/>
              <w:rPr>
                <w:rFonts w:ascii="Arial" w:cs="Arial" w:hAnsi="Arial"/>
                <w:lang w:val="de-DE"/>
              </w:rPr>
            </w:pPr>
            <w:r>
              <w:rPr>
                <w:rFonts w:ascii="Arial" w:cs="Arial" w:hAnsi="Arial"/>
                <w:lang w:val="de-DE"/>
              </w:rPr>
              <w:t>Cultivateur</w:t>
            </w:r>
          </w:p>
        </w:tc>
        <w:tc>
          <w:tcPr>
            <w:tcW w:w="2551" w:type="dxa"/>
            <w:tcBorders/>
          </w:tcPr>
          <w:p>
            <w:pPr>
              <w:pStyle w:val="style0"/>
              <w:spacing w:before="0"/>
              <w:jc w:val="center"/>
              <w:rPr>
                <w:rFonts w:ascii="Arial" w:cs="Arial" w:hAnsi="Arial"/>
              </w:rPr>
            </w:pPr>
            <w:r>
              <w:rPr>
                <w:rFonts w:ascii="Arial" w:cs="Arial" w:hAnsi="Arial"/>
              </w:rPr>
              <w:t>71 03 45 75</w:t>
            </w:r>
          </w:p>
        </w:tc>
        <w:tc>
          <w:tcPr>
            <w:tcW w:w="2693"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70</w:t>
            </w:r>
          </w:p>
        </w:tc>
        <w:tc>
          <w:tcPr>
            <w:tcW w:w="3289" w:type="dxa"/>
            <w:tcBorders/>
          </w:tcPr>
          <w:p>
            <w:pPr>
              <w:pStyle w:val="style0"/>
              <w:spacing w:before="0"/>
              <w:rPr>
                <w:rFonts w:ascii="Arial" w:cs="Arial" w:hAnsi="Arial"/>
                <w:lang w:val="de-DE"/>
              </w:rPr>
            </w:pPr>
            <w:r>
              <w:rPr>
                <w:rFonts w:ascii="Arial" w:cs="Arial" w:hAnsi="Arial"/>
                <w:lang w:val="de-DE"/>
              </w:rPr>
              <w:t>ZOROME Lassina</w:t>
            </w:r>
          </w:p>
        </w:tc>
        <w:tc>
          <w:tcPr>
            <w:tcW w:w="1560" w:type="dxa"/>
            <w:tcBorders/>
          </w:tcPr>
          <w:p>
            <w:pPr>
              <w:pStyle w:val="style0"/>
              <w:spacing w:before="0"/>
              <w:jc w:val="center"/>
              <w:rPr>
                <w:lang w:val="de-DE"/>
              </w:rPr>
            </w:pPr>
            <w:r>
              <w:rPr>
                <w:lang w:val="de-DE"/>
              </w:rPr>
              <w:t>M</w:t>
            </w:r>
          </w:p>
        </w:tc>
        <w:tc>
          <w:tcPr>
            <w:tcW w:w="3402" w:type="dxa"/>
            <w:tcBorders/>
          </w:tcPr>
          <w:p>
            <w:pPr>
              <w:pStyle w:val="style0"/>
              <w:spacing w:before="0"/>
              <w:rPr>
                <w:rFonts w:ascii="Arial" w:cs="Arial" w:hAnsi="Arial"/>
              </w:rPr>
            </w:pPr>
            <w:r>
              <w:rPr>
                <w:rFonts w:ascii="Arial" w:cs="Arial" w:hAnsi="Arial"/>
              </w:rPr>
              <w:t>Cultivateur</w:t>
            </w:r>
          </w:p>
        </w:tc>
        <w:tc>
          <w:tcPr>
            <w:tcW w:w="2551" w:type="dxa"/>
            <w:tcBorders/>
          </w:tcPr>
          <w:p>
            <w:pPr>
              <w:pStyle w:val="style0"/>
              <w:spacing w:before="0"/>
              <w:jc w:val="center"/>
              <w:rPr>
                <w:rFonts w:ascii="Arial" w:cs="Arial" w:hAnsi="Arial"/>
              </w:rPr>
            </w:pPr>
            <w:r>
              <w:rPr>
                <w:rFonts w:ascii="Arial" w:cs="Arial" w:hAnsi="Arial"/>
              </w:rPr>
              <w:t>-</w:t>
            </w:r>
          </w:p>
        </w:tc>
        <w:tc>
          <w:tcPr>
            <w:tcW w:w="2693" w:type="dxa"/>
            <w:tcBorders/>
          </w:tcPr>
          <w:p>
            <w:pPr>
              <w:pStyle w:val="style0"/>
              <w:spacing w:before="0"/>
              <w:jc w:val="center"/>
              <w:rPr>
                <w:rFonts w:ascii="Arial" w:cs="Arial" w:hAnsi="Arial"/>
              </w:rPr>
            </w:pPr>
          </w:p>
        </w:tc>
      </w:tr>
    </w:tbl>
    <w:p>
      <w:pPr>
        <w:pStyle w:val="style0"/>
        <w:spacing w:before="0"/>
        <w:rPr>
          <w:rFonts w:ascii="Arial" w:cs="Arial" w:hAnsi="Arial"/>
          <w:sz w:val="20"/>
        </w:rPr>
      </w:pPr>
    </w:p>
    <w:p>
      <w:pPr>
        <w:pStyle w:val="style0"/>
        <w:spacing w:before="0"/>
        <w:rPr>
          <w:rFonts w:ascii="Arial" w:cs="Arial" w:hAnsi="Arial"/>
          <w:sz w:val="20"/>
        </w:rPr>
      </w:pPr>
    </w:p>
    <w:p>
      <w:pPr>
        <w:pStyle w:val="style0"/>
        <w:spacing w:before="0"/>
        <w:rPr>
          <w:rFonts w:ascii="Arial" w:cs="Arial" w:hAnsi="Arial"/>
          <w:b/>
        </w:rPr>
      </w:pPr>
      <w:r>
        <w:rPr>
          <w:rFonts w:ascii="Arial" w:cs="Arial" w:hAnsi="Arial"/>
          <w:b/>
          <w:u w:val="single"/>
        </w:rPr>
        <w:t>INTITULE DU PROJET/PROGRAMME</w:t>
      </w:r>
      <w:r>
        <w:rPr>
          <w:rFonts w:ascii="Arial" w:cs="Arial" w:hAnsi="Arial"/>
          <w:b/>
        </w:rPr>
        <w:t xml:space="preserve"> : </w:t>
      </w:r>
      <w:r>
        <w:rPr>
          <w:rFonts w:ascii="Arial" w:cs="Arial" w:hAnsi="Arial"/>
          <w:b/>
          <w:u w:val="dotted"/>
        </w:rPr>
        <w:t>PROGRAMME DE DEVELOPPEMENT ET DE COMPETITIVITE AGRICOLE (PDCA)</w:t>
      </w:r>
    </w:p>
    <w:p>
      <w:pPr>
        <w:pStyle w:val="style0"/>
        <w:spacing w:before="0"/>
        <w:jc w:val="center"/>
        <w:rPr>
          <w:rFonts w:ascii="Arial" w:cs="Arial" w:hAnsi="Arial"/>
          <w:b/>
          <w:sz w:val="18"/>
        </w:rPr>
      </w:pPr>
      <w:r>
        <w:rPr>
          <w:rFonts w:ascii="Arial" w:cs="Arial" w:hAnsi="Arial"/>
          <w:b/>
          <w:sz w:val="18"/>
        </w:rPr>
        <w:t>LISTE DES PARTICIPANTS AUX SEANCES DE CONSULTATIONS PUBLIQUES EN VUE DE L’ELABORATION DU CGES/PGPP</w:t>
      </w:r>
      <w:r>
        <w:rPr>
          <w:rFonts w:ascii="Arial" w:cs="Arial" w:hAnsi="Arial"/>
          <w:b/>
          <w:sz w:val="18"/>
        </w:rPr>
        <w:t>/CPR</w:t>
      </w:r>
    </w:p>
    <w:p>
      <w:pPr>
        <w:pStyle w:val="style0"/>
        <w:spacing w:before="0"/>
        <w:rPr>
          <w:rFonts w:ascii="Arial" w:cs="Arial" w:hAnsi="Arial"/>
          <w:b/>
          <w:sz w:val="20"/>
        </w:rPr>
      </w:pPr>
      <w:r>
        <w:rPr>
          <w:rFonts w:ascii="Arial" w:cs="Arial" w:hAnsi="Arial"/>
          <w:b/>
          <w:sz w:val="20"/>
        </w:rPr>
        <w:t xml:space="preserve">Région : </w:t>
      </w:r>
      <w:r>
        <w:rPr>
          <w:rFonts w:ascii="Arial" w:cs="Arial" w:hAnsi="Arial"/>
          <w:b/>
          <w:sz w:val="20"/>
          <w:u w:val="dotted"/>
        </w:rPr>
        <w:t>BOUCLE DU MOUHOUN</w:t>
      </w:r>
      <w:r>
        <w:rPr>
          <w:rFonts w:ascii="Arial" w:cs="Arial" w:hAnsi="Arial"/>
          <w:b/>
          <w:sz w:val="20"/>
        </w:rPr>
        <w:t>…………………………</w:t>
      </w:r>
      <w:r>
        <w:rPr>
          <w:rFonts w:ascii="Arial" w:cs="Arial" w:hAnsi="Arial"/>
          <w:b/>
          <w:sz w:val="20"/>
          <w:u w:val="dotted"/>
        </w:rPr>
        <w:t>Province</w:t>
      </w:r>
      <w:r>
        <w:rPr>
          <w:rFonts w:ascii="Arial" w:cs="Arial" w:hAnsi="Arial"/>
          <w:b/>
          <w:sz w:val="20"/>
        </w:rPr>
        <w:t xml:space="preserve"> : </w:t>
      </w:r>
      <w:r>
        <w:rPr>
          <w:rFonts w:ascii="Arial" w:cs="Arial" w:hAnsi="Arial"/>
          <w:b/>
          <w:sz w:val="20"/>
          <w:u w:val="dotted"/>
        </w:rPr>
        <w:t>SOUROU</w:t>
      </w:r>
      <w:r>
        <w:rPr>
          <w:rFonts w:ascii="Arial" w:cs="Arial" w:hAnsi="Arial"/>
          <w:b/>
          <w:sz w:val="20"/>
        </w:rPr>
        <w:t>…………………………….</w:t>
      </w:r>
      <w:r>
        <w:rPr>
          <w:rFonts w:ascii="Arial" w:cs="Arial" w:hAnsi="Arial"/>
          <w:b/>
          <w:sz w:val="20"/>
          <w:u w:val="dotted"/>
        </w:rPr>
        <w:t>Commune</w:t>
      </w:r>
      <w:r>
        <w:rPr>
          <w:rFonts w:ascii="Arial" w:cs="Arial" w:hAnsi="Arial"/>
          <w:b/>
          <w:sz w:val="20"/>
        </w:rPr>
        <w:t xml:space="preserve"> : </w:t>
      </w:r>
      <w:r>
        <w:rPr>
          <w:rFonts w:ascii="Arial" w:cs="Arial" w:hAnsi="Arial"/>
          <w:b/>
          <w:sz w:val="20"/>
          <w:u w:val="dotted"/>
        </w:rPr>
        <w:t>GASSAN</w:t>
      </w:r>
      <w:r>
        <w:rPr>
          <w:rFonts w:ascii="Arial" w:cs="Arial" w:hAnsi="Arial"/>
          <w:b/>
          <w:sz w:val="20"/>
        </w:rPr>
        <w:t>…………………………..</w:t>
      </w:r>
    </w:p>
    <w:p>
      <w:pPr>
        <w:pStyle w:val="style0"/>
        <w:spacing w:before="0"/>
        <w:rPr>
          <w:rFonts w:ascii="Arial" w:cs="Arial" w:hAnsi="Arial"/>
          <w:b/>
          <w:sz w:val="20"/>
        </w:rPr>
      </w:pPr>
      <w:r>
        <w:rPr>
          <w:rFonts w:ascii="Arial" w:cs="Arial" w:hAnsi="Arial"/>
          <w:b/>
          <w:sz w:val="20"/>
        </w:rPr>
        <w:t xml:space="preserve">Village : DE </w:t>
      </w:r>
      <w:r>
        <w:rPr>
          <w:rFonts w:ascii="Arial" w:cs="Arial" w:hAnsi="Arial"/>
          <w:b/>
          <w:sz w:val="20"/>
          <w:u w:val="dotted"/>
        </w:rPr>
        <w:t>BISSAN</w:t>
      </w:r>
      <w:r>
        <w:rPr>
          <w:rFonts w:ascii="Arial" w:cs="Arial" w:hAnsi="Arial"/>
          <w:b/>
          <w:sz w:val="20"/>
        </w:rPr>
        <w:t>………………………….Date : 12 janvier 2019………</w:t>
      </w:r>
      <w:r>
        <w:rPr>
          <w:rFonts w:ascii="Arial" w:cs="Arial" w:hAnsi="Arial"/>
          <w:b/>
          <w:sz w:val="20"/>
        </w:rPr>
        <w:t xml:space="preserve"> </w:t>
      </w:r>
      <w:r>
        <w:rPr>
          <w:rFonts w:ascii="Arial" w:cs="Arial" w:hAnsi="Arial"/>
          <w:b/>
          <w:sz w:val="20"/>
        </w:rPr>
        <w:t>Groupes cibles : Producteurs</w:t>
      </w:r>
    </w:p>
    <w:tbl>
      <w:tblPr>
        <w:tblStyle w:val="style154"/>
        <w:tblW w:w="14170" w:type="dxa"/>
        <w:tblLayout w:type="fixed"/>
        <w:tblLook w:val="04A0" w:firstRow="1" w:lastRow="0" w:firstColumn="1" w:lastColumn="0" w:noHBand="0" w:noVBand="1"/>
      </w:tblPr>
      <w:tblGrid>
        <w:gridCol w:w="675"/>
        <w:gridCol w:w="3431"/>
        <w:gridCol w:w="1134"/>
        <w:gridCol w:w="3119"/>
        <w:gridCol w:w="2835"/>
        <w:gridCol w:w="2976"/>
      </w:tblGrid>
      <w:tr>
        <w:trPr/>
        <w:tc>
          <w:tcPr>
            <w:tcW w:w="675" w:type="dxa"/>
            <w:tcBorders/>
            <w:vAlign w:val="center"/>
          </w:tcPr>
          <w:p>
            <w:pPr>
              <w:pStyle w:val="style0"/>
              <w:spacing w:before="0"/>
              <w:jc w:val="center"/>
              <w:rPr>
                <w:rFonts w:ascii="Arial" w:cs="Arial" w:hAnsi="Arial"/>
                <w:b/>
              </w:rPr>
            </w:pPr>
            <w:r>
              <w:rPr>
                <w:rFonts w:ascii="Arial" w:cs="Arial" w:hAnsi="Arial"/>
                <w:b/>
              </w:rPr>
              <w:t>N°</w:t>
            </w:r>
          </w:p>
        </w:tc>
        <w:tc>
          <w:tcPr>
            <w:tcW w:w="3431" w:type="dxa"/>
            <w:tcBorders/>
            <w:vAlign w:val="center"/>
          </w:tcPr>
          <w:p>
            <w:pPr>
              <w:pStyle w:val="style0"/>
              <w:spacing w:before="0"/>
              <w:jc w:val="center"/>
              <w:rPr>
                <w:rFonts w:ascii="Arial" w:cs="Arial" w:hAnsi="Arial"/>
                <w:b/>
              </w:rPr>
            </w:pPr>
            <w:r>
              <w:rPr>
                <w:rFonts w:ascii="Arial" w:cs="Arial" w:hAnsi="Arial"/>
                <w:b/>
              </w:rPr>
              <w:t>Nom et prénom (s)</w:t>
            </w:r>
          </w:p>
        </w:tc>
        <w:tc>
          <w:tcPr>
            <w:tcW w:w="1134" w:type="dxa"/>
            <w:tcBorders/>
            <w:vAlign w:val="center"/>
          </w:tcPr>
          <w:p>
            <w:pPr>
              <w:pStyle w:val="style0"/>
              <w:spacing w:before="0"/>
              <w:jc w:val="center"/>
              <w:rPr>
                <w:rFonts w:ascii="Arial" w:cs="Arial" w:hAnsi="Arial"/>
                <w:b/>
              </w:rPr>
            </w:pPr>
            <w:r>
              <w:rPr>
                <w:rFonts w:ascii="Arial" w:cs="Arial" w:hAnsi="Arial"/>
                <w:b/>
              </w:rPr>
              <w:t>Sexe</w:t>
            </w:r>
          </w:p>
        </w:tc>
        <w:tc>
          <w:tcPr>
            <w:tcW w:w="3119" w:type="dxa"/>
            <w:tcBorders/>
            <w:vAlign w:val="center"/>
          </w:tcPr>
          <w:p>
            <w:pPr>
              <w:pStyle w:val="style0"/>
              <w:spacing w:before="0"/>
              <w:jc w:val="center"/>
              <w:rPr>
                <w:rFonts w:ascii="Arial" w:cs="Arial" w:hAnsi="Arial"/>
                <w:b/>
              </w:rPr>
            </w:pPr>
            <w:r>
              <w:rPr>
                <w:rFonts w:ascii="Arial" w:cs="Arial" w:hAnsi="Arial"/>
                <w:b/>
              </w:rPr>
              <w:t>Profession</w:t>
            </w:r>
          </w:p>
        </w:tc>
        <w:tc>
          <w:tcPr>
            <w:tcW w:w="2835" w:type="dxa"/>
            <w:tcBorders/>
            <w:vAlign w:val="center"/>
          </w:tcPr>
          <w:p>
            <w:pPr>
              <w:pStyle w:val="style0"/>
              <w:spacing w:before="0"/>
              <w:jc w:val="center"/>
              <w:rPr>
                <w:rFonts w:ascii="Arial" w:cs="Arial" w:hAnsi="Arial"/>
                <w:b/>
              </w:rPr>
            </w:pPr>
            <w:r>
              <w:rPr>
                <w:rFonts w:ascii="Arial" w:cs="Arial" w:hAnsi="Arial"/>
                <w:b/>
              </w:rPr>
              <w:t>Téléphone</w:t>
            </w:r>
          </w:p>
        </w:tc>
        <w:tc>
          <w:tcPr>
            <w:tcW w:w="2976" w:type="dxa"/>
            <w:tcBorders/>
            <w:vAlign w:val="center"/>
          </w:tcPr>
          <w:p>
            <w:pPr>
              <w:pStyle w:val="style0"/>
              <w:spacing w:before="0"/>
              <w:jc w:val="center"/>
              <w:rPr>
                <w:rFonts w:ascii="Arial" w:cs="Arial" w:hAnsi="Arial"/>
                <w:b/>
              </w:rPr>
            </w:pPr>
            <w:r>
              <w:rPr>
                <w:rFonts w:ascii="Arial" w:cs="Arial" w:hAnsi="Arial"/>
                <w:b/>
              </w:rPr>
              <w:t>Signature/Empreinte</w:t>
            </w:r>
          </w:p>
        </w:tc>
      </w:tr>
      <w:tr>
        <w:tblPrEx/>
        <w:trPr/>
        <w:tc>
          <w:tcPr>
            <w:tcW w:w="675" w:type="dxa"/>
            <w:tcBorders/>
            <w:vAlign w:val="center"/>
          </w:tcPr>
          <w:p>
            <w:pPr>
              <w:pStyle w:val="style0"/>
              <w:spacing w:before="0"/>
              <w:jc w:val="center"/>
              <w:rPr>
                <w:rFonts w:ascii="Arial" w:cs="Arial" w:hAnsi="Arial"/>
              </w:rPr>
            </w:pPr>
            <w:r>
              <w:rPr>
                <w:rFonts w:ascii="Arial" w:cs="Arial" w:hAnsi="Arial"/>
              </w:rPr>
              <w:t>01</w:t>
            </w:r>
          </w:p>
        </w:tc>
        <w:tc>
          <w:tcPr>
            <w:tcW w:w="3431" w:type="dxa"/>
            <w:tcBorders/>
            <w:vAlign w:val="center"/>
          </w:tcPr>
          <w:p>
            <w:pPr>
              <w:pStyle w:val="style0"/>
              <w:spacing w:before="0"/>
              <w:rPr>
                <w:rFonts w:ascii="Arial" w:cs="Arial" w:hAnsi="Arial"/>
              </w:rPr>
            </w:pPr>
            <w:r>
              <w:rPr>
                <w:rFonts w:ascii="Arial" w:cs="Arial" w:hAnsi="Arial"/>
              </w:rPr>
              <w:t>KONATE Mamadou</w:t>
            </w:r>
          </w:p>
        </w:tc>
        <w:tc>
          <w:tcPr>
            <w:tcW w:w="1134" w:type="dxa"/>
            <w:tcBorders/>
          </w:tcPr>
          <w:p>
            <w:pPr>
              <w:pStyle w:val="style0"/>
              <w:spacing w:before="0"/>
              <w:jc w:val="center"/>
              <w:rPr>
                <w:rFonts w:ascii="Arial" w:cs="Arial" w:hAnsi="Arial"/>
              </w:rPr>
            </w:pPr>
            <w:r>
              <w:rPr>
                <w:rFonts w:ascii="Arial" w:cs="Arial" w:hAnsi="Arial"/>
              </w:rPr>
              <w:t>M</w:t>
            </w:r>
          </w:p>
        </w:tc>
        <w:tc>
          <w:tcPr>
            <w:tcW w:w="3119" w:type="dxa"/>
            <w:tcBorders/>
            <w:vAlign w:val="center"/>
          </w:tcPr>
          <w:p>
            <w:pPr>
              <w:pStyle w:val="style0"/>
              <w:spacing w:before="0"/>
              <w:rPr>
                <w:rFonts w:ascii="Arial" w:cs="Arial" w:hAnsi="Arial"/>
              </w:rPr>
            </w:pPr>
            <w:r>
              <w:rPr>
                <w:rFonts w:ascii="Arial" w:cs="Arial" w:hAnsi="Arial"/>
              </w:rPr>
              <w:t>CVD</w:t>
            </w:r>
          </w:p>
        </w:tc>
        <w:tc>
          <w:tcPr>
            <w:tcW w:w="2835" w:type="dxa"/>
            <w:tcBorders/>
            <w:vAlign w:val="center"/>
          </w:tcPr>
          <w:p>
            <w:pPr>
              <w:pStyle w:val="style0"/>
              <w:spacing w:before="0"/>
              <w:jc w:val="center"/>
              <w:rPr>
                <w:rFonts w:ascii="Arial" w:cs="Arial" w:hAnsi="Arial"/>
              </w:rPr>
            </w:pPr>
            <w:r>
              <w:rPr>
                <w:rFonts w:ascii="Arial" w:cs="Arial" w:hAnsi="Arial"/>
              </w:rPr>
              <w:t>61 08 62 18</w:t>
            </w:r>
          </w:p>
        </w:tc>
        <w:tc>
          <w:tcPr>
            <w:tcW w:w="2976"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02</w:t>
            </w:r>
          </w:p>
        </w:tc>
        <w:tc>
          <w:tcPr>
            <w:tcW w:w="3431" w:type="dxa"/>
            <w:tcBorders/>
            <w:vAlign w:val="center"/>
          </w:tcPr>
          <w:p>
            <w:pPr>
              <w:pStyle w:val="style0"/>
              <w:spacing w:before="0"/>
              <w:rPr>
                <w:rFonts w:ascii="Arial" w:cs="Arial" w:hAnsi="Arial"/>
                <w:lang w:val="de-DE"/>
              </w:rPr>
            </w:pPr>
            <w:r>
              <w:rPr>
                <w:rFonts w:ascii="Arial" w:cs="Arial" w:hAnsi="Arial"/>
                <w:lang w:val="de-DE"/>
              </w:rPr>
              <w:t>SIMBRI Lasina</w:t>
            </w:r>
          </w:p>
        </w:tc>
        <w:tc>
          <w:tcPr>
            <w:tcW w:w="1134" w:type="dxa"/>
            <w:tcBorders/>
          </w:tcPr>
          <w:p>
            <w:pPr>
              <w:pStyle w:val="style0"/>
              <w:spacing w:before="0"/>
              <w:jc w:val="center"/>
              <w:rPr/>
            </w:pPr>
            <w:r>
              <w:rPr>
                <w:rFonts w:ascii="Arial" w:cs="Arial" w:hAnsi="Arial"/>
              </w:rPr>
              <w:t>M</w:t>
            </w:r>
          </w:p>
        </w:tc>
        <w:tc>
          <w:tcPr>
            <w:tcW w:w="3119" w:type="dxa"/>
            <w:tcBorders/>
            <w:vAlign w:val="center"/>
          </w:tcPr>
          <w:p>
            <w:pPr>
              <w:pStyle w:val="style0"/>
              <w:spacing w:before="0"/>
              <w:rPr>
                <w:rFonts w:ascii="Arial" w:cs="Arial" w:hAnsi="Arial"/>
              </w:rPr>
            </w:pPr>
            <w:r>
              <w:rPr>
                <w:rFonts w:ascii="Arial" w:cs="Arial" w:hAnsi="Arial"/>
              </w:rPr>
              <w:t>Vice Président CVD</w:t>
            </w:r>
          </w:p>
        </w:tc>
        <w:tc>
          <w:tcPr>
            <w:tcW w:w="2835" w:type="dxa"/>
            <w:tcBorders/>
            <w:vAlign w:val="center"/>
          </w:tcPr>
          <w:p>
            <w:pPr>
              <w:pStyle w:val="style0"/>
              <w:spacing w:before="0"/>
              <w:jc w:val="center"/>
              <w:rPr>
                <w:rFonts w:ascii="Arial" w:cs="Arial" w:hAnsi="Arial"/>
              </w:rPr>
            </w:pPr>
            <w:r>
              <w:rPr>
                <w:rFonts w:ascii="Arial" w:cs="Arial" w:hAnsi="Arial"/>
              </w:rPr>
              <w:t>77 75 53 36</w:t>
            </w:r>
          </w:p>
        </w:tc>
        <w:tc>
          <w:tcPr>
            <w:tcW w:w="2976"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lang w:val="de-DE"/>
              </w:rPr>
            </w:pPr>
            <w:r>
              <w:rPr>
                <w:rFonts w:ascii="Arial" w:cs="Arial" w:hAnsi="Arial"/>
                <w:lang w:val="de-DE"/>
              </w:rPr>
              <w:t>03</w:t>
            </w:r>
          </w:p>
        </w:tc>
        <w:tc>
          <w:tcPr>
            <w:tcW w:w="3431" w:type="dxa"/>
            <w:tcBorders/>
            <w:vAlign w:val="center"/>
          </w:tcPr>
          <w:p>
            <w:pPr>
              <w:pStyle w:val="style0"/>
              <w:spacing w:before="0"/>
              <w:rPr>
                <w:rFonts w:ascii="Arial" w:cs="Arial" w:hAnsi="Arial"/>
                <w:lang w:val="de-DE"/>
              </w:rPr>
            </w:pPr>
            <w:r>
              <w:rPr>
                <w:rFonts w:ascii="Arial" w:cs="Arial" w:hAnsi="Arial"/>
                <w:lang w:val="de-DE"/>
              </w:rPr>
              <w:t>KAMBIRE Tangui</w:t>
            </w:r>
          </w:p>
        </w:tc>
        <w:tc>
          <w:tcPr>
            <w:tcW w:w="1134" w:type="dxa"/>
            <w:tcBorders/>
          </w:tcPr>
          <w:p>
            <w:pPr>
              <w:pStyle w:val="style0"/>
              <w:spacing w:before="0"/>
              <w:jc w:val="center"/>
              <w:rPr/>
            </w:pPr>
            <w:r>
              <w:rPr>
                <w:rFonts w:ascii="Arial" w:cs="Arial" w:hAnsi="Arial"/>
              </w:rPr>
              <w:t>M</w:t>
            </w:r>
          </w:p>
        </w:tc>
        <w:tc>
          <w:tcPr>
            <w:tcW w:w="3119" w:type="dxa"/>
            <w:tcBorders/>
            <w:vAlign w:val="center"/>
          </w:tcPr>
          <w:p>
            <w:pPr>
              <w:pStyle w:val="style0"/>
              <w:spacing w:before="0"/>
              <w:rPr>
                <w:rFonts w:ascii="Arial" w:cs="Arial" w:hAnsi="Arial"/>
              </w:rPr>
            </w:pPr>
            <w:r>
              <w:rPr>
                <w:rFonts w:ascii="Arial" w:cs="Arial" w:hAnsi="Arial"/>
              </w:rPr>
              <w:t>Producteur</w:t>
            </w:r>
          </w:p>
        </w:tc>
        <w:tc>
          <w:tcPr>
            <w:tcW w:w="2835" w:type="dxa"/>
            <w:tcBorders/>
            <w:vAlign w:val="center"/>
          </w:tcPr>
          <w:p>
            <w:pPr>
              <w:pStyle w:val="style0"/>
              <w:spacing w:before="0"/>
              <w:jc w:val="center"/>
              <w:rPr>
                <w:rFonts w:ascii="Arial" w:cs="Arial" w:hAnsi="Arial"/>
                <w:lang w:val="de-DE"/>
              </w:rPr>
            </w:pPr>
            <w:r>
              <w:rPr>
                <w:rFonts w:ascii="Arial" w:cs="Arial" w:hAnsi="Arial"/>
                <w:lang w:val="de-DE"/>
              </w:rPr>
              <w:t>76 91 39 16</w:t>
            </w:r>
          </w:p>
        </w:tc>
        <w:tc>
          <w:tcPr>
            <w:tcW w:w="2976" w:type="dxa"/>
            <w:tcBorders/>
            <w:vAlign w:val="center"/>
          </w:tcPr>
          <w:p>
            <w:pPr>
              <w:pStyle w:val="style0"/>
              <w:spacing w:before="0"/>
              <w:jc w:val="center"/>
              <w:rPr>
                <w:rFonts w:ascii="Arial" w:cs="Arial" w:hAnsi="Arial"/>
                <w:lang w:val="de-DE"/>
              </w:rPr>
            </w:pPr>
          </w:p>
        </w:tc>
      </w:tr>
      <w:tr>
        <w:tblPrEx/>
        <w:trPr/>
        <w:tc>
          <w:tcPr>
            <w:tcW w:w="675" w:type="dxa"/>
            <w:tcBorders/>
            <w:vAlign w:val="center"/>
          </w:tcPr>
          <w:p>
            <w:pPr>
              <w:pStyle w:val="style0"/>
              <w:spacing w:before="0"/>
              <w:jc w:val="center"/>
              <w:rPr>
                <w:rFonts w:ascii="Arial" w:cs="Arial" w:hAnsi="Arial"/>
                <w:lang w:val="de-DE"/>
              </w:rPr>
            </w:pPr>
            <w:r>
              <w:rPr>
                <w:rFonts w:ascii="Arial" w:cs="Arial" w:hAnsi="Arial"/>
                <w:lang w:val="de-DE"/>
              </w:rPr>
              <w:t>04</w:t>
            </w:r>
          </w:p>
        </w:tc>
        <w:tc>
          <w:tcPr>
            <w:tcW w:w="3431" w:type="dxa"/>
            <w:tcBorders/>
            <w:vAlign w:val="center"/>
          </w:tcPr>
          <w:p>
            <w:pPr>
              <w:pStyle w:val="style0"/>
              <w:spacing w:before="0"/>
              <w:rPr>
                <w:rFonts w:ascii="Arial" w:cs="Arial" w:hAnsi="Arial"/>
                <w:lang w:val="de-DE"/>
              </w:rPr>
            </w:pPr>
            <w:r>
              <w:rPr>
                <w:rFonts w:ascii="Arial" w:cs="Arial" w:hAnsi="Arial"/>
                <w:lang w:val="de-DE"/>
              </w:rPr>
              <w:t>SAO Nounbi</w:t>
            </w:r>
          </w:p>
        </w:tc>
        <w:tc>
          <w:tcPr>
            <w:tcW w:w="1134" w:type="dxa"/>
            <w:tcBorders/>
          </w:tcPr>
          <w:p>
            <w:pPr>
              <w:pStyle w:val="style0"/>
              <w:spacing w:before="0"/>
              <w:jc w:val="center"/>
              <w:rPr/>
            </w:pPr>
            <w:r>
              <w:rPr>
                <w:rFonts w:ascii="Arial" w:cs="Arial" w:hAnsi="Arial"/>
              </w:rPr>
              <w:t>M</w:t>
            </w:r>
          </w:p>
        </w:tc>
        <w:tc>
          <w:tcPr>
            <w:tcW w:w="3119" w:type="dxa"/>
            <w:tcBorders/>
          </w:tcPr>
          <w:p>
            <w:pPr>
              <w:pStyle w:val="style0"/>
              <w:spacing w:before="0"/>
              <w:rPr/>
            </w:pPr>
            <w:r>
              <w:rPr>
                <w:rFonts w:ascii="Arial" w:cs="Arial" w:hAnsi="Arial"/>
              </w:rPr>
              <w:t>Producteur</w:t>
            </w:r>
          </w:p>
        </w:tc>
        <w:tc>
          <w:tcPr>
            <w:tcW w:w="2835" w:type="dxa"/>
            <w:tcBorders/>
            <w:vAlign w:val="center"/>
          </w:tcPr>
          <w:p>
            <w:pPr>
              <w:pStyle w:val="style0"/>
              <w:spacing w:before="0"/>
              <w:jc w:val="center"/>
              <w:rPr>
                <w:rFonts w:ascii="Arial" w:cs="Arial" w:hAnsi="Arial"/>
              </w:rPr>
            </w:pPr>
            <w:r>
              <w:rPr>
                <w:rFonts w:ascii="Arial" w:cs="Arial" w:hAnsi="Arial"/>
              </w:rPr>
              <w:t>70 05 83 21</w:t>
            </w:r>
          </w:p>
        </w:tc>
        <w:tc>
          <w:tcPr>
            <w:tcW w:w="2976"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05</w:t>
            </w:r>
          </w:p>
        </w:tc>
        <w:tc>
          <w:tcPr>
            <w:tcW w:w="3431" w:type="dxa"/>
            <w:tcBorders/>
            <w:vAlign w:val="center"/>
          </w:tcPr>
          <w:p>
            <w:pPr>
              <w:pStyle w:val="style0"/>
              <w:spacing w:before="0"/>
              <w:rPr>
                <w:rFonts w:ascii="Arial" w:cs="Arial" w:hAnsi="Arial"/>
                <w:lang w:val="de-DE"/>
              </w:rPr>
            </w:pPr>
            <w:r>
              <w:rPr>
                <w:rFonts w:ascii="Arial" w:cs="Arial" w:hAnsi="Arial"/>
                <w:lang w:val="de-DE"/>
              </w:rPr>
              <w:t>SAO Salif</w:t>
            </w:r>
          </w:p>
        </w:tc>
        <w:tc>
          <w:tcPr>
            <w:tcW w:w="1134" w:type="dxa"/>
            <w:tcBorders/>
          </w:tcPr>
          <w:p>
            <w:pPr>
              <w:pStyle w:val="style0"/>
              <w:spacing w:before="0"/>
              <w:jc w:val="center"/>
              <w:rPr/>
            </w:pPr>
            <w:r>
              <w:rPr>
                <w:rFonts w:ascii="Arial" w:cs="Arial" w:hAnsi="Arial"/>
              </w:rPr>
              <w:t>M</w:t>
            </w:r>
          </w:p>
        </w:tc>
        <w:tc>
          <w:tcPr>
            <w:tcW w:w="3119" w:type="dxa"/>
            <w:tcBorders/>
          </w:tcPr>
          <w:p>
            <w:pPr>
              <w:pStyle w:val="style0"/>
              <w:spacing w:before="0"/>
              <w:rPr/>
            </w:pPr>
            <w:r>
              <w:rPr>
                <w:rFonts w:ascii="Arial" w:cs="Arial" w:hAnsi="Arial"/>
              </w:rPr>
              <w:t>Producteur</w:t>
            </w:r>
          </w:p>
        </w:tc>
        <w:tc>
          <w:tcPr>
            <w:tcW w:w="2835" w:type="dxa"/>
            <w:tcBorders/>
            <w:vAlign w:val="center"/>
          </w:tcPr>
          <w:p>
            <w:pPr>
              <w:pStyle w:val="style0"/>
              <w:spacing w:before="0"/>
              <w:jc w:val="center"/>
              <w:rPr>
                <w:rFonts w:ascii="Arial" w:cs="Arial" w:hAnsi="Arial"/>
              </w:rPr>
            </w:pPr>
            <w:r>
              <w:rPr>
                <w:rFonts w:ascii="Arial" w:cs="Arial" w:hAnsi="Arial"/>
              </w:rPr>
              <w:t>55 91 78 82</w:t>
            </w:r>
          </w:p>
        </w:tc>
        <w:tc>
          <w:tcPr>
            <w:tcW w:w="2976" w:type="dxa"/>
            <w:tcBorders/>
            <w:vAlign w:val="center"/>
          </w:tcPr>
          <w:p>
            <w:pPr>
              <w:pStyle w:val="style0"/>
              <w:spacing w:before="0"/>
              <w:jc w:val="center"/>
              <w:rPr>
                <w:rFonts w:ascii="Arial" w:cs="Arial" w:hAnsi="Arial"/>
              </w:rPr>
            </w:pPr>
          </w:p>
        </w:tc>
      </w:tr>
    </w:tbl>
    <w:p>
      <w:pPr>
        <w:pStyle w:val="style0"/>
        <w:spacing w:before="0"/>
        <w:rPr>
          <w:rFonts w:ascii="Arial" w:cs="Arial" w:hAnsi="Arial"/>
          <w:sz w:val="20"/>
        </w:rPr>
      </w:pPr>
    </w:p>
    <w:p>
      <w:pPr>
        <w:pStyle w:val="style0"/>
        <w:spacing w:before="0"/>
        <w:rPr>
          <w:rFonts w:ascii="Arial" w:cs="Arial" w:hAnsi="Arial"/>
          <w:sz w:val="20"/>
        </w:rPr>
      </w:pPr>
    </w:p>
    <w:p>
      <w:pPr>
        <w:pStyle w:val="style0"/>
        <w:spacing w:before="0"/>
        <w:rPr>
          <w:rFonts w:ascii="Arial" w:cs="Arial" w:hAnsi="Arial"/>
          <w:b/>
        </w:rPr>
      </w:pPr>
      <w:r>
        <w:rPr>
          <w:rFonts w:ascii="Arial" w:cs="Arial" w:hAnsi="Arial"/>
          <w:b/>
          <w:u w:val="dotted"/>
        </w:rPr>
        <w:t>INTITULE DU PROJET/PROGRAMME</w:t>
      </w:r>
      <w:r>
        <w:rPr>
          <w:rFonts w:ascii="Arial" w:cs="Arial" w:hAnsi="Arial"/>
          <w:b/>
        </w:rPr>
        <w:t xml:space="preserve"> : </w:t>
      </w:r>
      <w:r>
        <w:rPr>
          <w:rFonts w:ascii="Arial" w:cs="Arial" w:hAnsi="Arial"/>
          <w:b/>
          <w:u w:val="dotted"/>
        </w:rPr>
        <w:t>PROGRAMME DE DEVELOPPEMENT ET DE COMPETITIVITE AGRICOLE (PDCA)</w:t>
      </w:r>
    </w:p>
    <w:p>
      <w:pPr>
        <w:pStyle w:val="style0"/>
        <w:spacing w:before="0"/>
        <w:jc w:val="center"/>
        <w:rPr>
          <w:rFonts w:ascii="Arial" w:cs="Arial" w:hAnsi="Arial"/>
          <w:b/>
          <w:sz w:val="18"/>
        </w:rPr>
      </w:pPr>
      <w:r>
        <w:rPr>
          <w:rFonts w:ascii="Arial" w:cs="Arial" w:hAnsi="Arial"/>
          <w:b/>
          <w:sz w:val="18"/>
        </w:rPr>
        <w:t>LISTE DES PARTICIPANTS AUX SEANCES DE CONSULTATIONS PUBLIQUES EN VUE DE L’ELABORATION DU CGES/PGPP</w:t>
      </w:r>
      <w:r>
        <w:rPr>
          <w:rFonts w:ascii="Arial" w:cs="Arial" w:hAnsi="Arial"/>
          <w:b/>
          <w:sz w:val="18"/>
        </w:rPr>
        <w:t>/CPR</w:t>
      </w:r>
    </w:p>
    <w:p>
      <w:pPr>
        <w:pStyle w:val="style0"/>
        <w:spacing w:before="0"/>
        <w:rPr>
          <w:rFonts w:ascii="Arial" w:cs="Arial" w:hAnsi="Arial"/>
          <w:b/>
          <w:sz w:val="20"/>
        </w:rPr>
      </w:pPr>
      <w:r>
        <w:rPr>
          <w:rFonts w:ascii="Arial" w:cs="Arial" w:hAnsi="Arial"/>
          <w:b/>
          <w:sz w:val="20"/>
        </w:rPr>
        <w:t xml:space="preserve">Région : </w:t>
      </w:r>
      <w:r>
        <w:rPr>
          <w:rFonts w:ascii="Arial" w:cs="Arial" w:hAnsi="Arial"/>
          <w:b/>
          <w:sz w:val="20"/>
          <w:u w:val="dotted"/>
        </w:rPr>
        <w:t>BOUCLE DU MOUHOUN</w:t>
      </w:r>
      <w:r>
        <w:rPr>
          <w:rFonts w:ascii="Arial" w:cs="Arial" w:hAnsi="Arial"/>
          <w:b/>
          <w:sz w:val="20"/>
        </w:rPr>
        <w:t>…………………………</w:t>
      </w:r>
      <w:r>
        <w:rPr>
          <w:rFonts w:ascii="Arial" w:cs="Arial" w:hAnsi="Arial"/>
          <w:b/>
          <w:sz w:val="20"/>
          <w:u w:val="dotted"/>
        </w:rPr>
        <w:t>Province</w:t>
      </w:r>
      <w:r>
        <w:rPr>
          <w:rFonts w:ascii="Arial" w:cs="Arial" w:hAnsi="Arial"/>
          <w:b/>
          <w:sz w:val="20"/>
        </w:rPr>
        <w:t xml:space="preserve"> : </w:t>
      </w:r>
      <w:r>
        <w:rPr>
          <w:rFonts w:ascii="Arial" w:cs="Arial" w:hAnsi="Arial"/>
          <w:b/>
          <w:sz w:val="20"/>
          <w:u w:val="dotted"/>
        </w:rPr>
        <w:t>KOSSI</w:t>
      </w:r>
      <w:r>
        <w:rPr>
          <w:rFonts w:ascii="Arial" w:cs="Arial" w:hAnsi="Arial"/>
          <w:b/>
          <w:sz w:val="20"/>
        </w:rPr>
        <w:t>…………………………….</w:t>
      </w:r>
      <w:r>
        <w:rPr>
          <w:rFonts w:ascii="Arial" w:cs="Arial" w:hAnsi="Arial"/>
          <w:b/>
          <w:sz w:val="20"/>
          <w:u w:val="dotted"/>
        </w:rPr>
        <w:t>Commune</w:t>
      </w:r>
      <w:r>
        <w:rPr>
          <w:rFonts w:ascii="Arial" w:cs="Arial" w:hAnsi="Arial"/>
          <w:b/>
          <w:sz w:val="20"/>
        </w:rPr>
        <w:t xml:space="preserve"> : </w:t>
      </w:r>
      <w:r>
        <w:rPr>
          <w:rFonts w:ascii="Arial" w:cs="Arial" w:hAnsi="Arial"/>
          <w:b/>
          <w:sz w:val="20"/>
          <w:u w:val="dotted"/>
        </w:rPr>
        <w:t>NOUNA</w:t>
      </w:r>
      <w:r>
        <w:rPr>
          <w:rFonts w:ascii="Arial" w:cs="Arial" w:hAnsi="Arial"/>
          <w:b/>
          <w:sz w:val="20"/>
        </w:rPr>
        <w:t>…………………………..</w:t>
      </w:r>
    </w:p>
    <w:p>
      <w:pPr>
        <w:pStyle w:val="style0"/>
        <w:spacing w:before="0"/>
        <w:rPr/>
      </w:pPr>
      <w:r>
        <w:rPr>
          <w:rFonts w:ascii="Arial" w:cs="Arial" w:hAnsi="Arial"/>
          <w:b/>
          <w:sz w:val="20"/>
        </w:rPr>
        <w:t xml:space="preserve">Village : </w:t>
      </w:r>
      <w:r>
        <w:rPr>
          <w:rFonts w:ascii="Arial" w:cs="Arial" w:hAnsi="Arial"/>
          <w:b/>
          <w:sz w:val="20"/>
          <w:u w:val="dotted"/>
        </w:rPr>
        <w:t>NOUNA</w:t>
      </w:r>
      <w:r>
        <w:rPr>
          <w:rFonts w:ascii="Arial" w:cs="Arial" w:hAnsi="Arial"/>
          <w:b/>
          <w:sz w:val="20"/>
        </w:rPr>
        <w:t xml:space="preserve">………………………….Date : </w:t>
      </w:r>
      <w:r>
        <w:rPr>
          <w:rFonts w:ascii="Arial" w:cs="Arial" w:hAnsi="Arial"/>
          <w:b/>
          <w:sz w:val="20"/>
          <w:u w:val="dotted"/>
        </w:rPr>
        <w:t>11</w:t>
      </w:r>
      <w:r>
        <w:rPr>
          <w:rFonts w:ascii="Arial" w:cs="Arial" w:hAnsi="Arial"/>
          <w:b/>
          <w:sz w:val="20"/>
          <w:u w:val="dotted"/>
        </w:rPr>
        <w:t>/01/2019</w:t>
      </w:r>
      <w:r>
        <w:rPr>
          <w:rFonts w:ascii="Arial" w:cs="Arial" w:hAnsi="Arial"/>
          <w:b/>
          <w:sz w:val="20"/>
        </w:rPr>
        <w:t>…………………</w:t>
      </w:r>
      <w:r>
        <w:rPr>
          <w:rFonts w:ascii="Arial" w:cs="Arial" w:hAnsi="Arial"/>
          <w:b/>
          <w:sz w:val="20"/>
        </w:rPr>
        <w:t xml:space="preserve"> </w:t>
      </w:r>
      <w:r>
        <w:rPr>
          <w:rFonts w:ascii="Arial" w:cs="Arial" w:hAnsi="Arial"/>
          <w:b/>
          <w:sz w:val="20"/>
        </w:rPr>
        <w:t>Groupes cibles : Services techniques, Mairie/Préfectures…</w:t>
      </w:r>
    </w:p>
    <w:tbl>
      <w:tblPr>
        <w:tblStyle w:val="style154"/>
        <w:tblW w:w="15163" w:type="dxa"/>
        <w:tblLayout w:type="fixed"/>
        <w:tblLook w:val="04A0" w:firstRow="1" w:lastRow="0" w:firstColumn="1" w:lastColumn="0" w:noHBand="0" w:noVBand="1"/>
      </w:tblPr>
      <w:tblGrid>
        <w:gridCol w:w="675"/>
        <w:gridCol w:w="3006"/>
        <w:gridCol w:w="850"/>
        <w:gridCol w:w="3153"/>
        <w:gridCol w:w="4785"/>
        <w:gridCol w:w="2694"/>
      </w:tblGrid>
      <w:tr>
        <w:trPr/>
        <w:tc>
          <w:tcPr>
            <w:tcW w:w="675" w:type="dxa"/>
            <w:tcBorders/>
            <w:vAlign w:val="center"/>
          </w:tcPr>
          <w:p>
            <w:pPr>
              <w:pStyle w:val="style0"/>
              <w:spacing w:before="0"/>
              <w:jc w:val="center"/>
              <w:rPr>
                <w:rFonts w:ascii="Arial" w:cs="Arial" w:hAnsi="Arial"/>
                <w:b/>
              </w:rPr>
            </w:pPr>
            <w:r>
              <w:rPr>
                <w:rFonts w:ascii="Arial" w:cs="Arial" w:hAnsi="Arial"/>
                <w:b/>
              </w:rPr>
              <w:t>N°</w:t>
            </w:r>
          </w:p>
        </w:tc>
        <w:tc>
          <w:tcPr>
            <w:tcW w:w="3006" w:type="dxa"/>
            <w:tcBorders/>
            <w:vAlign w:val="center"/>
          </w:tcPr>
          <w:p>
            <w:pPr>
              <w:pStyle w:val="style0"/>
              <w:spacing w:before="0"/>
              <w:jc w:val="center"/>
              <w:rPr>
                <w:rFonts w:ascii="Arial" w:cs="Arial" w:hAnsi="Arial"/>
                <w:b/>
              </w:rPr>
            </w:pPr>
            <w:r>
              <w:rPr>
                <w:rFonts w:ascii="Arial" w:cs="Arial" w:hAnsi="Arial"/>
                <w:b/>
              </w:rPr>
              <w:t>Nom et prénom (s)</w:t>
            </w:r>
          </w:p>
        </w:tc>
        <w:tc>
          <w:tcPr>
            <w:tcW w:w="850" w:type="dxa"/>
            <w:tcBorders/>
            <w:vAlign w:val="center"/>
          </w:tcPr>
          <w:p>
            <w:pPr>
              <w:pStyle w:val="style0"/>
              <w:spacing w:before="0"/>
              <w:jc w:val="center"/>
              <w:rPr>
                <w:rFonts w:ascii="Arial" w:cs="Arial" w:hAnsi="Arial"/>
                <w:b/>
              </w:rPr>
            </w:pPr>
            <w:r>
              <w:rPr>
                <w:rFonts w:ascii="Arial" w:cs="Arial" w:hAnsi="Arial"/>
                <w:b/>
              </w:rPr>
              <w:t>Sexe</w:t>
            </w:r>
          </w:p>
        </w:tc>
        <w:tc>
          <w:tcPr>
            <w:tcW w:w="3153" w:type="dxa"/>
            <w:tcBorders/>
            <w:vAlign w:val="center"/>
          </w:tcPr>
          <w:p>
            <w:pPr>
              <w:pStyle w:val="style0"/>
              <w:spacing w:before="0"/>
              <w:jc w:val="center"/>
              <w:rPr>
                <w:rFonts w:ascii="Arial" w:cs="Arial" w:hAnsi="Arial"/>
                <w:b/>
              </w:rPr>
            </w:pPr>
            <w:r>
              <w:rPr>
                <w:rFonts w:ascii="Arial" w:cs="Arial" w:hAnsi="Arial"/>
                <w:b/>
              </w:rPr>
              <w:t>Profession</w:t>
            </w:r>
          </w:p>
        </w:tc>
        <w:tc>
          <w:tcPr>
            <w:tcW w:w="4785" w:type="dxa"/>
            <w:tcBorders/>
            <w:vAlign w:val="center"/>
          </w:tcPr>
          <w:p>
            <w:pPr>
              <w:pStyle w:val="style0"/>
              <w:spacing w:before="0"/>
              <w:jc w:val="center"/>
              <w:rPr>
                <w:rFonts w:ascii="Arial" w:cs="Arial" w:hAnsi="Arial"/>
                <w:b/>
              </w:rPr>
            </w:pPr>
            <w:r>
              <w:rPr>
                <w:rFonts w:ascii="Arial" w:cs="Arial" w:hAnsi="Arial"/>
                <w:b/>
              </w:rPr>
              <w:t>Téléphone</w:t>
            </w:r>
          </w:p>
        </w:tc>
        <w:tc>
          <w:tcPr>
            <w:tcW w:w="2694" w:type="dxa"/>
            <w:tcBorders/>
            <w:vAlign w:val="center"/>
          </w:tcPr>
          <w:p>
            <w:pPr>
              <w:pStyle w:val="style0"/>
              <w:spacing w:before="0"/>
              <w:jc w:val="center"/>
              <w:rPr>
                <w:rFonts w:ascii="Arial" w:cs="Arial" w:hAnsi="Arial"/>
                <w:b/>
              </w:rPr>
            </w:pPr>
            <w:r>
              <w:rPr>
                <w:rFonts w:ascii="Arial" w:cs="Arial" w:hAnsi="Arial"/>
                <w:b/>
              </w:rPr>
              <w:t>Signature/Empreinte</w:t>
            </w:r>
          </w:p>
        </w:tc>
      </w:tr>
      <w:tr>
        <w:tblPrEx/>
        <w:trPr/>
        <w:tc>
          <w:tcPr>
            <w:tcW w:w="675" w:type="dxa"/>
            <w:tcBorders/>
            <w:vAlign w:val="center"/>
          </w:tcPr>
          <w:p>
            <w:pPr>
              <w:pStyle w:val="style0"/>
              <w:spacing w:before="0"/>
              <w:jc w:val="center"/>
              <w:rPr>
                <w:rFonts w:ascii="Arial" w:cs="Arial" w:hAnsi="Arial"/>
              </w:rPr>
            </w:pPr>
            <w:r>
              <w:rPr>
                <w:rFonts w:ascii="Arial" w:cs="Arial" w:hAnsi="Arial"/>
              </w:rPr>
              <w:t>0</w:t>
            </w:r>
            <w:r>
              <w:rPr>
                <w:rFonts w:ascii="Arial" w:cs="Arial" w:hAnsi="Arial"/>
              </w:rPr>
              <w:t>6</w:t>
            </w:r>
          </w:p>
        </w:tc>
        <w:tc>
          <w:tcPr>
            <w:tcW w:w="3006" w:type="dxa"/>
            <w:tcBorders/>
            <w:vAlign w:val="center"/>
          </w:tcPr>
          <w:p>
            <w:pPr>
              <w:pStyle w:val="style0"/>
              <w:spacing w:before="0"/>
              <w:rPr>
                <w:rFonts w:ascii="Arial" w:cs="Arial" w:hAnsi="Arial"/>
              </w:rPr>
            </w:pPr>
            <w:r>
              <w:rPr>
                <w:rFonts w:ascii="Arial" w:cs="Arial" w:hAnsi="Arial"/>
              </w:rPr>
              <w:t>DEMBELE Bazani</w:t>
            </w:r>
          </w:p>
        </w:tc>
        <w:tc>
          <w:tcPr>
            <w:tcW w:w="850" w:type="dxa"/>
            <w:tcBorders/>
          </w:tcPr>
          <w:p>
            <w:pPr>
              <w:pStyle w:val="style0"/>
              <w:spacing w:before="0"/>
              <w:jc w:val="center"/>
              <w:rPr/>
            </w:pPr>
            <w:r>
              <w:rPr>
                <w:rFonts w:ascii="Arial" w:cs="Arial" w:hAnsi="Arial"/>
                <w:lang w:val="de-DE"/>
              </w:rPr>
              <w:t>M</w:t>
            </w:r>
          </w:p>
        </w:tc>
        <w:tc>
          <w:tcPr>
            <w:tcW w:w="3153" w:type="dxa"/>
            <w:tcBorders/>
            <w:vAlign w:val="center"/>
          </w:tcPr>
          <w:p>
            <w:pPr>
              <w:pStyle w:val="style0"/>
              <w:spacing w:before="0"/>
              <w:rPr>
                <w:rFonts w:ascii="Arial" w:cs="Arial" w:hAnsi="Arial"/>
              </w:rPr>
            </w:pPr>
            <w:r>
              <w:rPr>
                <w:rFonts w:ascii="Arial" w:cs="Arial" w:hAnsi="Arial"/>
              </w:rPr>
              <w:t>Agronome DPAAH/Kossi</w:t>
            </w:r>
          </w:p>
        </w:tc>
        <w:tc>
          <w:tcPr>
            <w:tcW w:w="4785" w:type="dxa"/>
            <w:tcBorders/>
            <w:vAlign w:val="center"/>
          </w:tcPr>
          <w:p>
            <w:pPr>
              <w:pStyle w:val="style0"/>
              <w:spacing w:before="0"/>
              <w:jc w:val="center"/>
              <w:rPr>
                <w:rFonts w:ascii="Arial" w:cs="Arial" w:hAnsi="Arial"/>
              </w:rPr>
            </w:pPr>
            <w:r>
              <w:rPr/>
              <w:fldChar w:fldCharType="begin"/>
            </w:r>
            <w:r>
              <w:instrText xml:space="preserve"> HYPERLINK "mailto:bazani_@yahoo.fr" </w:instrText>
            </w:r>
            <w:r>
              <w:rPr/>
              <w:fldChar w:fldCharType="separate"/>
            </w:r>
            <w:r>
              <w:rPr>
                <w:rStyle w:val="style85"/>
                <w:rFonts w:ascii="Arial" w:cs="Arial" w:hAnsi="Arial"/>
              </w:rPr>
              <w:t>bazani_@yahoo.fr</w:t>
            </w:r>
            <w:r>
              <w:rPr/>
              <w:fldChar w:fldCharType="end"/>
            </w:r>
          </w:p>
          <w:p>
            <w:pPr>
              <w:pStyle w:val="style0"/>
              <w:spacing w:before="0"/>
              <w:jc w:val="center"/>
              <w:rPr>
                <w:rFonts w:ascii="Arial" w:cs="Arial" w:hAnsi="Arial"/>
              </w:rPr>
            </w:pPr>
            <w:r>
              <w:rPr>
                <w:rFonts w:ascii="Arial" w:cs="Arial" w:hAnsi="Arial"/>
              </w:rPr>
              <w:t>70 11 09 22</w:t>
            </w:r>
          </w:p>
        </w:tc>
        <w:tc>
          <w:tcPr>
            <w:tcW w:w="2694"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w:t>
            </w:r>
            <w:r>
              <w:rPr>
                <w:rFonts w:ascii="Arial" w:cs="Arial" w:hAnsi="Arial"/>
              </w:rPr>
              <w:t>7</w:t>
            </w:r>
          </w:p>
        </w:tc>
        <w:tc>
          <w:tcPr>
            <w:tcW w:w="3006" w:type="dxa"/>
            <w:tcBorders/>
            <w:vAlign w:val="center"/>
          </w:tcPr>
          <w:p>
            <w:pPr>
              <w:pStyle w:val="style0"/>
              <w:spacing w:before="0"/>
              <w:rPr>
                <w:rFonts w:ascii="Arial" w:cs="Arial" w:hAnsi="Arial"/>
                <w:lang w:val="de-DE"/>
              </w:rPr>
            </w:pPr>
            <w:r>
              <w:rPr>
                <w:rFonts w:ascii="Arial" w:cs="Arial" w:hAnsi="Arial"/>
                <w:lang w:val="de-DE"/>
              </w:rPr>
              <w:t>KARAMBIRI René</w:t>
            </w:r>
          </w:p>
        </w:tc>
        <w:tc>
          <w:tcPr>
            <w:tcW w:w="850" w:type="dxa"/>
            <w:tcBorders/>
          </w:tcPr>
          <w:p>
            <w:pPr>
              <w:pStyle w:val="style0"/>
              <w:spacing w:before="0"/>
              <w:jc w:val="center"/>
              <w:rPr>
                <w:rFonts w:ascii="Arial" w:cs="Arial" w:hAnsi="Arial"/>
                <w:lang w:val="de-DE"/>
              </w:rPr>
            </w:pPr>
          </w:p>
          <w:p>
            <w:pPr>
              <w:pStyle w:val="style0"/>
              <w:spacing w:before="0"/>
              <w:jc w:val="center"/>
              <w:rPr/>
            </w:pPr>
            <w:r>
              <w:rPr>
                <w:rFonts w:ascii="Arial" w:cs="Arial" w:hAnsi="Arial"/>
                <w:lang w:val="de-DE"/>
              </w:rPr>
              <w:t>M</w:t>
            </w:r>
          </w:p>
        </w:tc>
        <w:tc>
          <w:tcPr>
            <w:tcW w:w="3153" w:type="dxa"/>
            <w:tcBorders/>
            <w:vAlign w:val="center"/>
          </w:tcPr>
          <w:p>
            <w:pPr>
              <w:pStyle w:val="style0"/>
              <w:spacing w:before="0"/>
              <w:rPr>
                <w:rFonts w:ascii="Arial" w:cs="Arial" w:hAnsi="Arial"/>
              </w:rPr>
            </w:pPr>
            <w:r>
              <w:rPr>
                <w:rFonts w:ascii="Arial" w:cs="Arial" w:hAnsi="Arial"/>
              </w:rPr>
              <w:t xml:space="preserve">Administrateur civil </w:t>
            </w:r>
          </w:p>
          <w:p>
            <w:pPr>
              <w:pStyle w:val="style0"/>
              <w:spacing w:before="0"/>
              <w:rPr>
                <w:rFonts w:ascii="Arial" w:cs="Arial" w:hAnsi="Arial"/>
              </w:rPr>
            </w:pPr>
            <w:r>
              <w:rPr>
                <w:rFonts w:ascii="Arial" w:cs="Arial" w:hAnsi="Arial"/>
              </w:rPr>
              <w:t>Représentant HC Kossi</w:t>
            </w:r>
          </w:p>
        </w:tc>
        <w:tc>
          <w:tcPr>
            <w:tcW w:w="4785" w:type="dxa"/>
            <w:tcBorders/>
            <w:vAlign w:val="center"/>
          </w:tcPr>
          <w:p>
            <w:pPr>
              <w:pStyle w:val="style0"/>
              <w:spacing w:before="0"/>
              <w:jc w:val="center"/>
              <w:rPr>
                <w:rFonts w:ascii="Arial" w:cs="Arial" w:hAnsi="Arial"/>
              </w:rPr>
            </w:pPr>
            <w:r>
              <w:rPr>
                <w:rFonts w:ascii="Arial" w:cs="Arial" w:hAnsi="Arial"/>
              </w:rPr>
              <w:t>70 40 02 34</w:t>
            </w:r>
          </w:p>
        </w:tc>
        <w:tc>
          <w:tcPr>
            <w:tcW w:w="2694"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lang w:val="de-DE"/>
              </w:rPr>
            </w:pPr>
            <w:r>
              <w:rPr>
                <w:rFonts w:ascii="Arial" w:cs="Arial" w:hAnsi="Arial"/>
                <w:lang w:val="de-DE"/>
              </w:rPr>
              <w:t>0</w:t>
            </w:r>
            <w:r>
              <w:rPr>
                <w:rFonts w:ascii="Arial" w:cs="Arial" w:hAnsi="Arial"/>
                <w:lang w:val="de-DE"/>
              </w:rPr>
              <w:t>8</w:t>
            </w:r>
          </w:p>
        </w:tc>
        <w:tc>
          <w:tcPr>
            <w:tcW w:w="3006" w:type="dxa"/>
            <w:tcBorders/>
            <w:vAlign w:val="center"/>
          </w:tcPr>
          <w:p>
            <w:pPr>
              <w:pStyle w:val="style0"/>
              <w:spacing w:before="0"/>
              <w:rPr>
                <w:rFonts w:ascii="Arial" w:cs="Arial" w:hAnsi="Arial"/>
                <w:lang w:val="de-DE"/>
              </w:rPr>
            </w:pPr>
            <w:r>
              <w:rPr>
                <w:rFonts w:ascii="Arial" w:cs="Arial" w:hAnsi="Arial"/>
                <w:lang w:val="de-DE"/>
              </w:rPr>
              <w:t>GO Drissa</w:t>
            </w:r>
          </w:p>
        </w:tc>
        <w:tc>
          <w:tcPr>
            <w:tcW w:w="850" w:type="dxa"/>
            <w:tcBorders/>
          </w:tcPr>
          <w:p>
            <w:pPr>
              <w:pStyle w:val="style0"/>
              <w:spacing w:before="0"/>
              <w:jc w:val="center"/>
              <w:rPr/>
            </w:pPr>
            <w:r>
              <w:rPr>
                <w:rFonts w:ascii="Arial" w:cs="Arial" w:hAnsi="Arial"/>
                <w:lang w:val="de-DE"/>
              </w:rPr>
              <w:t>M</w:t>
            </w:r>
          </w:p>
        </w:tc>
        <w:tc>
          <w:tcPr>
            <w:tcW w:w="3153" w:type="dxa"/>
            <w:tcBorders/>
            <w:vAlign w:val="center"/>
          </w:tcPr>
          <w:p>
            <w:pPr>
              <w:pStyle w:val="style0"/>
              <w:spacing w:before="0"/>
              <w:rPr>
                <w:rFonts w:ascii="Arial" w:cs="Arial" w:hAnsi="Arial"/>
                <w:lang w:val="de-DE"/>
              </w:rPr>
            </w:pPr>
            <w:r>
              <w:rPr>
                <w:rFonts w:ascii="Arial" w:cs="Arial" w:hAnsi="Arial"/>
                <w:lang w:val="de-DE"/>
              </w:rPr>
              <w:t>Forestier DPEEVCC Kossi</w:t>
            </w:r>
          </w:p>
        </w:tc>
        <w:tc>
          <w:tcPr>
            <w:tcW w:w="4785" w:type="dxa"/>
            <w:tcBorders/>
            <w:vAlign w:val="center"/>
          </w:tcPr>
          <w:p>
            <w:pPr>
              <w:pStyle w:val="style0"/>
              <w:spacing w:before="0"/>
              <w:jc w:val="center"/>
              <w:rPr>
                <w:rFonts w:ascii="Arial" w:cs="Arial" w:hAnsi="Arial"/>
                <w:lang w:val="de-DE"/>
              </w:rPr>
            </w:pPr>
            <w:r>
              <w:rPr/>
              <w:fldChar w:fldCharType="begin"/>
            </w:r>
            <w:r>
              <w:instrText xml:space="preserve"> HYPERLINK "mailto:zomagodrissa7@gmail.com" </w:instrText>
            </w:r>
            <w:r>
              <w:rPr/>
              <w:fldChar w:fldCharType="separate"/>
            </w:r>
            <w:r>
              <w:rPr>
                <w:rStyle w:val="style85"/>
                <w:rFonts w:ascii="Arial" w:cs="Arial" w:hAnsi="Arial"/>
                <w:lang w:val="de-DE"/>
              </w:rPr>
              <w:t>zomagodrissa7@gmail.com</w:t>
            </w:r>
            <w:r>
              <w:rPr/>
              <w:fldChar w:fldCharType="end"/>
            </w:r>
            <w:r>
              <w:rPr>
                <w:rFonts w:ascii="Arial" w:cs="Arial" w:hAnsi="Arial"/>
                <w:lang w:val="de-DE"/>
              </w:rPr>
              <w:t xml:space="preserve"> 70 16 82 53</w:t>
            </w:r>
          </w:p>
        </w:tc>
        <w:tc>
          <w:tcPr>
            <w:tcW w:w="2694" w:type="dxa"/>
            <w:tcBorders/>
            <w:vAlign w:val="center"/>
          </w:tcPr>
          <w:p>
            <w:pPr>
              <w:pStyle w:val="style0"/>
              <w:spacing w:before="0"/>
              <w:jc w:val="center"/>
              <w:rPr>
                <w:rFonts w:ascii="Arial" w:cs="Arial" w:hAnsi="Arial"/>
                <w:lang w:val="de-DE"/>
              </w:rPr>
            </w:pPr>
          </w:p>
        </w:tc>
      </w:tr>
      <w:tr>
        <w:tblPrEx/>
        <w:trPr/>
        <w:tc>
          <w:tcPr>
            <w:tcW w:w="675" w:type="dxa"/>
            <w:tcBorders/>
            <w:vAlign w:val="center"/>
          </w:tcPr>
          <w:p>
            <w:pPr>
              <w:pStyle w:val="style0"/>
              <w:spacing w:before="0"/>
              <w:jc w:val="center"/>
              <w:rPr>
                <w:rFonts w:ascii="Arial" w:cs="Arial" w:hAnsi="Arial"/>
                <w:lang w:val="de-DE"/>
              </w:rPr>
            </w:pPr>
            <w:r>
              <w:rPr>
                <w:rFonts w:ascii="Arial" w:cs="Arial" w:hAnsi="Arial"/>
                <w:lang w:val="de-DE"/>
              </w:rPr>
              <w:t>0</w:t>
            </w:r>
            <w:r>
              <w:rPr>
                <w:rFonts w:ascii="Arial" w:cs="Arial" w:hAnsi="Arial"/>
                <w:lang w:val="de-DE"/>
              </w:rPr>
              <w:t>9</w:t>
            </w:r>
          </w:p>
        </w:tc>
        <w:tc>
          <w:tcPr>
            <w:tcW w:w="3006" w:type="dxa"/>
            <w:tcBorders/>
            <w:vAlign w:val="center"/>
          </w:tcPr>
          <w:p>
            <w:pPr>
              <w:pStyle w:val="style0"/>
              <w:spacing w:before="0"/>
              <w:rPr>
                <w:rFonts w:ascii="Arial" w:cs="Arial" w:hAnsi="Arial"/>
                <w:lang w:val="de-DE"/>
              </w:rPr>
            </w:pPr>
            <w:r>
              <w:rPr>
                <w:rFonts w:ascii="Arial" w:cs="Arial" w:hAnsi="Arial"/>
                <w:lang w:val="de-DE"/>
              </w:rPr>
              <w:t>COULIBALY Issouf</w:t>
            </w:r>
          </w:p>
        </w:tc>
        <w:tc>
          <w:tcPr>
            <w:tcW w:w="850" w:type="dxa"/>
            <w:tcBorders/>
          </w:tcPr>
          <w:p>
            <w:pPr>
              <w:pStyle w:val="style0"/>
              <w:spacing w:before="0"/>
              <w:jc w:val="center"/>
              <w:rPr/>
            </w:pPr>
            <w:r>
              <w:rPr>
                <w:rFonts w:ascii="Arial" w:cs="Arial" w:hAnsi="Arial"/>
                <w:lang w:val="de-DE"/>
              </w:rPr>
              <w:t>M</w:t>
            </w:r>
          </w:p>
        </w:tc>
        <w:tc>
          <w:tcPr>
            <w:tcW w:w="3153" w:type="dxa"/>
            <w:tcBorders/>
            <w:vAlign w:val="center"/>
          </w:tcPr>
          <w:p>
            <w:pPr>
              <w:pStyle w:val="style0"/>
              <w:spacing w:before="0"/>
              <w:rPr>
                <w:rFonts w:ascii="Arial" w:cs="Arial" w:hAnsi="Arial"/>
                <w:lang w:val="de-DE"/>
              </w:rPr>
            </w:pPr>
            <w:r>
              <w:rPr>
                <w:rFonts w:ascii="Arial" w:cs="Arial" w:hAnsi="Arial"/>
                <w:lang w:val="de-DE"/>
              </w:rPr>
              <w:t xml:space="preserve">Conseiller d’Elevage </w:t>
            </w:r>
          </w:p>
          <w:p>
            <w:pPr>
              <w:pStyle w:val="style0"/>
              <w:spacing w:before="0"/>
              <w:rPr>
                <w:rFonts w:ascii="Arial" w:cs="Arial" w:hAnsi="Arial"/>
                <w:lang w:val="de-DE"/>
              </w:rPr>
            </w:pPr>
            <w:r>
              <w:rPr>
                <w:rFonts w:ascii="Arial" w:cs="Arial" w:hAnsi="Arial"/>
                <w:lang w:val="de-DE"/>
              </w:rPr>
              <w:t>Service Production</w:t>
            </w:r>
          </w:p>
        </w:tc>
        <w:tc>
          <w:tcPr>
            <w:tcW w:w="4785" w:type="dxa"/>
            <w:tcBorders/>
            <w:vAlign w:val="center"/>
          </w:tcPr>
          <w:p>
            <w:pPr>
              <w:pStyle w:val="style0"/>
              <w:spacing w:before="0"/>
              <w:jc w:val="center"/>
              <w:rPr>
                <w:rFonts w:ascii="Arial" w:cs="Arial" w:hAnsi="Arial"/>
              </w:rPr>
            </w:pPr>
            <w:r>
              <w:rPr>
                <w:rFonts w:ascii="Arial" w:cs="Arial" w:hAnsi="Arial"/>
              </w:rPr>
              <w:t>72 87 16 17</w:t>
            </w:r>
          </w:p>
          <w:p>
            <w:pPr>
              <w:pStyle w:val="style0"/>
              <w:spacing w:before="0"/>
              <w:jc w:val="center"/>
              <w:rPr>
                <w:rFonts w:ascii="Arial" w:cs="Arial" w:hAnsi="Arial"/>
              </w:rPr>
            </w:pPr>
            <w:r>
              <w:rPr>
                <w:rFonts w:ascii="Arial" w:cs="Arial" w:hAnsi="Arial"/>
              </w:rPr>
              <w:t>issouf_85@yahoo.fr</w:t>
            </w:r>
          </w:p>
        </w:tc>
        <w:tc>
          <w:tcPr>
            <w:tcW w:w="2694"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lang w:val="de-DE"/>
              </w:rPr>
            </w:pPr>
            <w:r>
              <w:rPr>
                <w:rFonts w:ascii="Arial" w:cs="Arial" w:hAnsi="Arial"/>
                <w:lang w:val="de-DE"/>
              </w:rPr>
              <w:t>10</w:t>
            </w:r>
          </w:p>
        </w:tc>
        <w:tc>
          <w:tcPr>
            <w:tcW w:w="3006" w:type="dxa"/>
            <w:tcBorders/>
            <w:vAlign w:val="center"/>
          </w:tcPr>
          <w:p>
            <w:pPr>
              <w:pStyle w:val="style0"/>
              <w:spacing w:before="0"/>
              <w:rPr>
                <w:rFonts w:ascii="Arial" w:cs="Arial" w:hAnsi="Arial"/>
                <w:lang w:val="de-DE"/>
              </w:rPr>
            </w:pPr>
            <w:r>
              <w:rPr>
                <w:rFonts w:ascii="Arial" w:cs="Arial" w:hAnsi="Arial"/>
                <w:lang w:val="de-DE"/>
              </w:rPr>
              <w:t>GNOUMOU Casimir</w:t>
            </w:r>
          </w:p>
        </w:tc>
        <w:tc>
          <w:tcPr>
            <w:tcW w:w="850" w:type="dxa"/>
            <w:tcBorders/>
          </w:tcPr>
          <w:p>
            <w:pPr>
              <w:pStyle w:val="style0"/>
              <w:spacing w:before="0"/>
              <w:jc w:val="center"/>
              <w:rPr/>
            </w:pPr>
            <w:r>
              <w:rPr>
                <w:rFonts w:ascii="Arial" w:cs="Arial" w:hAnsi="Arial"/>
                <w:lang w:val="de-DE"/>
              </w:rPr>
              <w:t>M</w:t>
            </w:r>
          </w:p>
        </w:tc>
        <w:tc>
          <w:tcPr>
            <w:tcW w:w="3153" w:type="dxa"/>
            <w:tcBorders/>
            <w:vAlign w:val="center"/>
          </w:tcPr>
          <w:p>
            <w:pPr>
              <w:pStyle w:val="style0"/>
              <w:spacing w:before="0"/>
              <w:rPr>
                <w:rFonts w:ascii="Arial" w:cs="Arial" w:hAnsi="Arial"/>
              </w:rPr>
            </w:pPr>
            <w:r>
              <w:rPr>
                <w:rFonts w:ascii="Arial" w:cs="Arial" w:hAnsi="Arial"/>
              </w:rPr>
              <w:t xml:space="preserve">Technicien Supérieur </w:t>
            </w:r>
          </w:p>
          <w:p>
            <w:pPr>
              <w:pStyle w:val="style0"/>
              <w:spacing w:before="0"/>
              <w:rPr>
                <w:rFonts w:ascii="Arial" w:cs="Arial" w:hAnsi="Arial"/>
              </w:rPr>
            </w:pPr>
            <w:r>
              <w:rPr>
                <w:rFonts w:ascii="Arial" w:cs="Arial" w:hAnsi="Arial"/>
              </w:rPr>
              <w:t xml:space="preserve">d’Elevage Régisseur </w:t>
            </w:r>
          </w:p>
        </w:tc>
        <w:tc>
          <w:tcPr>
            <w:tcW w:w="4785" w:type="dxa"/>
            <w:tcBorders/>
            <w:vAlign w:val="center"/>
          </w:tcPr>
          <w:p>
            <w:pPr>
              <w:pStyle w:val="style0"/>
              <w:spacing w:before="0"/>
              <w:jc w:val="center"/>
              <w:rPr>
                <w:rFonts w:ascii="Arial" w:cs="Arial" w:hAnsi="Arial"/>
              </w:rPr>
            </w:pPr>
            <w:r>
              <w:rPr>
                <w:rFonts w:ascii="Arial" w:cs="Arial" w:hAnsi="Arial"/>
              </w:rPr>
              <w:t>70 44 40 04</w:t>
            </w:r>
          </w:p>
        </w:tc>
        <w:tc>
          <w:tcPr>
            <w:tcW w:w="2694"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lang w:val="de-DE"/>
              </w:rPr>
            </w:pPr>
            <w:r>
              <w:rPr>
                <w:rFonts w:ascii="Arial" w:cs="Arial" w:hAnsi="Arial"/>
                <w:lang w:val="de-DE"/>
              </w:rPr>
              <w:t>11</w:t>
            </w:r>
          </w:p>
        </w:tc>
        <w:tc>
          <w:tcPr>
            <w:tcW w:w="3006" w:type="dxa"/>
            <w:tcBorders/>
            <w:vAlign w:val="center"/>
          </w:tcPr>
          <w:p>
            <w:pPr>
              <w:pStyle w:val="style0"/>
              <w:spacing w:before="0"/>
              <w:rPr>
                <w:rFonts w:ascii="Arial" w:cs="Arial" w:hAnsi="Arial"/>
                <w:lang w:val="de-DE"/>
              </w:rPr>
            </w:pPr>
            <w:r>
              <w:rPr>
                <w:rFonts w:ascii="Arial" w:cs="Arial" w:hAnsi="Arial"/>
                <w:lang w:val="de-DE"/>
              </w:rPr>
              <w:t>KABORE Sébastien</w:t>
            </w:r>
          </w:p>
        </w:tc>
        <w:tc>
          <w:tcPr>
            <w:tcW w:w="850" w:type="dxa"/>
            <w:tcBorders/>
          </w:tcPr>
          <w:p>
            <w:pPr>
              <w:pStyle w:val="style0"/>
              <w:spacing w:before="0"/>
              <w:jc w:val="center"/>
              <w:rPr/>
            </w:pPr>
            <w:r>
              <w:rPr>
                <w:rFonts w:ascii="Arial" w:cs="Arial" w:hAnsi="Arial"/>
                <w:lang w:val="de-DE"/>
              </w:rPr>
              <w:t>M</w:t>
            </w:r>
          </w:p>
        </w:tc>
        <w:tc>
          <w:tcPr>
            <w:tcW w:w="3153" w:type="dxa"/>
            <w:tcBorders/>
            <w:vAlign w:val="center"/>
          </w:tcPr>
          <w:p>
            <w:pPr>
              <w:pStyle w:val="style0"/>
              <w:spacing w:before="0"/>
              <w:rPr>
                <w:rFonts w:ascii="Arial" w:cs="Arial" w:hAnsi="Arial"/>
              </w:rPr>
            </w:pPr>
            <w:r>
              <w:rPr>
                <w:rFonts w:ascii="Arial" w:cs="Arial" w:hAnsi="Arial"/>
              </w:rPr>
              <w:t>Préfet/Sono</w:t>
            </w:r>
          </w:p>
        </w:tc>
        <w:tc>
          <w:tcPr>
            <w:tcW w:w="4785" w:type="dxa"/>
            <w:tcBorders/>
            <w:vAlign w:val="center"/>
          </w:tcPr>
          <w:p>
            <w:pPr>
              <w:pStyle w:val="style0"/>
              <w:spacing w:before="0"/>
              <w:jc w:val="center"/>
              <w:rPr>
                <w:rFonts w:ascii="Arial" w:cs="Arial" w:hAnsi="Arial"/>
              </w:rPr>
            </w:pPr>
            <w:r>
              <w:rPr>
                <w:rFonts w:ascii="Arial" w:cs="Arial" w:hAnsi="Arial"/>
              </w:rPr>
              <w:t>70 68 15 61</w:t>
            </w:r>
          </w:p>
        </w:tc>
        <w:tc>
          <w:tcPr>
            <w:tcW w:w="2694" w:type="dxa"/>
            <w:tcBorders/>
            <w:vAlign w:val="center"/>
          </w:tcPr>
          <w:p>
            <w:pPr>
              <w:pStyle w:val="style0"/>
              <w:spacing w:before="0"/>
              <w:jc w:val="center"/>
              <w:rPr>
                <w:rFonts w:ascii="Arial" w:cs="Arial" w:hAnsi="Arial"/>
              </w:rPr>
            </w:pPr>
          </w:p>
        </w:tc>
      </w:tr>
    </w:tbl>
    <w:p>
      <w:pPr>
        <w:pStyle w:val="style0"/>
        <w:spacing w:before="0"/>
        <w:rPr>
          <w:rFonts w:ascii="Arial" w:cs="Arial" w:hAnsi="Arial"/>
          <w:sz w:val="20"/>
        </w:rPr>
      </w:pPr>
    </w:p>
    <w:p>
      <w:pPr>
        <w:pStyle w:val="style0"/>
        <w:spacing w:before="0"/>
        <w:rPr>
          <w:rFonts w:ascii="Arial" w:cs="Arial" w:hAnsi="Arial"/>
          <w:sz w:val="20"/>
        </w:rPr>
      </w:pPr>
    </w:p>
    <w:p>
      <w:pPr>
        <w:pStyle w:val="style0"/>
        <w:numPr>
          <w:ilvl w:val="0"/>
          <w:numId w:val="87"/>
        </w:numPr>
        <w:spacing w:before="0" w:after="160" w:lineRule="auto" w:line="259"/>
        <w:rPr>
          <w:b/>
        </w:rPr>
      </w:pPr>
      <w:r>
        <w:rPr>
          <w:b/>
        </w:rPr>
        <w:t>LE DEROULEMENT DE LA MISSION : RENCONTRES AVEC LES DIFFERENTES PARTIES PRENANTES</w:t>
      </w:r>
    </w:p>
    <w:p>
      <w:pPr>
        <w:pStyle w:val="style0"/>
        <w:ind w:firstLine="708"/>
        <w:rPr/>
      </w:pPr>
      <w:r>
        <w:t>La mission a quitté Ouagadougou le lundi 07 janvier 2019 aux environs de 06 heures</w:t>
      </w:r>
      <w:r>
        <w:t xml:space="preserve"> </w:t>
      </w:r>
      <w:r>
        <w:t>du matin et elle est arrivée à Yako autour de 9 heures.</w:t>
      </w:r>
    </w:p>
    <w:p>
      <w:pPr>
        <w:pStyle w:val="style0"/>
        <w:ind w:firstLine="708"/>
        <w:rPr/>
      </w:pPr>
    </w:p>
    <w:p>
      <w:pPr>
        <w:pStyle w:val="style0"/>
        <w:numPr>
          <w:ilvl w:val="0"/>
          <w:numId w:val="98"/>
        </w:numPr>
        <w:spacing w:before="0" w:after="160" w:lineRule="auto" w:line="259"/>
        <w:rPr/>
      </w:pPr>
      <w:r>
        <w:t>La commune de Yako</w:t>
      </w:r>
    </w:p>
    <w:p>
      <w:pPr>
        <w:pStyle w:val="style0"/>
        <w:ind w:firstLine="708"/>
        <w:rPr/>
      </w:pPr>
      <w:r>
        <w:t>Au premier jour (07/01/2019) de la mission, l’équipe s’est d’abord rendue à la Direction provinciale de l’agriculture où elle a été reçue par le Directeur provinciale (M. ZEMBA Raymond). L’entretien avec celui-ci a permis de présenter l’objet de la mission et plusieurs autres points ont également été abordés (cf. Synthèse consultation avec la DPAAH). Suite aux entretiens, et pour faciliter les travaux de la mission,  le Directeur a fait appel à son agent (Fofana Adboul Aziz) sur le terrain afin de contacter, d’informer et d’organiser les rencontres avec les autres partie prenantes du programme (chef de village, mairie, préfecture, service de santé et producteurs). Les rencontres ont été programmées pour le deuxième jour de la mission (08/01/2019). Le Directeur a aussi mis les contacts des autres services techniques à la disposition de l’équipe.</w:t>
      </w:r>
    </w:p>
    <w:p>
      <w:pPr>
        <w:pStyle w:val="style0"/>
        <w:ind w:firstLine="708"/>
        <w:rPr/>
      </w:pPr>
      <w:r>
        <w:t>Après la rencontre avec le Direction provinciale de l’agriculture, la mission s’est ensuite rendue directement à la Direction provinciale de l’environnement. Le Directeur lui-même étant en déplacement ce jour-là, la mission a été reçue par son suppléant (M. Coulibaly S. Lassina). Pendant l’entretien, plusieurs points ont été discutés, des préoccupations et des recommandations ont été notées (cf. Synthèse consultation avec DPEEVCC).</w:t>
      </w:r>
    </w:p>
    <w:p>
      <w:pPr>
        <w:pStyle w:val="style0"/>
        <w:ind w:firstLine="708"/>
        <w:rPr/>
      </w:pPr>
      <w:r>
        <w:t>Au deuxième jour (08/01/2019) de la mission,  l’équipe a été reçue autour de 8 heures par le Directeur provinciale de l’élevage (M. SIMPORE Saidou) qui revenait d’une mission la veille. L’entretien avec le directeur a porté sur plusieurs sur plusieurs points, des préoccupations et des recommandations ont également été notées (cf. Synthèse consultation avec la DPRAH).</w:t>
      </w:r>
    </w:p>
    <w:p>
      <w:pPr>
        <w:pStyle w:val="style0"/>
        <w:ind w:firstLine="708"/>
        <w:rPr/>
      </w:pPr>
      <w:r>
        <w:t>Après la DPRAH, la mission s’est ensuite rendue au marché auprès de vendeurs de produits phytosanitaires (pesticides, herbicides, semences agricoles, etc.). Cette visite a permis de recueillir des informations sur les sources d’approvisionnent des produits, les différentes types de pesticides, le mode de conservation, les clients, etc.</w:t>
      </w:r>
    </w:p>
    <w:p>
      <w:pPr>
        <w:pStyle w:val="style0"/>
        <w:ind w:firstLine="708"/>
        <w:rPr/>
      </w:pPr>
    </w:p>
    <w:p>
      <w:pPr>
        <w:pStyle w:val="style0"/>
        <w:numPr>
          <w:ilvl w:val="0"/>
          <w:numId w:val="98"/>
        </w:numPr>
        <w:spacing w:before="0" w:after="160" w:lineRule="auto" w:line="259"/>
        <w:rPr/>
      </w:pPr>
      <w:r>
        <w:t>La commune rurale de Kirsi, village de Dourou</w:t>
      </w:r>
    </w:p>
    <w:p>
      <w:pPr>
        <w:pStyle w:val="style0"/>
        <w:ind w:firstLine="708"/>
        <w:rPr/>
      </w:pPr>
      <w:r>
        <w:t>Après la visite chez les vendeurs de pesticides, l’équipe s’est rendue dans le village de Dourou (site de Toécé) situé à environ 15 km de Yako. Avant la séance de consultation publique avec les producteurs, la mission  a rencontré le responsable de la santé  (CSPS) à Dourou et le chef de village. L’’entretien avec le chef de village (Sa majesté Naaba Tigré) a permis de comprendre les enjeux sociaux de la localité et d’identifier les lieux sacrés et quelques tombaux et cimetières présents sur le site (cf. Synthèse consultation avec le chef du village). Pour aider à l’identification de ces points d’intérêt, Sa Majesté a mis à la disposition de la mission un notable (Ouandé Karim) comme guide chargé d’accompagner l’équipe sur les sites une fois la séance de consultation publique terminé.</w:t>
      </w:r>
    </w:p>
    <w:p>
      <w:pPr>
        <w:pStyle w:val="style0"/>
        <w:ind w:firstLine="708"/>
        <w:rPr/>
      </w:pPr>
      <w:r>
        <w:t xml:space="preserve">La mission s’est rendu ensuite sur le lieu de rencontre avec les producteurs dans la zone  d’aménagement près du barrage de Dourou. Le travail à ce niveau a consisté à animer une séance de consultation publique (focus group) avec les producteurs locaux. Durant les échanges, une liste de présence des participants a été dressée. Trente-quatre (34) producteurs ont participé à la rencontre dont dix-neuf (19) hommes et quinze (15) femmes. De même, un PV de consultation publique a été rédigée (cf PV de séance de consultation du public, Dourou). Une fois la consultation publique terminée, l’équipe a visité la zone d’aménagement ainsi que le barrage. Les travaux sur le site ont consisté à identifier,  géolocaliser et photographier les champs les habitations, les tombeaux, les sites sacrés et autres points d’intérêt situées près ou dans la zone du projet. </w:t>
      </w:r>
    </w:p>
    <w:p>
      <w:pPr>
        <w:pStyle w:val="style0"/>
        <w:rPr/>
      </w:pPr>
      <w:r>
        <w:tab/>
      </w:r>
      <w:r>
        <w:t>Après la rencontre avec les producteurs, la mission s’est rendue dans la commune rurale de Kirsi située à environ 15 de Dourou où elle a pu rencontrer le maire de la commune (Monsieur SAWADOGO Mamadou) et le préfet (Madame ZOROME Haoua), (cf. Synthèse consultation mairie et préfecture). La mission a enfin quitté Kirsi autour de 17 h 30 pour la ville de Kaya situé à environ 90 km où elle a passé la nuit avant de rouler vers Dori le lendemain matin autour de 8</w:t>
      </w:r>
      <w:r>
        <w:t xml:space="preserve"> </w:t>
      </w:r>
      <w:r>
        <w:t>h 30.</w:t>
      </w:r>
    </w:p>
    <w:p>
      <w:pPr>
        <w:pStyle w:val="style0"/>
        <w:rPr/>
      </w:pPr>
    </w:p>
    <w:p>
      <w:pPr>
        <w:pStyle w:val="style0"/>
        <w:spacing w:before="0"/>
        <w:rPr>
          <w:rFonts w:ascii="Arial" w:cs="Arial" w:hAnsi="Arial"/>
          <w:sz w:val="20"/>
        </w:rPr>
      </w:pPr>
    </w:p>
    <w:p>
      <w:pPr>
        <w:pStyle w:val="style0"/>
        <w:spacing w:before="0"/>
        <w:rPr>
          <w:rFonts w:ascii="Arial" w:cs="Arial" w:hAnsi="Arial"/>
          <w:b/>
        </w:rPr>
      </w:pPr>
      <w:r>
        <w:rPr>
          <w:rFonts w:ascii="Arial" w:cs="Arial" w:hAnsi="Arial"/>
          <w:b/>
          <w:u w:val="single"/>
        </w:rPr>
        <w:t>INTITULE DU PROJET/PROGRAMME</w:t>
      </w:r>
      <w:r>
        <w:rPr>
          <w:rFonts w:ascii="Arial" w:cs="Arial" w:hAnsi="Arial"/>
          <w:b/>
        </w:rPr>
        <w:t xml:space="preserve"> : </w:t>
      </w:r>
      <w:r>
        <w:rPr>
          <w:rFonts w:ascii="Arial" w:cs="Arial" w:hAnsi="Arial"/>
          <w:b/>
          <w:u w:val="dotted"/>
        </w:rPr>
        <w:t>PROGRAMME DE DEVELOPPEMENT ET DE COMPETITIVITE AGRICOLE (PDCA)</w:t>
      </w:r>
    </w:p>
    <w:p>
      <w:pPr>
        <w:pStyle w:val="style0"/>
        <w:spacing w:before="0"/>
        <w:jc w:val="center"/>
        <w:rPr>
          <w:rFonts w:ascii="Arial" w:cs="Arial" w:hAnsi="Arial"/>
          <w:b/>
          <w:sz w:val="18"/>
        </w:rPr>
      </w:pPr>
      <w:r>
        <w:rPr>
          <w:rFonts w:ascii="Arial" w:cs="Arial" w:hAnsi="Arial"/>
          <w:b/>
          <w:sz w:val="18"/>
        </w:rPr>
        <w:t>LISTE DES PARTICIPANTS AUX SEANCES DE CONSULTATIONS PUBLIQUES EN VUE DE L’ELABORATION DU CGES/PGPP</w:t>
      </w:r>
      <w:r>
        <w:rPr>
          <w:rFonts w:ascii="Arial" w:cs="Arial" w:hAnsi="Arial"/>
          <w:b/>
          <w:sz w:val="18"/>
        </w:rPr>
        <w:t>/CPR</w:t>
      </w:r>
    </w:p>
    <w:p>
      <w:pPr>
        <w:pStyle w:val="style0"/>
        <w:spacing w:before="0"/>
        <w:rPr>
          <w:rFonts w:ascii="Arial" w:cs="Arial" w:hAnsi="Arial"/>
          <w:b/>
          <w:sz w:val="20"/>
        </w:rPr>
      </w:pPr>
      <w:r>
        <w:rPr>
          <w:rFonts w:ascii="Arial" w:cs="Arial" w:hAnsi="Arial"/>
          <w:b/>
          <w:sz w:val="20"/>
        </w:rPr>
        <w:t xml:space="preserve">Région : </w:t>
      </w:r>
      <w:r>
        <w:rPr>
          <w:rFonts w:ascii="Arial" w:cs="Arial" w:hAnsi="Arial"/>
          <w:b/>
          <w:sz w:val="20"/>
          <w:u w:val="dotted"/>
        </w:rPr>
        <w:t>NORD</w:t>
      </w:r>
      <w:r>
        <w:rPr>
          <w:rFonts w:ascii="Arial" w:cs="Arial" w:hAnsi="Arial"/>
          <w:b/>
          <w:sz w:val="20"/>
        </w:rPr>
        <w:t>…………………………</w:t>
      </w:r>
      <w:r>
        <w:rPr>
          <w:rFonts w:ascii="Arial" w:cs="Arial" w:hAnsi="Arial"/>
          <w:b/>
          <w:sz w:val="20"/>
          <w:u w:val="dotted"/>
        </w:rPr>
        <w:t>Province</w:t>
      </w:r>
      <w:r>
        <w:rPr>
          <w:rFonts w:ascii="Arial" w:cs="Arial" w:hAnsi="Arial"/>
          <w:b/>
          <w:sz w:val="20"/>
        </w:rPr>
        <w:t xml:space="preserve"> : </w:t>
      </w:r>
      <w:r>
        <w:rPr>
          <w:rFonts w:ascii="Arial" w:cs="Arial" w:hAnsi="Arial"/>
          <w:b/>
          <w:sz w:val="20"/>
          <w:u w:val="dotted"/>
        </w:rPr>
        <w:t>PASSORE</w:t>
      </w:r>
      <w:r>
        <w:rPr>
          <w:rFonts w:ascii="Arial" w:cs="Arial" w:hAnsi="Arial"/>
          <w:b/>
          <w:sz w:val="20"/>
        </w:rPr>
        <w:t>…………………………….</w:t>
      </w:r>
      <w:r>
        <w:rPr>
          <w:rFonts w:ascii="Arial" w:cs="Arial" w:hAnsi="Arial"/>
          <w:b/>
          <w:sz w:val="20"/>
          <w:u w:val="dotted"/>
        </w:rPr>
        <w:t>Commune</w:t>
      </w:r>
      <w:r>
        <w:rPr>
          <w:rFonts w:ascii="Arial" w:cs="Arial" w:hAnsi="Arial"/>
          <w:b/>
          <w:sz w:val="20"/>
        </w:rPr>
        <w:t xml:space="preserve"> : </w:t>
      </w:r>
      <w:r>
        <w:rPr>
          <w:rFonts w:ascii="Arial" w:cs="Arial" w:hAnsi="Arial"/>
          <w:b/>
          <w:sz w:val="20"/>
          <w:u w:val="dotted"/>
        </w:rPr>
        <w:t>YAKO</w:t>
      </w:r>
      <w:r>
        <w:rPr>
          <w:rFonts w:ascii="Arial" w:cs="Arial" w:hAnsi="Arial"/>
          <w:b/>
          <w:sz w:val="20"/>
        </w:rPr>
        <w:t>…………………………..</w:t>
      </w:r>
    </w:p>
    <w:p>
      <w:pPr>
        <w:pStyle w:val="style0"/>
        <w:spacing w:before="0"/>
        <w:rPr/>
      </w:pPr>
      <w:r>
        <w:rPr>
          <w:rFonts w:ascii="Arial" w:cs="Arial" w:hAnsi="Arial"/>
          <w:b/>
          <w:sz w:val="20"/>
        </w:rPr>
        <w:t xml:space="preserve">Village : </w:t>
      </w:r>
      <w:r>
        <w:rPr>
          <w:rFonts w:ascii="Arial" w:cs="Arial" w:hAnsi="Arial"/>
          <w:b/>
          <w:sz w:val="20"/>
          <w:u w:val="dotted"/>
        </w:rPr>
        <w:t>DOUROU</w:t>
      </w:r>
      <w:r>
        <w:rPr>
          <w:rFonts w:ascii="Arial" w:cs="Arial" w:hAnsi="Arial"/>
          <w:b/>
          <w:sz w:val="20"/>
        </w:rPr>
        <w:t xml:space="preserve">………………………….Date : </w:t>
      </w:r>
      <w:r>
        <w:rPr>
          <w:rFonts w:ascii="Arial" w:cs="Arial" w:hAnsi="Arial"/>
          <w:b/>
          <w:sz w:val="20"/>
          <w:u w:val="dotted"/>
        </w:rPr>
        <w:t>07</w:t>
      </w:r>
      <w:r>
        <w:rPr>
          <w:rFonts w:ascii="Arial" w:cs="Arial" w:hAnsi="Arial"/>
          <w:b/>
          <w:sz w:val="20"/>
          <w:u w:val="dotted"/>
        </w:rPr>
        <w:t>/01/2019</w:t>
      </w:r>
      <w:r>
        <w:rPr>
          <w:rFonts w:ascii="Arial" w:cs="Arial" w:hAnsi="Arial"/>
          <w:b/>
          <w:sz w:val="20"/>
        </w:rPr>
        <w:t xml:space="preserve">……et </w:t>
      </w:r>
      <w:r>
        <w:rPr>
          <w:rFonts w:ascii="Arial" w:cs="Arial" w:hAnsi="Arial"/>
          <w:b/>
          <w:sz w:val="20"/>
          <w:u w:val="dotted"/>
        </w:rPr>
        <w:t>08/01/2019</w:t>
      </w:r>
      <w:r>
        <w:rPr>
          <w:rFonts w:ascii="Arial" w:cs="Arial" w:hAnsi="Arial"/>
          <w:b/>
          <w:sz w:val="20"/>
        </w:rPr>
        <w:t>……………</w:t>
      </w:r>
      <w:r>
        <w:rPr>
          <w:rFonts w:ascii="Arial" w:cs="Arial" w:hAnsi="Arial"/>
          <w:b/>
          <w:sz w:val="20"/>
        </w:rPr>
        <w:t xml:space="preserve"> </w:t>
      </w:r>
      <w:r>
        <w:rPr>
          <w:rFonts w:ascii="Arial" w:cs="Arial" w:hAnsi="Arial"/>
          <w:b/>
          <w:sz w:val="20"/>
        </w:rPr>
        <w:t>Groupes cibles : Services techniques, Mairie/Préfectures…</w:t>
      </w:r>
    </w:p>
    <w:tbl>
      <w:tblPr>
        <w:tblStyle w:val="style154"/>
        <w:tblW w:w="14454" w:type="dxa"/>
        <w:tblLayout w:type="fixed"/>
        <w:tblLook w:val="04A0" w:firstRow="1" w:lastRow="0" w:firstColumn="1" w:lastColumn="0" w:noHBand="0" w:noVBand="1"/>
      </w:tblPr>
      <w:tblGrid>
        <w:gridCol w:w="675"/>
        <w:gridCol w:w="3715"/>
        <w:gridCol w:w="1134"/>
        <w:gridCol w:w="4536"/>
        <w:gridCol w:w="2126"/>
        <w:gridCol w:w="2268"/>
      </w:tblGrid>
      <w:tr>
        <w:trPr/>
        <w:tc>
          <w:tcPr>
            <w:tcW w:w="675" w:type="dxa"/>
            <w:tcBorders/>
            <w:vAlign w:val="center"/>
          </w:tcPr>
          <w:p>
            <w:pPr>
              <w:pStyle w:val="style0"/>
              <w:spacing w:before="0"/>
              <w:rPr>
                <w:rFonts w:ascii="Arial" w:cs="Arial" w:hAnsi="Arial"/>
                <w:b/>
              </w:rPr>
            </w:pPr>
            <w:r>
              <w:rPr>
                <w:rFonts w:ascii="Arial" w:cs="Arial" w:hAnsi="Arial"/>
                <w:b/>
              </w:rPr>
              <w:t>N°</w:t>
            </w:r>
          </w:p>
        </w:tc>
        <w:tc>
          <w:tcPr>
            <w:tcW w:w="3715" w:type="dxa"/>
            <w:tcBorders/>
            <w:vAlign w:val="center"/>
          </w:tcPr>
          <w:p>
            <w:pPr>
              <w:pStyle w:val="style0"/>
              <w:spacing w:before="0"/>
              <w:jc w:val="center"/>
              <w:rPr>
                <w:rFonts w:ascii="Arial" w:cs="Arial" w:hAnsi="Arial"/>
                <w:b/>
              </w:rPr>
            </w:pPr>
            <w:r>
              <w:rPr>
                <w:rFonts w:ascii="Arial" w:cs="Arial" w:hAnsi="Arial"/>
                <w:b/>
              </w:rPr>
              <w:t>Nom et prénom (s)</w:t>
            </w:r>
          </w:p>
        </w:tc>
        <w:tc>
          <w:tcPr>
            <w:tcW w:w="1134" w:type="dxa"/>
            <w:tcBorders/>
            <w:vAlign w:val="center"/>
          </w:tcPr>
          <w:p>
            <w:pPr>
              <w:pStyle w:val="style0"/>
              <w:spacing w:before="0"/>
              <w:jc w:val="center"/>
              <w:rPr>
                <w:rFonts w:ascii="Arial" w:cs="Arial" w:hAnsi="Arial"/>
                <w:b/>
              </w:rPr>
            </w:pPr>
            <w:r>
              <w:rPr>
                <w:rFonts w:ascii="Arial" w:cs="Arial" w:hAnsi="Arial"/>
                <w:b/>
              </w:rPr>
              <w:t>Sexe</w:t>
            </w:r>
          </w:p>
        </w:tc>
        <w:tc>
          <w:tcPr>
            <w:tcW w:w="4536" w:type="dxa"/>
            <w:tcBorders/>
            <w:vAlign w:val="center"/>
          </w:tcPr>
          <w:p>
            <w:pPr>
              <w:pStyle w:val="style0"/>
              <w:spacing w:before="0"/>
              <w:jc w:val="center"/>
              <w:rPr>
                <w:rFonts w:ascii="Arial" w:cs="Arial" w:hAnsi="Arial"/>
                <w:b/>
              </w:rPr>
            </w:pPr>
            <w:r>
              <w:rPr>
                <w:rFonts w:ascii="Arial" w:cs="Arial" w:hAnsi="Arial"/>
                <w:b/>
              </w:rPr>
              <w:t>Profession</w:t>
            </w:r>
          </w:p>
        </w:tc>
        <w:tc>
          <w:tcPr>
            <w:tcW w:w="2126" w:type="dxa"/>
            <w:tcBorders/>
            <w:vAlign w:val="center"/>
          </w:tcPr>
          <w:p>
            <w:pPr>
              <w:pStyle w:val="style0"/>
              <w:spacing w:before="0"/>
              <w:jc w:val="center"/>
              <w:rPr>
                <w:rFonts w:ascii="Arial" w:cs="Arial" w:hAnsi="Arial"/>
                <w:b/>
              </w:rPr>
            </w:pPr>
            <w:r>
              <w:rPr>
                <w:rFonts w:ascii="Arial" w:cs="Arial" w:hAnsi="Arial"/>
                <w:b/>
              </w:rPr>
              <w:t>Téléphone</w:t>
            </w:r>
          </w:p>
        </w:tc>
        <w:tc>
          <w:tcPr>
            <w:tcW w:w="2268" w:type="dxa"/>
            <w:tcBorders/>
            <w:vAlign w:val="center"/>
          </w:tcPr>
          <w:p>
            <w:pPr>
              <w:pStyle w:val="style0"/>
              <w:spacing w:before="0"/>
              <w:jc w:val="center"/>
              <w:rPr>
                <w:rFonts w:ascii="Arial" w:cs="Arial" w:hAnsi="Arial"/>
                <w:b/>
              </w:rPr>
            </w:pPr>
            <w:r>
              <w:rPr>
                <w:rFonts w:ascii="Arial" w:cs="Arial" w:hAnsi="Arial"/>
                <w:b/>
              </w:rPr>
              <w:t>Signature/Empreinte</w:t>
            </w:r>
          </w:p>
        </w:tc>
      </w:tr>
      <w:tr>
        <w:tblPrEx/>
        <w:trPr/>
        <w:tc>
          <w:tcPr>
            <w:tcW w:w="675" w:type="dxa"/>
            <w:tcBorders/>
            <w:vAlign w:val="center"/>
          </w:tcPr>
          <w:p>
            <w:pPr>
              <w:pStyle w:val="style0"/>
              <w:spacing w:before="0"/>
              <w:jc w:val="center"/>
              <w:rPr>
                <w:rFonts w:ascii="Arial" w:cs="Arial" w:hAnsi="Arial"/>
              </w:rPr>
            </w:pPr>
            <w:r>
              <w:rPr>
                <w:rFonts w:ascii="Arial" w:cs="Arial" w:hAnsi="Arial"/>
              </w:rPr>
              <w:t>01</w:t>
            </w:r>
          </w:p>
        </w:tc>
        <w:tc>
          <w:tcPr>
            <w:tcW w:w="3715" w:type="dxa"/>
            <w:tcBorders/>
            <w:vAlign w:val="center"/>
          </w:tcPr>
          <w:p>
            <w:pPr>
              <w:pStyle w:val="style0"/>
              <w:spacing w:before="0"/>
              <w:rPr>
                <w:rFonts w:ascii="Arial" w:cs="Arial" w:hAnsi="Arial"/>
              </w:rPr>
            </w:pPr>
            <w:r>
              <w:rPr>
                <w:rFonts w:ascii="Arial" w:cs="Arial" w:hAnsi="Arial"/>
              </w:rPr>
              <w:t>ZEMBA Raymond</w:t>
            </w:r>
          </w:p>
        </w:tc>
        <w:tc>
          <w:tcPr>
            <w:tcW w:w="1134" w:type="dxa"/>
            <w:tcBorders/>
          </w:tcPr>
          <w:p>
            <w:pPr>
              <w:pStyle w:val="style0"/>
              <w:spacing w:before="0"/>
              <w:jc w:val="center"/>
              <w:rPr>
                <w:rFonts w:ascii="Arial" w:cs="Arial" w:hAnsi="Arial"/>
              </w:rPr>
            </w:pPr>
            <w:r>
              <w:rPr>
                <w:rFonts w:ascii="Arial" w:cs="Arial" w:hAnsi="Arial"/>
              </w:rPr>
              <w:t>M</w:t>
            </w:r>
          </w:p>
        </w:tc>
        <w:tc>
          <w:tcPr>
            <w:tcW w:w="4536" w:type="dxa"/>
            <w:tcBorders/>
            <w:vAlign w:val="center"/>
          </w:tcPr>
          <w:p>
            <w:pPr>
              <w:pStyle w:val="style0"/>
              <w:spacing w:before="0"/>
              <w:rPr>
                <w:rFonts w:ascii="Arial" w:cs="Arial" w:hAnsi="Arial"/>
              </w:rPr>
            </w:pPr>
            <w:r>
              <w:rPr>
                <w:rFonts w:ascii="Arial" w:cs="Arial" w:hAnsi="Arial"/>
              </w:rPr>
              <w:t>Direction Provinciale de l’Agriculture et des Aménagements Hydrauliques/Ingénieurs d’Agriculture</w:t>
            </w:r>
          </w:p>
        </w:tc>
        <w:tc>
          <w:tcPr>
            <w:tcW w:w="2126" w:type="dxa"/>
            <w:tcBorders/>
            <w:vAlign w:val="center"/>
          </w:tcPr>
          <w:p>
            <w:pPr>
              <w:pStyle w:val="style0"/>
              <w:spacing w:before="0"/>
              <w:jc w:val="center"/>
              <w:rPr>
                <w:rFonts w:ascii="Arial" w:cs="Arial" w:hAnsi="Arial"/>
              </w:rPr>
            </w:pPr>
            <w:r>
              <w:rPr>
                <w:rFonts w:ascii="Arial" w:cs="Arial" w:hAnsi="Arial"/>
              </w:rPr>
              <w:t>70 17 24 78</w:t>
            </w:r>
          </w:p>
          <w:p>
            <w:pPr>
              <w:pStyle w:val="style0"/>
              <w:spacing w:before="0"/>
              <w:jc w:val="center"/>
              <w:rPr>
                <w:rFonts w:ascii="Arial" w:cs="Arial" w:hAnsi="Arial"/>
              </w:rPr>
            </w:pPr>
            <w:r>
              <w:rPr>
                <w:rFonts w:ascii="Arial" w:cs="Arial" w:hAnsi="Arial"/>
              </w:rPr>
              <w:t>66 76 17 55</w:t>
            </w:r>
          </w:p>
        </w:tc>
        <w:tc>
          <w:tcPr>
            <w:tcW w:w="2268"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02</w:t>
            </w:r>
          </w:p>
        </w:tc>
        <w:tc>
          <w:tcPr>
            <w:tcW w:w="3715" w:type="dxa"/>
            <w:tcBorders/>
            <w:vAlign w:val="center"/>
          </w:tcPr>
          <w:p>
            <w:pPr>
              <w:pStyle w:val="style0"/>
              <w:spacing w:before="0"/>
              <w:rPr>
                <w:rFonts w:ascii="Arial" w:cs="Arial" w:hAnsi="Arial"/>
                <w:lang w:val="de-DE"/>
              </w:rPr>
            </w:pPr>
            <w:r>
              <w:rPr>
                <w:rFonts w:ascii="Arial" w:cs="Arial" w:hAnsi="Arial"/>
                <w:lang w:val="de-DE"/>
              </w:rPr>
              <w:t>OUEDRAOGO Yassia</w:t>
            </w:r>
          </w:p>
        </w:tc>
        <w:tc>
          <w:tcPr>
            <w:tcW w:w="1134" w:type="dxa"/>
            <w:tcBorders/>
          </w:tcPr>
          <w:p>
            <w:pPr>
              <w:pStyle w:val="style0"/>
              <w:spacing w:before="0"/>
              <w:jc w:val="center"/>
              <w:rPr/>
            </w:pPr>
            <w:r>
              <w:rPr>
                <w:rFonts w:ascii="Arial" w:cs="Arial" w:hAnsi="Arial"/>
              </w:rPr>
              <w:t>M</w:t>
            </w:r>
          </w:p>
        </w:tc>
        <w:tc>
          <w:tcPr>
            <w:tcW w:w="4536" w:type="dxa"/>
            <w:tcBorders/>
            <w:vAlign w:val="center"/>
          </w:tcPr>
          <w:p>
            <w:pPr>
              <w:pStyle w:val="style0"/>
              <w:spacing w:before="0"/>
              <w:rPr>
                <w:rFonts w:ascii="Arial" w:cs="Arial" w:hAnsi="Arial"/>
              </w:rPr>
            </w:pPr>
            <w:r>
              <w:rPr>
                <w:rFonts w:ascii="Arial" w:cs="Arial" w:hAnsi="Arial"/>
              </w:rPr>
              <w:t xml:space="preserve">Commerçant </w:t>
            </w:r>
          </w:p>
          <w:p>
            <w:pPr>
              <w:pStyle w:val="style0"/>
              <w:spacing w:before="0"/>
              <w:rPr>
                <w:rFonts w:ascii="Arial" w:cs="Arial" w:hAnsi="Arial"/>
              </w:rPr>
            </w:pPr>
            <w:r>
              <w:rPr>
                <w:rFonts w:ascii="Arial" w:cs="Arial" w:hAnsi="Arial"/>
              </w:rPr>
              <w:t>(produits phytosanitaire)</w:t>
            </w:r>
          </w:p>
        </w:tc>
        <w:tc>
          <w:tcPr>
            <w:tcW w:w="2126" w:type="dxa"/>
            <w:tcBorders/>
            <w:vAlign w:val="center"/>
          </w:tcPr>
          <w:p>
            <w:pPr>
              <w:pStyle w:val="style0"/>
              <w:spacing w:before="0"/>
              <w:jc w:val="center"/>
              <w:rPr>
                <w:rFonts w:ascii="Arial" w:cs="Arial" w:hAnsi="Arial"/>
              </w:rPr>
            </w:pPr>
            <w:r>
              <w:rPr>
                <w:rFonts w:ascii="Arial" w:cs="Arial" w:hAnsi="Arial"/>
              </w:rPr>
              <w:t>74 86 38 41</w:t>
            </w:r>
          </w:p>
        </w:tc>
        <w:tc>
          <w:tcPr>
            <w:tcW w:w="2268"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lang w:val="de-DE"/>
              </w:rPr>
            </w:pPr>
            <w:r>
              <w:rPr>
                <w:rFonts w:ascii="Arial" w:cs="Arial" w:hAnsi="Arial"/>
                <w:lang w:val="de-DE"/>
              </w:rPr>
              <w:t>03</w:t>
            </w:r>
          </w:p>
        </w:tc>
        <w:tc>
          <w:tcPr>
            <w:tcW w:w="3715" w:type="dxa"/>
            <w:tcBorders/>
            <w:vAlign w:val="center"/>
          </w:tcPr>
          <w:p>
            <w:pPr>
              <w:pStyle w:val="style0"/>
              <w:spacing w:before="0"/>
              <w:rPr>
                <w:rFonts w:ascii="Arial" w:cs="Arial" w:hAnsi="Arial"/>
                <w:lang w:val="de-DE"/>
              </w:rPr>
            </w:pPr>
            <w:r>
              <w:rPr>
                <w:rFonts w:ascii="Arial" w:cs="Arial" w:hAnsi="Arial"/>
                <w:lang w:val="de-DE"/>
              </w:rPr>
              <w:t>KOUDA Marcel</w:t>
            </w:r>
          </w:p>
        </w:tc>
        <w:tc>
          <w:tcPr>
            <w:tcW w:w="1134" w:type="dxa"/>
            <w:tcBorders/>
          </w:tcPr>
          <w:p>
            <w:pPr>
              <w:pStyle w:val="style0"/>
              <w:spacing w:before="0"/>
              <w:jc w:val="center"/>
              <w:rPr/>
            </w:pPr>
            <w:r>
              <w:rPr>
                <w:rFonts w:ascii="Arial" w:cs="Arial" w:hAnsi="Arial"/>
              </w:rPr>
              <w:t>M</w:t>
            </w:r>
          </w:p>
        </w:tc>
        <w:tc>
          <w:tcPr>
            <w:tcW w:w="4536" w:type="dxa"/>
            <w:tcBorders/>
            <w:vAlign w:val="center"/>
          </w:tcPr>
          <w:p>
            <w:pPr>
              <w:pStyle w:val="style0"/>
              <w:spacing w:before="0"/>
              <w:rPr>
                <w:rFonts w:ascii="Arial" w:cs="Arial" w:hAnsi="Arial"/>
              </w:rPr>
            </w:pPr>
            <w:r>
              <w:rPr>
                <w:rFonts w:ascii="Arial" w:cs="Arial" w:hAnsi="Arial"/>
              </w:rPr>
              <w:t xml:space="preserve">Commerçant </w:t>
            </w:r>
          </w:p>
          <w:p>
            <w:pPr>
              <w:pStyle w:val="style0"/>
              <w:spacing w:before="0"/>
              <w:rPr>
                <w:rFonts w:ascii="Arial" w:cs="Arial" w:hAnsi="Arial"/>
              </w:rPr>
            </w:pPr>
            <w:r>
              <w:rPr>
                <w:rFonts w:ascii="Arial" w:cs="Arial" w:hAnsi="Arial"/>
              </w:rPr>
              <w:t>(produits phytosanitaire)</w:t>
            </w:r>
          </w:p>
        </w:tc>
        <w:tc>
          <w:tcPr>
            <w:tcW w:w="2126" w:type="dxa"/>
            <w:tcBorders/>
            <w:vAlign w:val="center"/>
          </w:tcPr>
          <w:p>
            <w:pPr>
              <w:pStyle w:val="style0"/>
              <w:spacing w:before="0"/>
              <w:jc w:val="center"/>
              <w:rPr>
                <w:rFonts w:ascii="Arial" w:cs="Arial" w:hAnsi="Arial"/>
                <w:lang w:val="de-DE"/>
              </w:rPr>
            </w:pPr>
            <w:r>
              <w:rPr>
                <w:rFonts w:ascii="Arial" w:cs="Arial" w:hAnsi="Arial"/>
                <w:lang w:val="de-DE"/>
              </w:rPr>
              <w:t>75 16 99 60</w:t>
            </w:r>
          </w:p>
        </w:tc>
        <w:tc>
          <w:tcPr>
            <w:tcW w:w="2268" w:type="dxa"/>
            <w:tcBorders/>
            <w:vAlign w:val="center"/>
          </w:tcPr>
          <w:p>
            <w:pPr>
              <w:pStyle w:val="style0"/>
              <w:spacing w:before="0"/>
              <w:jc w:val="center"/>
              <w:rPr>
                <w:rFonts w:ascii="Arial" w:cs="Arial" w:hAnsi="Arial"/>
                <w:lang w:val="de-DE"/>
              </w:rPr>
            </w:pPr>
          </w:p>
        </w:tc>
      </w:tr>
      <w:tr>
        <w:tblPrEx/>
        <w:trPr/>
        <w:tc>
          <w:tcPr>
            <w:tcW w:w="675" w:type="dxa"/>
            <w:tcBorders/>
            <w:vAlign w:val="center"/>
          </w:tcPr>
          <w:p>
            <w:pPr>
              <w:pStyle w:val="style0"/>
              <w:spacing w:before="0"/>
              <w:jc w:val="center"/>
              <w:rPr>
                <w:rFonts w:ascii="Arial" w:cs="Arial" w:hAnsi="Arial"/>
                <w:lang w:val="de-DE"/>
              </w:rPr>
            </w:pPr>
            <w:r>
              <w:rPr>
                <w:rFonts w:ascii="Arial" w:cs="Arial" w:hAnsi="Arial"/>
                <w:lang w:val="de-DE"/>
              </w:rPr>
              <w:t>04</w:t>
            </w:r>
          </w:p>
        </w:tc>
        <w:tc>
          <w:tcPr>
            <w:tcW w:w="3715" w:type="dxa"/>
            <w:tcBorders/>
            <w:vAlign w:val="center"/>
          </w:tcPr>
          <w:p>
            <w:pPr>
              <w:pStyle w:val="style0"/>
              <w:spacing w:before="0"/>
              <w:rPr>
                <w:rFonts w:ascii="Arial" w:cs="Arial" w:hAnsi="Arial"/>
                <w:lang w:val="de-DE"/>
              </w:rPr>
            </w:pPr>
            <w:r>
              <w:rPr>
                <w:rFonts w:ascii="Arial" w:cs="Arial" w:hAnsi="Arial"/>
                <w:lang w:val="de-DE"/>
              </w:rPr>
              <w:t>COULIVALY S. Lassina</w:t>
            </w:r>
          </w:p>
        </w:tc>
        <w:tc>
          <w:tcPr>
            <w:tcW w:w="1134" w:type="dxa"/>
            <w:tcBorders/>
          </w:tcPr>
          <w:p>
            <w:pPr>
              <w:pStyle w:val="style0"/>
              <w:spacing w:before="0"/>
              <w:jc w:val="center"/>
              <w:rPr/>
            </w:pPr>
            <w:r>
              <w:rPr>
                <w:rFonts w:ascii="Arial" w:cs="Arial" w:hAnsi="Arial"/>
              </w:rPr>
              <w:t>M</w:t>
            </w:r>
          </w:p>
        </w:tc>
        <w:tc>
          <w:tcPr>
            <w:tcW w:w="4536" w:type="dxa"/>
            <w:tcBorders/>
            <w:vAlign w:val="center"/>
          </w:tcPr>
          <w:p>
            <w:pPr>
              <w:pStyle w:val="style0"/>
              <w:spacing w:before="0"/>
              <w:rPr>
                <w:rFonts w:ascii="Arial" w:cs="Arial" w:hAnsi="Arial"/>
              </w:rPr>
            </w:pPr>
            <w:r>
              <w:rPr>
                <w:rFonts w:ascii="Arial" w:cs="Arial" w:hAnsi="Arial"/>
              </w:rPr>
              <w:t>DPEEVCC/Passoré</w:t>
            </w:r>
          </w:p>
          <w:p>
            <w:pPr>
              <w:pStyle w:val="style0"/>
              <w:spacing w:before="0"/>
              <w:rPr>
                <w:rFonts w:ascii="Arial" w:cs="Arial" w:hAnsi="Arial"/>
              </w:rPr>
            </w:pPr>
            <w:r>
              <w:rPr>
                <w:rFonts w:ascii="Arial" w:cs="Arial" w:hAnsi="Arial"/>
              </w:rPr>
              <w:t xml:space="preserve">Rép. </w:t>
            </w:r>
            <w:r>
              <w:rPr>
                <w:rFonts w:ascii="Arial" w:cs="Arial" w:hAnsi="Arial"/>
              </w:rPr>
              <w:t>Directeur Provincial</w:t>
            </w:r>
          </w:p>
        </w:tc>
        <w:tc>
          <w:tcPr>
            <w:tcW w:w="2126" w:type="dxa"/>
            <w:tcBorders/>
            <w:vAlign w:val="center"/>
          </w:tcPr>
          <w:p>
            <w:pPr>
              <w:pStyle w:val="style0"/>
              <w:spacing w:before="0"/>
              <w:jc w:val="center"/>
              <w:rPr>
                <w:rFonts w:ascii="Arial" w:cs="Arial" w:hAnsi="Arial"/>
              </w:rPr>
            </w:pPr>
            <w:r>
              <w:rPr>
                <w:rFonts w:ascii="Arial" w:cs="Arial" w:hAnsi="Arial"/>
              </w:rPr>
              <w:t>70 81 20 25</w:t>
            </w:r>
          </w:p>
        </w:tc>
        <w:tc>
          <w:tcPr>
            <w:tcW w:w="2268"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05</w:t>
            </w:r>
          </w:p>
        </w:tc>
        <w:tc>
          <w:tcPr>
            <w:tcW w:w="3715" w:type="dxa"/>
            <w:tcBorders/>
            <w:vAlign w:val="center"/>
          </w:tcPr>
          <w:p>
            <w:pPr>
              <w:pStyle w:val="style0"/>
              <w:spacing w:before="0"/>
              <w:rPr>
                <w:rFonts w:ascii="Arial" w:cs="Arial" w:hAnsi="Arial"/>
              </w:rPr>
            </w:pPr>
            <w:r>
              <w:rPr>
                <w:rFonts w:ascii="Arial" w:cs="Arial" w:hAnsi="Arial"/>
              </w:rPr>
              <w:t>SIMPORE Saïdou</w:t>
            </w:r>
          </w:p>
        </w:tc>
        <w:tc>
          <w:tcPr>
            <w:tcW w:w="1134" w:type="dxa"/>
            <w:tcBorders/>
          </w:tcPr>
          <w:p>
            <w:pPr>
              <w:pStyle w:val="style0"/>
              <w:spacing w:before="0"/>
              <w:jc w:val="center"/>
              <w:rPr/>
            </w:pPr>
            <w:r>
              <w:rPr>
                <w:rFonts w:ascii="Arial" w:cs="Arial" w:hAnsi="Arial"/>
              </w:rPr>
              <w:t>M</w:t>
            </w:r>
          </w:p>
        </w:tc>
        <w:tc>
          <w:tcPr>
            <w:tcW w:w="4536" w:type="dxa"/>
            <w:tcBorders/>
            <w:vAlign w:val="center"/>
          </w:tcPr>
          <w:p>
            <w:pPr>
              <w:pStyle w:val="style0"/>
              <w:spacing w:before="0"/>
              <w:rPr>
                <w:rFonts w:ascii="Arial" w:cs="Arial" w:hAnsi="Arial"/>
              </w:rPr>
            </w:pPr>
            <w:r>
              <w:rPr>
                <w:rFonts w:ascii="Arial" w:cs="Arial" w:hAnsi="Arial"/>
              </w:rPr>
              <w:t>DPRAH/Passoré</w:t>
            </w:r>
          </w:p>
        </w:tc>
        <w:tc>
          <w:tcPr>
            <w:tcW w:w="2126" w:type="dxa"/>
            <w:tcBorders/>
            <w:vAlign w:val="center"/>
          </w:tcPr>
          <w:p>
            <w:pPr>
              <w:pStyle w:val="style0"/>
              <w:spacing w:before="0"/>
              <w:jc w:val="center"/>
              <w:rPr>
                <w:rFonts w:ascii="Arial" w:cs="Arial" w:hAnsi="Arial"/>
              </w:rPr>
            </w:pPr>
            <w:r>
              <w:rPr>
                <w:rFonts w:ascii="Arial" w:cs="Arial" w:hAnsi="Arial"/>
              </w:rPr>
              <w:t>70 33 09 63</w:t>
            </w:r>
          </w:p>
        </w:tc>
        <w:tc>
          <w:tcPr>
            <w:tcW w:w="2268"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06</w:t>
            </w:r>
          </w:p>
        </w:tc>
        <w:tc>
          <w:tcPr>
            <w:tcW w:w="3715" w:type="dxa"/>
            <w:tcBorders/>
            <w:vAlign w:val="center"/>
          </w:tcPr>
          <w:p>
            <w:pPr>
              <w:pStyle w:val="style0"/>
              <w:spacing w:before="0"/>
              <w:rPr>
                <w:rFonts w:ascii="Arial" w:cs="Arial" w:hAnsi="Arial"/>
              </w:rPr>
            </w:pPr>
            <w:r>
              <w:rPr>
                <w:rFonts w:ascii="Arial" w:cs="Arial" w:hAnsi="Arial"/>
              </w:rPr>
              <w:t>PANANDTIGRI Oumarou</w:t>
            </w:r>
          </w:p>
        </w:tc>
        <w:tc>
          <w:tcPr>
            <w:tcW w:w="1134" w:type="dxa"/>
            <w:tcBorders/>
          </w:tcPr>
          <w:p>
            <w:pPr>
              <w:pStyle w:val="style0"/>
              <w:spacing w:before="0"/>
              <w:jc w:val="center"/>
              <w:rPr/>
            </w:pPr>
            <w:r>
              <w:rPr>
                <w:rFonts w:ascii="Arial" w:cs="Arial" w:hAnsi="Arial"/>
              </w:rPr>
              <w:t>M</w:t>
            </w:r>
          </w:p>
        </w:tc>
        <w:tc>
          <w:tcPr>
            <w:tcW w:w="4536" w:type="dxa"/>
            <w:tcBorders/>
            <w:vAlign w:val="center"/>
          </w:tcPr>
          <w:p>
            <w:pPr>
              <w:pStyle w:val="style0"/>
              <w:spacing w:before="0"/>
              <w:rPr>
                <w:rFonts w:ascii="Arial" w:cs="Arial" w:hAnsi="Arial"/>
              </w:rPr>
            </w:pPr>
            <w:r>
              <w:rPr>
                <w:rFonts w:ascii="Arial" w:cs="Arial" w:hAnsi="Arial"/>
              </w:rPr>
              <w:t>Gérant</w:t>
            </w:r>
          </w:p>
        </w:tc>
        <w:tc>
          <w:tcPr>
            <w:tcW w:w="2126" w:type="dxa"/>
            <w:tcBorders/>
            <w:vAlign w:val="center"/>
          </w:tcPr>
          <w:p>
            <w:pPr>
              <w:pStyle w:val="style0"/>
              <w:spacing w:before="0"/>
              <w:jc w:val="center"/>
              <w:rPr>
                <w:rFonts w:ascii="Arial" w:cs="Arial" w:hAnsi="Arial"/>
              </w:rPr>
            </w:pPr>
            <w:r>
              <w:rPr>
                <w:rFonts w:ascii="Arial" w:cs="Arial" w:hAnsi="Arial"/>
              </w:rPr>
              <w:t>75 08 80 28</w:t>
            </w:r>
          </w:p>
        </w:tc>
        <w:tc>
          <w:tcPr>
            <w:tcW w:w="2268" w:type="dxa"/>
            <w:tcBorders/>
            <w:vAlign w:val="center"/>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07</w:t>
            </w:r>
          </w:p>
        </w:tc>
        <w:tc>
          <w:tcPr>
            <w:tcW w:w="3715" w:type="dxa"/>
            <w:tcBorders/>
          </w:tcPr>
          <w:p>
            <w:pPr>
              <w:pStyle w:val="style0"/>
              <w:spacing w:before="0"/>
              <w:rPr>
                <w:rFonts w:ascii="Arial" w:cs="Arial" w:hAnsi="Arial"/>
              </w:rPr>
            </w:pPr>
            <w:r>
              <w:rPr>
                <w:rFonts w:ascii="Arial" w:cs="Arial" w:hAnsi="Arial"/>
              </w:rPr>
              <w:t>OUANSSE Boukare</w:t>
            </w:r>
          </w:p>
        </w:tc>
        <w:tc>
          <w:tcPr>
            <w:tcW w:w="1134" w:type="dxa"/>
            <w:tcBorders/>
          </w:tcPr>
          <w:p>
            <w:pPr>
              <w:pStyle w:val="style0"/>
              <w:spacing w:before="0"/>
              <w:jc w:val="center"/>
              <w:rPr/>
            </w:pPr>
            <w:r>
              <w:rPr>
                <w:rFonts w:ascii="Arial" w:cs="Arial" w:hAnsi="Arial"/>
              </w:rPr>
              <w:t>M</w:t>
            </w:r>
          </w:p>
        </w:tc>
        <w:tc>
          <w:tcPr>
            <w:tcW w:w="4536" w:type="dxa"/>
            <w:tcBorders/>
          </w:tcPr>
          <w:p>
            <w:pPr>
              <w:pStyle w:val="style0"/>
              <w:spacing w:before="0"/>
              <w:rPr>
                <w:rFonts w:ascii="Arial" w:cs="Arial" w:hAnsi="Arial"/>
              </w:rPr>
            </w:pPr>
            <w:r>
              <w:rPr>
                <w:rFonts w:ascii="Arial" w:cs="Arial" w:hAnsi="Arial"/>
              </w:rPr>
              <w:t>ASBC</w:t>
            </w:r>
          </w:p>
        </w:tc>
        <w:tc>
          <w:tcPr>
            <w:tcW w:w="2126" w:type="dxa"/>
            <w:tcBorders/>
          </w:tcPr>
          <w:p>
            <w:pPr>
              <w:pStyle w:val="style0"/>
              <w:spacing w:before="0"/>
              <w:jc w:val="center"/>
              <w:rPr>
                <w:rFonts w:ascii="Arial" w:cs="Arial" w:hAnsi="Arial"/>
              </w:rPr>
            </w:pPr>
            <w:r>
              <w:rPr>
                <w:rFonts w:ascii="Arial" w:cs="Arial" w:hAnsi="Arial"/>
              </w:rPr>
              <w:t>76 41 06 19</w:t>
            </w:r>
          </w:p>
        </w:tc>
        <w:tc>
          <w:tcPr>
            <w:tcW w:w="2268"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08</w:t>
            </w:r>
          </w:p>
        </w:tc>
        <w:tc>
          <w:tcPr>
            <w:tcW w:w="3715" w:type="dxa"/>
            <w:tcBorders/>
          </w:tcPr>
          <w:p>
            <w:pPr>
              <w:pStyle w:val="style0"/>
              <w:spacing w:before="0"/>
              <w:rPr>
                <w:rFonts w:ascii="Arial" w:cs="Arial" w:hAnsi="Arial"/>
                <w:lang w:val="en-US"/>
              </w:rPr>
            </w:pPr>
            <w:r>
              <w:rPr>
                <w:rFonts w:ascii="Arial" w:cs="Arial" w:hAnsi="Arial"/>
                <w:lang w:val="en-US"/>
              </w:rPr>
              <w:t xml:space="preserve">OUEDRAOGO Adama </w:t>
            </w:r>
          </w:p>
        </w:tc>
        <w:tc>
          <w:tcPr>
            <w:tcW w:w="1134" w:type="dxa"/>
            <w:tcBorders/>
          </w:tcPr>
          <w:p>
            <w:pPr>
              <w:pStyle w:val="style0"/>
              <w:spacing w:before="0"/>
              <w:jc w:val="center"/>
              <w:rPr>
                <w:lang w:val="en-US"/>
              </w:rPr>
            </w:pPr>
            <w:r>
              <w:rPr>
                <w:rFonts w:ascii="Arial" w:cs="Arial" w:hAnsi="Arial"/>
              </w:rPr>
              <w:t>M</w:t>
            </w:r>
          </w:p>
        </w:tc>
        <w:tc>
          <w:tcPr>
            <w:tcW w:w="4536" w:type="dxa"/>
            <w:tcBorders/>
          </w:tcPr>
          <w:p>
            <w:pPr>
              <w:pStyle w:val="style0"/>
              <w:spacing w:before="0"/>
              <w:rPr>
                <w:rFonts w:ascii="Arial" w:cs="Arial" w:hAnsi="Arial"/>
                <w:lang w:val="en-US"/>
              </w:rPr>
            </w:pPr>
            <w:r>
              <w:rPr>
                <w:rFonts w:ascii="Arial" w:cs="Arial" w:hAnsi="Arial"/>
                <w:lang w:val="en-US"/>
              </w:rPr>
              <w:t>Dourou/Infirmier</w:t>
            </w:r>
          </w:p>
        </w:tc>
        <w:tc>
          <w:tcPr>
            <w:tcW w:w="2126" w:type="dxa"/>
            <w:tcBorders/>
          </w:tcPr>
          <w:p>
            <w:pPr>
              <w:pStyle w:val="style0"/>
              <w:spacing w:before="0"/>
              <w:jc w:val="center"/>
              <w:rPr>
                <w:rFonts w:ascii="Arial" w:cs="Arial" w:hAnsi="Arial"/>
                <w:lang w:val="en-US"/>
              </w:rPr>
            </w:pPr>
            <w:r>
              <w:rPr>
                <w:rFonts w:ascii="Arial" w:cs="Arial" w:hAnsi="Arial"/>
                <w:lang w:val="en-US"/>
              </w:rPr>
              <w:t>76 36 74 32</w:t>
            </w:r>
          </w:p>
        </w:tc>
        <w:tc>
          <w:tcPr>
            <w:tcW w:w="2268" w:type="dxa"/>
            <w:tcBorders/>
          </w:tcPr>
          <w:p>
            <w:pPr>
              <w:pStyle w:val="style0"/>
              <w:spacing w:before="0"/>
              <w:jc w:val="center"/>
              <w:rPr>
                <w:rFonts w:ascii="Arial" w:cs="Arial" w:hAnsi="Arial"/>
                <w:lang w:val="en-US"/>
              </w:rPr>
            </w:pPr>
          </w:p>
        </w:tc>
      </w:tr>
      <w:tr>
        <w:tblPrEx/>
        <w:trPr/>
        <w:tc>
          <w:tcPr>
            <w:tcW w:w="675" w:type="dxa"/>
            <w:tcBorders/>
          </w:tcPr>
          <w:p>
            <w:pPr>
              <w:pStyle w:val="style0"/>
              <w:spacing w:before="0"/>
              <w:jc w:val="center"/>
              <w:rPr>
                <w:rFonts w:ascii="Arial" w:cs="Arial" w:hAnsi="Arial"/>
              </w:rPr>
            </w:pPr>
            <w:r>
              <w:rPr>
                <w:rFonts w:ascii="Arial" w:cs="Arial" w:hAnsi="Arial"/>
              </w:rPr>
              <w:t>09</w:t>
            </w:r>
          </w:p>
        </w:tc>
        <w:tc>
          <w:tcPr>
            <w:tcW w:w="3715" w:type="dxa"/>
            <w:tcBorders/>
          </w:tcPr>
          <w:p>
            <w:pPr>
              <w:pStyle w:val="style0"/>
              <w:spacing w:before="0"/>
              <w:rPr>
                <w:rFonts w:ascii="Arial" w:cs="Arial" w:hAnsi="Arial"/>
              </w:rPr>
            </w:pPr>
            <w:r>
              <w:rPr>
                <w:rFonts w:ascii="Arial" w:cs="Arial" w:hAnsi="Arial"/>
                <w:lang w:val="en-US"/>
              </w:rPr>
              <w:t>FOFANA Abdoul Aziz</w:t>
            </w:r>
          </w:p>
        </w:tc>
        <w:tc>
          <w:tcPr>
            <w:tcW w:w="1134" w:type="dxa"/>
            <w:tcBorders/>
          </w:tcPr>
          <w:p>
            <w:pPr>
              <w:pStyle w:val="style0"/>
              <w:spacing w:before="0"/>
              <w:jc w:val="center"/>
              <w:rPr/>
            </w:pPr>
            <w:r>
              <w:rPr>
                <w:rFonts w:ascii="Arial" w:cs="Arial" w:hAnsi="Arial"/>
              </w:rPr>
              <w:t>M</w:t>
            </w:r>
          </w:p>
        </w:tc>
        <w:tc>
          <w:tcPr>
            <w:tcW w:w="4536" w:type="dxa"/>
            <w:tcBorders/>
          </w:tcPr>
          <w:p>
            <w:pPr>
              <w:pStyle w:val="style0"/>
              <w:spacing w:before="0"/>
              <w:rPr>
                <w:rFonts w:ascii="Arial" w:cs="Arial" w:hAnsi="Arial"/>
              </w:rPr>
            </w:pPr>
            <w:r>
              <w:rPr>
                <w:rFonts w:ascii="Arial" w:cs="Arial" w:hAnsi="Arial"/>
              </w:rPr>
              <w:t>Agriculture VAT</w:t>
            </w:r>
          </w:p>
        </w:tc>
        <w:tc>
          <w:tcPr>
            <w:tcW w:w="2126" w:type="dxa"/>
            <w:tcBorders/>
          </w:tcPr>
          <w:p>
            <w:pPr>
              <w:pStyle w:val="style0"/>
              <w:spacing w:before="0"/>
              <w:jc w:val="center"/>
              <w:rPr>
                <w:rFonts w:ascii="Arial" w:cs="Arial" w:hAnsi="Arial"/>
              </w:rPr>
            </w:pPr>
            <w:r>
              <w:rPr>
                <w:rFonts w:ascii="Arial" w:cs="Arial" w:hAnsi="Arial"/>
              </w:rPr>
              <w:t>76 55 42 33</w:t>
            </w:r>
          </w:p>
          <w:p>
            <w:pPr>
              <w:pStyle w:val="style0"/>
              <w:spacing w:before="0"/>
              <w:jc w:val="center"/>
              <w:rPr>
                <w:rFonts w:ascii="Arial" w:cs="Arial" w:hAnsi="Arial"/>
              </w:rPr>
            </w:pPr>
            <w:r>
              <w:rPr>
                <w:rFonts w:ascii="Arial" w:cs="Arial" w:hAnsi="Arial"/>
              </w:rPr>
              <w:t>70 03 02 97</w:t>
            </w:r>
          </w:p>
        </w:tc>
        <w:tc>
          <w:tcPr>
            <w:tcW w:w="2268"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10</w:t>
            </w:r>
          </w:p>
        </w:tc>
        <w:tc>
          <w:tcPr>
            <w:tcW w:w="3715" w:type="dxa"/>
            <w:tcBorders/>
          </w:tcPr>
          <w:p>
            <w:pPr>
              <w:pStyle w:val="style0"/>
              <w:spacing w:before="0"/>
              <w:rPr>
                <w:rFonts w:ascii="Arial" w:cs="Arial" w:hAnsi="Arial"/>
              </w:rPr>
            </w:pPr>
            <w:r>
              <w:rPr>
                <w:rFonts w:ascii="Arial" w:cs="Arial" w:hAnsi="Arial"/>
              </w:rPr>
              <w:t>Sa Majesté de Dourou Naaba Tigré</w:t>
            </w:r>
          </w:p>
        </w:tc>
        <w:tc>
          <w:tcPr>
            <w:tcW w:w="1134" w:type="dxa"/>
            <w:tcBorders/>
          </w:tcPr>
          <w:p>
            <w:pPr>
              <w:pStyle w:val="style0"/>
              <w:spacing w:before="0"/>
              <w:jc w:val="center"/>
              <w:rPr/>
            </w:pPr>
            <w:r>
              <w:rPr>
                <w:rFonts w:ascii="Arial" w:cs="Arial" w:hAnsi="Arial"/>
              </w:rPr>
              <w:t>M</w:t>
            </w:r>
          </w:p>
        </w:tc>
        <w:tc>
          <w:tcPr>
            <w:tcW w:w="4536" w:type="dxa"/>
            <w:tcBorders/>
          </w:tcPr>
          <w:p>
            <w:pPr>
              <w:pStyle w:val="style0"/>
              <w:spacing w:before="0"/>
              <w:rPr>
                <w:rFonts w:ascii="Arial" w:cs="Arial" w:hAnsi="Arial"/>
              </w:rPr>
            </w:pPr>
            <w:r>
              <w:rPr>
                <w:rFonts w:ascii="Arial" w:cs="Arial" w:hAnsi="Arial"/>
              </w:rPr>
              <w:t>Chef coutumier</w:t>
            </w:r>
          </w:p>
        </w:tc>
        <w:tc>
          <w:tcPr>
            <w:tcW w:w="2126" w:type="dxa"/>
            <w:tcBorders/>
          </w:tcPr>
          <w:p>
            <w:pPr>
              <w:pStyle w:val="style0"/>
              <w:spacing w:before="0"/>
              <w:jc w:val="center"/>
              <w:rPr>
                <w:rFonts w:ascii="Arial" w:cs="Arial" w:hAnsi="Arial"/>
              </w:rPr>
            </w:pPr>
            <w:r>
              <w:rPr>
                <w:rFonts w:ascii="Arial" w:cs="Arial" w:hAnsi="Arial"/>
              </w:rPr>
              <w:t>76 70 38 30</w:t>
            </w:r>
          </w:p>
          <w:p>
            <w:pPr>
              <w:pStyle w:val="style0"/>
              <w:spacing w:before="0"/>
              <w:jc w:val="center"/>
              <w:rPr>
                <w:rFonts w:ascii="Arial" w:cs="Arial" w:hAnsi="Arial"/>
              </w:rPr>
            </w:pPr>
            <w:r>
              <w:rPr>
                <w:rFonts w:ascii="Arial" w:cs="Arial" w:hAnsi="Arial"/>
              </w:rPr>
              <w:t>60 87 34 16</w:t>
            </w:r>
          </w:p>
        </w:tc>
        <w:tc>
          <w:tcPr>
            <w:tcW w:w="2268"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11</w:t>
            </w:r>
          </w:p>
        </w:tc>
        <w:tc>
          <w:tcPr>
            <w:tcW w:w="3715" w:type="dxa"/>
            <w:tcBorders/>
          </w:tcPr>
          <w:p>
            <w:pPr>
              <w:pStyle w:val="style0"/>
              <w:spacing w:before="0"/>
              <w:rPr>
                <w:rFonts w:ascii="Arial" w:cs="Arial" w:hAnsi="Arial"/>
              </w:rPr>
            </w:pPr>
            <w:r>
              <w:rPr>
                <w:rFonts w:ascii="Arial" w:cs="Arial" w:hAnsi="Arial"/>
              </w:rPr>
              <w:t>OUANDE Karim</w:t>
            </w:r>
          </w:p>
        </w:tc>
        <w:tc>
          <w:tcPr>
            <w:tcW w:w="1134" w:type="dxa"/>
            <w:tcBorders/>
          </w:tcPr>
          <w:p>
            <w:pPr>
              <w:pStyle w:val="style0"/>
              <w:spacing w:before="0"/>
              <w:jc w:val="center"/>
              <w:rPr/>
            </w:pPr>
            <w:r>
              <w:rPr>
                <w:rFonts w:ascii="Arial" w:cs="Arial" w:hAnsi="Arial"/>
              </w:rPr>
              <w:t>M</w:t>
            </w:r>
          </w:p>
        </w:tc>
        <w:tc>
          <w:tcPr>
            <w:tcW w:w="4536" w:type="dxa"/>
            <w:tcBorders/>
          </w:tcPr>
          <w:p>
            <w:pPr>
              <w:pStyle w:val="style0"/>
              <w:spacing w:before="0"/>
              <w:rPr>
                <w:rFonts w:ascii="Arial" w:cs="Arial" w:hAnsi="Arial"/>
              </w:rPr>
            </w:pPr>
            <w:r>
              <w:rPr>
                <w:rFonts w:ascii="Arial" w:cs="Arial" w:hAnsi="Arial"/>
              </w:rPr>
              <w:t>Notable</w:t>
            </w:r>
          </w:p>
        </w:tc>
        <w:tc>
          <w:tcPr>
            <w:tcW w:w="2126" w:type="dxa"/>
            <w:tcBorders/>
          </w:tcPr>
          <w:p>
            <w:pPr>
              <w:pStyle w:val="style0"/>
              <w:spacing w:before="0"/>
              <w:jc w:val="center"/>
              <w:rPr>
                <w:rFonts w:ascii="Arial" w:cs="Arial" w:hAnsi="Arial"/>
              </w:rPr>
            </w:pPr>
            <w:r>
              <w:rPr>
                <w:rFonts w:ascii="Arial" w:cs="Arial" w:hAnsi="Arial"/>
              </w:rPr>
              <w:t>75 01 87 04</w:t>
            </w:r>
          </w:p>
        </w:tc>
        <w:tc>
          <w:tcPr>
            <w:tcW w:w="2268"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12</w:t>
            </w:r>
          </w:p>
        </w:tc>
        <w:tc>
          <w:tcPr>
            <w:tcW w:w="3715" w:type="dxa"/>
            <w:tcBorders/>
          </w:tcPr>
          <w:p>
            <w:pPr>
              <w:pStyle w:val="style0"/>
              <w:spacing w:before="0"/>
              <w:rPr>
                <w:rFonts w:ascii="Arial" w:cs="Arial" w:hAnsi="Arial"/>
              </w:rPr>
            </w:pPr>
            <w:r>
              <w:rPr>
                <w:rFonts w:ascii="Arial" w:cs="Arial" w:hAnsi="Arial"/>
              </w:rPr>
              <w:t>OUANDE Pegwendé</w:t>
            </w:r>
          </w:p>
        </w:tc>
        <w:tc>
          <w:tcPr>
            <w:tcW w:w="1134" w:type="dxa"/>
            <w:tcBorders/>
          </w:tcPr>
          <w:p>
            <w:pPr>
              <w:pStyle w:val="style0"/>
              <w:spacing w:before="0"/>
              <w:jc w:val="center"/>
              <w:rPr/>
            </w:pPr>
            <w:r>
              <w:rPr>
                <w:rFonts w:ascii="Arial" w:cs="Arial" w:hAnsi="Arial"/>
              </w:rPr>
              <w:t>M</w:t>
            </w:r>
          </w:p>
        </w:tc>
        <w:tc>
          <w:tcPr>
            <w:tcW w:w="4536" w:type="dxa"/>
            <w:tcBorders/>
          </w:tcPr>
          <w:p>
            <w:pPr>
              <w:pStyle w:val="style0"/>
              <w:spacing w:before="0"/>
              <w:rPr>
                <w:rFonts w:ascii="Arial" w:cs="Arial" w:hAnsi="Arial"/>
              </w:rPr>
            </w:pPr>
            <w:r>
              <w:rPr>
                <w:rFonts w:ascii="Arial" w:cs="Arial" w:hAnsi="Arial"/>
              </w:rPr>
              <w:t>Cultivateur</w:t>
            </w:r>
          </w:p>
        </w:tc>
        <w:tc>
          <w:tcPr>
            <w:tcW w:w="2126" w:type="dxa"/>
            <w:tcBorders/>
          </w:tcPr>
          <w:p>
            <w:pPr>
              <w:pStyle w:val="style0"/>
              <w:spacing w:before="0"/>
              <w:jc w:val="center"/>
              <w:rPr>
                <w:rFonts w:ascii="Arial" w:cs="Arial" w:hAnsi="Arial"/>
              </w:rPr>
            </w:pPr>
            <w:r>
              <w:rPr>
                <w:rFonts w:ascii="Arial" w:cs="Arial" w:hAnsi="Arial"/>
              </w:rPr>
              <w:t>75 49 97 00</w:t>
            </w:r>
          </w:p>
        </w:tc>
        <w:tc>
          <w:tcPr>
            <w:tcW w:w="2268"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13</w:t>
            </w:r>
          </w:p>
        </w:tc>
        <w:tc>
          <w:tcPr>
            <w:tcW w:w="3715" w:type="dxa"/>
            <w:tcBorders/>
          </w:tcPr>
          <w:p>
            <w:pPr>
              <w:pStyle w:val="style0"/>
              <w:spacing w:before="0"/>
              <w:rPr>
                <w:rFonts w:ascii="Arial" w:cs="Arial" w:hAnsi="Arial"/>
              </w:rPr>
            </w:pPr>
            <w:r>
              <w:rPr>
                <w:rFonts w:ascii="Arial" w:cs="Arial" w:hAnsi="Arial"/>
              </w:rPr>
              <w:t>OUANDE Ousmane</w:t>
            </w:r>
          </w:p>
        </w:tc>
        <w:tc>
          <w:tcPr>
            <w:tcW w:w="1134" w:type="dxa"/>
            <w:tcBorders/>
          </w:tcPr>
          <w:p>
            <w:pPr>
              <w:pStyle w:val="style0"/>
              <w:spacing w:before="0"/>
              <w:jc w:val="center"/>
              <w:rPr/>
            </w:pPr>
            <w:r>
              <w:rPr>
                <w:rFonts w:ascii="Arial" w:cs="Arial" w:hAnsi="Arial"/>
              </w:rPr>
              <w:t>M</w:t>
            </w:r>
          </w:p>
        </w:tc>
        <w:tc>
          <w:tcPr>
            <w:tcW w:w="4536" w:type="dxa"/>
            <w:tcBorders/>
          </w:tcPr>
          <w:p>
            <w:pPr>
              <w:pStyle w:val="style0"/>
              <w:spacing w:before="0"/>
              <w:rPr>
                <w:rFonts w:ascii="Arial" w:cs="Arial" w:hAnsi="Arial"/>
              </w:rPr>
            </w:pPr>
            <w:r>
              <w:rPr>
                <w:rFonts w:ascii="Arial" w:cs="Arial" w:hAnsi="Arial"/>
              </w:rPr>
              <w:t>Cultivateur</w:t>
            </w:r>
          </w:p>
        </w:tc>
        <w:tc>
          <w:tcPr>
            <w:tcW w:w="2126" w:type="dxa"/>
            <w:tcBorders/>
          </w:tcPr>
          <w:p>
            <w:pPr>
              <w:pStyle w:val="style0"/>
              <w:spacing w:before="0"/>
              <w:jc w:val="center"/>
              <w:rPr>
                <w:rFonts w:ascii="Arial" w:cs="Arial" w:hAnsi="Arial"/>
              </w:rPr>
            </w:pPr>
            <w:r>
              <w:rPr>
                <w:rFonts w:ascii="Arial" w:cs="Arial" w:hAnsi="Arial"/>
              </w:rPr>
              <w:t>S/C 75 49 97 00</w:t>
            </w:r>
          </w:p>
        </w:tc>
        <w:tc>
          <w:tcPr>
            <w:tcW w:w="2268"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14</w:t>
            </w:r>
          </w:p>
        </w:tc>
        <w:tc>
          <w:tcPr>
            <w:tcW w:w="3715" w:type="dxa"/>
            <w:tcBorders/>
          </w:tcPr>
          <w:p>
            <w:pPr>
              <w:pStyle w:val="style0"/>
              <w:spacing w:before="0"/>
              <w:rPr>
                <w:rFonts w:ascii="Arial" w:cs="Arial" w:hAnsi="Arial"/>
              </w:rPr>
            </w:pPr>
            <w:r>
              <w:rPr>
                <w:rFonts w:ascii="Arial" w:cs="Arial" w:hAnsi="Arial"/>
              </w:rPr>
              <w:t>SAWADOGO Mamadou</w:t>
            </w:r>
          </w:p>
        </w:tc>
        <w:tc>
          <w:tcPr>
            <w:tcW w:w="1134" w:type="dxa"/>
            <w:tcBorders/>
          </w:tcPr>
          <w:p>
            <w:pPr>
              <w:pStyle w:val="style0"/>
              <w:spacing w:before="0"/>
              <w:jc w:val="center"/>
              <w:rPr/>
            </w:pPr>
            <w:r>
              <w:rPr>
                <w:rFonts w:ascii="Arial" w:cs="Arial" w:hAnsi="Arial"/>
              </w:rPr>
              <w:t>M</w:t>
            </w:r>
          </w:p>
        </w:tc>
        <w:tc>
          <w:tcPr>
            <w:tcW w:w="4536" w:type="dxa"/>
            <w:tcBorders/>
          </w:tcPr>
          <w:p>
            <w:pPr>
              <w:pStyle w:val="style0"/>
              <w:spacing w:before="0"/>
              <w:rPr>
                <w:rFonts w:ascii="Arial" w:cs="Arial" w:hAnsi="Arial"/>
              </w:rPr>
            </w:pPr>
            <w:r>
              <w:rPr>
                <w:rFonts w:ascii="Arial" w:cs="Arial" w:hAnsi="Arial"/>
              </w:rPr>
              <w:t>Maire de la commune de Kirsi</w:t>
            </w:r>
          </w:p>
        </w:tc>
        <w:tc>
          <w:tcPr>
            <w:tcW w:w="2126" w:type="dxa"/>
            <w:tcBorders/>
          </w:tcPr>
          <w:p>
            <w:pPr>
              <w:pStyle w:val="style0"/>
              <w:spacing w:before="0"/>
              <w:jc w:val="center"/>
              <w:rPr>
                <w:rFonts w:ascii="Arial" w:cs="Arial" w:hAnsi="Arial"/>
              </w:rPr>
            </w:pPr>
            <w:r>
              <w:rPr>
                <w:rFonts w:ascii="Arial" w:cs="Arial" w:hAnsi="Arial"/>
              </w:rPr>
              <w:t>70 44 94 03</w:t>
            </w:r>
          </w:p>
        </w:tc>
        <w:tc>
          <w:tcPr>
            <w:tcW w:w="2268"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lang w:val="de-DE"/>
              </w:rPr>
            </w:pPr>
            <w:r>
              <w:rPr>
                <w:rFonts w:ascii="Arial" w:cs="Arial" w:hAnsi="Arial"/>
                <w:lang w:val="de-DE"/>
              </w:rPr>
              <w:t>15</w:t>
            </w:r>
          </w:p>
        </w:tc>
        <w:tc>
          <w:tcPr>
            <w:tcW w:w="3715" w:type="dxa"/>
            <w:tcBorders/>
          </w:tcPr>
          <w:p>
            <w:pPr>
              <w:pStyle w:val="style0"/>
              <w:spacing w:before="0"/>
              <w:rPr>
                <w:rFonts w:ascii="Arial" w:cs="Arial" w:hAnsi="Arial"/>
                <w:lang w:val="de-DE"/>
              </w:rPr>
            </w:pPr>
            <w:r>
              <w:rPr>
                <w:rFonts w:ascii="Arial" w:cs="Arial" w:hAnsi="Arial"/>
                <w:lang w:val="de-DE"/>
              </w:rPr>
              <w:t>ZOROME Haoua</w:t>
            </w:r>
          </w:p>
        </w:tc>
        <w:tc>
          <w:tcPr>
            <w:tcW w:w="1134" w:type="dxa"/>
            <w:tcBorders/>
          </w:tcPr>
          <w:p>
            <w:pPr>
              <w:pStyle w:val="style0"/>
              <w:spacing w:before="0"/>
              <w:jc w:val="center"/>
              <w:rPr/>
            </w:pPr>
            <w:r>
              <w:rPr>
                <w:rFonts w:ascii="Arial" w:cs="Arial" w:hAnsi="Arial"/>
              </w:rPr>
              <w:t>F</w:t>
            </w:r>
          </w:p>
        </w:tc>
        <w:tc>
          <w:tcPr>
            <w:tcW w:w="4536" w:type="dxa"/>
            <w:tcBorders/>
          </w:tcPr>
          <w:p>
            <w:pPr>
              <w:pStyle w:val="style0"/>
              <w:spacing w:before="0"/>
              <w:rPr>
                <w:rFonts w:ascii="Arial" w:cs="Arial" w:hAnsi="Arial"/>
                <w:lang w:val="de-DE"/>
              </w:rPr>
            </w:pPr>
            <w:r>
              <w:rPr>
                <w:rFonts w:ascii="Arial" w:cs="Arial" w:hAnsi="Arial"/>
              </w:rPr>
              <w:t>Préfecture</w:t>
            </w:r>
            <w:r>
              <w:rPr>
                <w:rFonts w:ascii="Arial" w:cs="Arial" w:hAnsi="Arial"/>
                <w:lang w:val="de-DE"/>
              </w:rPr>
              <w:t xml:space="preserve"> de Kirsi</w:t>
            </w:r>
          </w:p>
        </w:tc>
        <w:tc>
          <w:tcPr>
            <w:tcW w:w="2126" w:type="dxa"/>
            <w:tcBorders/>
          </w:tcPr>
          <w:p>
            <w:pPr>
              <w:pStyle w:val="style0"/>
              <w:spacing w:before="0"/>
              <w:jc w:val="center"/>
              <w:rPr>
                <w:rFonts w:ascii="Arial" w:cs="Arial" w:hAnsi="Arial"/>
                <w:lang w:val="de-DE"/>
              </w:rPr>
            </w:pPr>
            <w:r>
              <w:rPr>
                <w:rFonts w:ascii="Arial" w:cs="Arial" w:hAnsi="Arial"/>
                <w:lang w:val="de-DE"/>
              </w:rPr>
              <w:t>73 76 62 80</w:t>
            </w:r>
          </w:p>
        </w:tc>
        <w:tc>
          <w:tcPr>
            <w:tcW w:w="2268" w:type="dxa"/>
            <w:tcBorders/>
          </w:tcPr>
          <w:p>
            <w:pPr>
              <w:pStyle w:val="style0"/>
              <w:spacing w:before="0"/>
              <w:jc w:val="center"/>
              <w:rPr>
                <w:rFonts w:ascii="Arial" w:cs="Arial" w:hAnsi="Arial"/>
                <w:lang w:val="de-DE"/>
              </w:rPr>
            </w:pPr>
          </w:p>
        </w:tc>
      </w:tr>
    </w:tbl>
    <w:p>
      <w:pPr>
        <w:pStyle w:val="style0"/>
        <w:spacing w:before="0"/>
        <w:rPr>
          <w:rFonts w:ascii="Arial" w:cs="Arial" w:hAnsi="Arial"/>
          <w:sz w:val="20"/>
        </w:rPr>
      </w:pPr>
      <w:r>
        <w:rPr>
          <w:rFonts w:ascii="Arial" w:cs="Arial" w:hAnsi="Arial"/>
          <w:sz w:val="20"/>
        </w:rPr>
        <w:br w:type="page"/>
      </w:r>
    </w:p>
    <w:p>
      <w:pPr>
        <w:pStyle w:val="style0"/>
        <w:spacing w:before="0"/>
        <w:rPr>
          <w:rFonts w:ascii="Arial" w:cs="Arial" w:hAnsi="Arial"/>
          <w:b/>
          <w:u w:val="dotted"/>
        </w:rPr>
      </w:pPr>
      <w:r>
        <w:rPr>
          <w:rFonts w:ascii="Arial" w:cs="Arial" w:hAnsi="Arial"/>
          <w:b/>
        </w:rPr>
        <w:t xml:space="preserve">    </w:t>
      </w:r>
      <w:r>
        <w:rPr>
          <w:rFonts w:ascii="Arial" w:cs="Arial" w:hAnsi="Arial"/>
          <w:b/>
          <w:u w:val="single"/>
        </w:rPr>
        <w:t>INTITULE DU PROJET/PROGRAMME</w:t>
      </w:r>
      <w:r>
        <w:rPr>
          <w:rFonts w:ascii="Arial" w:cs="Arial" w:hAnsi="Arial"/>
          <w:b/>
        </w:rPr>
        <w:t xml:space="preserve"> : </w:t>
      </w:r>
      <w:r>
        <w:rPr>
          <w:rFonts w:ascii="Arial" w:cs="Arial" w:hAnsi="Arial"/>
          <w:b/>
          <w:u w:val="dotted"/>
        </w:rPr>
        <w:t>PROGRAMME DE DEVELOPPEMENT ET DE COMPETITIVITE AGRICOLE (PDCA)</w:t>
      </w:r>
    </w:p>
    <w:p>
      <w:pPr>
        <w:pStyle w:val="style0"/>
        <w:spacing w:before="0"/>
        <w:rPr>
          <w:rFonts w:ascii="Arial" w:cs="Arial" w:hAnsi="Arial"/>
          <w:b/>
          <w:sz w:val="18"/>
        </w:rPr>
      </w:pPr>
      <w:r>
        <w:rPr>
          <w:rFonts w:ascii="Arial" w:cs="Arial" w:hAnsi="Arial"/>
          <w:b/>
          <w:sz w:val="18"/>
        </w:rPr>
        <w:t>LISTE DES PARTICIPANTS AUX SEANCES DE CONSULTATIONS PUBLIQUES EN V</w:t>
      </w:r>
      <w:r>
        <w:rPr>
          <w:rFonts w:ascii="Arial" w:cs="Arial" w:hAnsi="Arial"/>
          <w:b/>
          <w:sz w:val="18"/>
        </w:rPr>
        <w:t>UE DE L’ELABORATION DU CGES/PGP/CPR</w:t>
      </w:r>
    </w:p>
    <w:p>
      <w:pPr>
        <w:pStyle w:val="style0"/>
        <w:spacing w:before="0"/>
        <w:rPr>
          <w:rFonts w:ascii="Arial" w:cs="Arial" w:hAnsi="Arial"/>
          <w:b/>
          <w:sz w:val="20"/>
        </w:rPr>
      </w:pPr>
      <w:r>
        <w:rPr>
          <w:rFonts w:ascii="Arial" w:cs="Arial" w:hAnsi="Arial"/>
          <w:b/>
          <w:sz w:val="20"/>
        </w:rPr>
        <w:t xml:space="preserve">Région : </w:t>
      </w:r>
      <w:r>
        <w:rPr>
          <w:rFonts w:ascii="Arial" w:cs="Arial" w:hAnsi="Arial"/>
          <w:b/>
          <w:sz w:val="20"/>
          <w:u w:val="dotted"/>
        </w:rPr>
        <w:t>NORD</w:t>
      </w:r>
      <w:r>
        <w:rPr>
          <w:rFonts w:ascii="Arial" w:cs="Arial" w:hAnsi="Arial"/>
          <w:b/>
          <w:sz w:val="20"/>
        </w:rPr>
        <w:t>…………………………</w:t>
      </w:r>
      <w:r>
        <w:rPr>
          <w:rFonts w:ascii="Arial" w:cs="Arial" w:hAnsi="Arial"/>
          <w:b/>
          <w:sz w:val="20"/>
          <w:u w:val="dotted"/>
        </w:rPr>
        <w:t>Province</w:t>
      </w:r>
      <w:r>
        <w:rPr>
          <w:rFonts w:ascii="Arial" w:cs="Arial" w:hAnsi="Arial"/>
          <w:b/>
          <w:sz w:val="20"/>
        </w:rPr>
        <w:t xml:space="preserve"> : </w:t>
      </w:r>
      <w:r>
        <w:rPr>
          <w:rFonts w:ascii="Arial" w:cs="Arial" w:hAnsi="Arial"/>
          <w:b/>
          <w:sz w:val="20"/>
          <w:u w:val="dotted"/>
        </w:rPr>
        <w:t>PASSORE</w:t>
      </w:r>
      <w:r>
        <w:rPr>
          <w:rFonts w:ascii="Arial" w:cs="Arial" w:hAnsi="Arial"/>
          <w:b/>
          <w:sz w:val="20"/>
        </w:rPr>
        <w:t>…………………………….</w:t>
      </w:r>
      <w:r>
        <w:rPr>
          <w:rFonts w:ascii="Arial" w:cs="Arial" w:hAnsi="Arial"/>
          <w:b/>
          <w:sz w:val="20"/>
          <w:u w:val="dotted"/>
        </w:rPr>
        <w:t>Commune</w:t>
      </w:r>
      <w:r>
        <w:rPr>
          <w:rFonts w:ascii="Arial" w:cs="Arial" w:hAnsi="Arial"/>
          <w:b/>
          <w:sz w:val="20"/>
        </w:rPr>
        <w:t xml:space="preserve"> : </w:t>
      </w:r>
      <w:r>
        <w:rPr>
          <w:rFonts w:ascii="Arial" w:cs="Arial" w:hAnsi="Arial"/>
          <w:b/>
          <w:sz w:val="20"/>
          <w:u w:val="dotted"/>
        </w:rPr>
        <w:t>KIRSI</w:t>
      </w:r>
      <w:r>
        <w:rPr>
          <w:rFonts w:ascii="Arial" w:cs="Arial" w:hAnsi="Arial"/>
          <w:b/>
          <w:sz w:val="20"/>
        </w:rPr>
        <w:t>…………………………..</w:t>
      </w:r>
    </w:p>
    <w:p>
      <w:pPr>
        <w:pStyle w:val="style0"/>
        <w:spacing w:before="0"/>
        <w:rPr>
          <w:rFonts w:ascii="Arial" w:cs="Arial" w:hAnsi="Arial"/>
          <w:b/>
          <w:sz w:val="20"/>
        </w:rPr>
      </w:pPr>
      <w:r>
        <w:rPr>
          <w:rFonts w:ascii="Arial" w:cs="Arial" w:hAnsi="Arial"/>
          <w:b/>
          <w:sz w:val="20"/>
        </w:rPr>
        <w:t>Village : DOUROU………………………….Date : ………..08/01/2019 ……………</w:t>
      </w:r>
      <w:r>
        <w:rPr>
          <w:rFonts w:ascii="Arial" w:cs="Arial" w:hAnsi="Arial"/>
          <w:b/>
          <w:sz w:val="20"/>
        </w:rPr>
        <w:t xml:space="preserve"> </w:t>
      </w:r>
      <w:r>
        <w:rPr>
          <w:rFonts w:ascii="Arial" w:cs="Arial" w:hAnsi="Arial"/>
          <w:b/>
          <w:sz w:val="20"/>
        </w:rPr>
        <w:t>Groupes cibles : Producteurs</w:t>
      </w:r>
    </w:p>
    <w:tbl>
      <w:tblPr>
        <w:tblStyle w:val="style154"/>
        <w:tblW w:w="14029" w:type="dxa"/>
        <w:tblLayout w:type="fixed"/>
        <w:tblLook w:val="04A0" w:firstRow="1" w:lastRow="0" w:firstColumn="1" w:lastColumn="0" w:noHBand="0" w:noVBand="1"/>
      </w:tblPr>
      <w:tblGrid>
        <w:gridCol w:w="675"/>
        <w:gridCol w:w="3573"/>
        <w:gridCol w:w="1134"/>
        <w:gridCol w:w="3402"/>
        <w:gridCol w:w="2410"/>
        <w:gridCol w:w="2835"/>
      </w:tblGrid>
      <w:tr>
        <w:trPr/>
        <w:tc>
          <w:tcPr>
            <w:tcW w:w="675" w:type="dxa"/>
            <w:tcBorders/>
            <w:vAlign w:val="center"/>
          </w:tcPr>
          <w:p>
            <w:pPr>
              <w:pStyle w:val="style0"/>
              <w:spacing w:before="0"/>
              <w:jc w:val="center"/>
              <w:rPr>
                <w:rFonts w:ascii="Arial" w:cs="Arial" w:hAnsi="Arial"/>
                <w:b/>
              </w:rPr>
            </w:pPr>
            <w:r>
              <w:rPr>
                <w:rFonts w:ascii="Arial" w:cs="Arial" w:hAnsi="Arial"/>
                <w:b/>
              </w:rPr>
              <w:t>N°</w:t>
            </w:r>
          </w:p>
        </w:tc>
        <w:tc>
          <w:tcPr>
            <w:tcW w:w="3573" w:type="dxa"/>
            <w:tcBorders/>
            <w:vAlign w:val="center"/>
          </w:tcPr>
          <w:p>
            <w:pPr>
              <w:pStyle w:val="style0"/>
              <w:spacing w:before="0"/>
              <w:jc w:val="center"/>
              <w:rPr>
                <w:rFonts w:ascii="Arial" w:cs="Arial" w:hAnsi="Arial"/>
                <w:b/>
              </w:rPr>
            </w:pPr>
            <w:r>
              <w:rPr>
                <w:rFonts w:ascii="Arial" w:cs="Arial" w:hAnsi="Arial"/>
                <w:b/>
              </w:rPr>
              <w:t>Nom et prénom (s)</w:t>
            </w:r>
          </w:p>
        </w:tc>
        <w:tc>
          <w:tcPr>
            <w:tcW w:w="1134" w:type="dxa"/>
            <w:tcBorders/>
            <w:vAlign w:val="center"/>
          </w:tcPr>
          <w:p>
            <w:pPr>
              <w:pStyle w:val="style0"/>
              <w:spacing w:before="0"/>
              <w:jc w:val="center"/>
              <w:rPr>
                <w:rFonts w:ascii="Arial" w:cs="Arial" w:hAnsi="Arial"/>
                <w:b/>
              </w:rPr>
            </w:pPr>
            <w:r>
              <w:rPr>
                <w:rFonts w:ascii="Arial" w:cs="Arial" w:hAnsi="Arial"/>
                <w:b/>
              </w:rPr>
              <w:t>Sexe</w:t>
            </w:r>
          </w:p>
        </w:tc>
        <w:tc>
          <w:tcPr>
            <w:tcW w:w="3402" w:type="dxa"/>
            <w:tcBorders/>
            <w:vAlign w:val="center"/>
          </w:tcPr>
          <w:p>
            <w:pPr>
              <w:pStyle w:val="style0"/>
              <w:spacing w:before="0"/>
              <w:jc w:val="center"/>
              <w:rPr>
                <w:rFonts w:ascii="Arial" w:cs="Arial" w:hAnsi="Arial"/>
                <w:b/>
              </w:rPr>
            </w:pPr>
            <w:r>
              <w:rPr>
                <w:rFonts w:ascii="Arial" w:cs="Arial" w:hAnsi="Arial"/>
                <w:b/>
              </w:rPr>
              <w:t xml:space="preserve">Structure / </w:t>
            </w:r>
            <w:r>
              <w:rPr>
                <w:rFonts w:ascii="Arial" w:cs="Arial" w:hAnsi="Arial"/>
                <w:b/>
              </w:rPr>
              <w:t>Profession</w:t>
            </w:r>
          </w:p>
        </w:tc>
        <w:tc>
          <w:tcPr>
            <w:tcW w:w="2410" w:type="dxa"/>
            <w:tcBorders/>
            <w:vAlign w:val="center"/>
          </w:tcPr>
          <w:p>
            <w:pPr>
              <w:pStyle w:val="style0"/>
              <w:spacing w:before="0"/>
              <w:jc w:val="center"/>
              <w:rPr>
                <w:rFonts w:ascii="Arial" w:cs="Arial" w:hAnsi="Arial"/>
                <w:b/>
              </w:rPr>
            </w:pPr>
            <w:r>
              <w:rPr>
                <w:rFonts w:ascii="Arial" w:cs="Arial" w:hAnsi="Arial"/>
                <w:b/>
              </w:rPr>
              <w:t>Téléphone</w:t>
            </w:r>
          </w:p>
        </w:tc>
        <w:tc>
          <w:tcPr>
            <w:tcW w:w="2835" w:type="dxa"/>
            <w:tcBorders/>
            <w:vAlign w:val="center"/>
          </w:tcPr>
          <w:p>
            <w:pPr>
              <w:pStyle w:val="style0"/>
              <w:spacing w:before="0"/>
              <w:jc w:val="center"/>
              <w:rPr>
                <w:rFonts w:ascii="Arial" w:cs="Arial" w:hAnsi="Arial"/>
                <w:b/>
              </w:rPr>
            </w:pPr>
            <w:r>
              <w:rPr>
                <w:rFonts w:ascii="Arial" w:cs="Arial" w:hAnsi="Arial"/>
                <w:b/>
              </w:rPr>
              <w:t>Signature/Empreinte</w:t>
            </w:r>
          </w:p>
        </w:tc>
      </w:tr>
      <w:tr>
        <w:tblPrEx/>
        <w:trPr/>
        <w:tc>
          <w:tcPr>
            <w:tcW w:w="675" w:type="dxa"/>
            <w:tcBorders/>
            <w:vAlign w:val="center"/>
          </w:tcPr>
          <w:p>
            <w:pPr>
              <w:pStyle w:val="style0"/>
              <w:spacing w:before="0"/>
              <w:jc w:val="center"/>
              <w:rPr>
                <w:rFonts w:ascii="Arial" w:cs="Arial" w:hAnsi="Arial"/>
              </w:rPr>
            </w:pPr>
            <w:r>
              <w:rPr>
                <w:rFonts w:ascii="Arial" w:cs="Arial" w:hAnsi="Arial"/>
              </w:rPr>
              <w:t>01</w:t>
            </w:r>
          </w:p>
        </w:tc>
        <w:tc>
          <w:tcPr>
            <w:tcW w:w="3573" w:type="dxa"/>
            <w:tcBorders/>
            <w:vAlign w:val="center"/>
          </w:tcPr>
          <w:p>
            <w:pPr>
              <w:pStyle w:val="style0"/>
              <w:spacing w:before="0"/>
              <w:rPr>
                <w:rFonts w:ascii="Arial" w:cs="Arial" w:hAnsi="Arial"/>
              </w:rPr>
            </w:pPr>
            <w:r>
              <w:rPr>
                <w:rFonts w:ascii="Arial" w:cs="Arial" w:hAnsi="Arial"/>
              </w:rPr>
              <w:t>PANANDTIGRI Seni</w:t>
            </w:r>
          </w:p>
        </w:tc>
        <w:tc>
          <w:tcPr>
            <w:tcW w:w="1134" w:type="dxa"/>
            <w:tcBorders/>
          </w:tcPr>
          <w:p>
            <w:pPr>
              <w:pStyle w:val="style0"/>
              <w:spacing w:before="0"/>
              <w:jc w:val="center"/>
              <w:rPr/>
            </w:pPr>
            <w:r>
              <w:rPr>
                <w:rFonts w:ascii="Arial" w:cs="Arial" w:hAnsi="Arial"/>
              </w:rPr>
              <w:t>M</w:t>
            </w:r>
          </w:p>
        </w:tc>
        <w:tc>
          <w:tcPr>
            <w:tcW w:w="3402" w:type="dxa"/>
            <w:tcBorders/>
          </w:tcPr>
          <w:p>
            <w:pPr>
              <w:pStyle w:val="style0"/>
              <w:spacing w:before="0"/>
              <w:rPr>
                <w:rFonts w:ascii="Arial" w:cs="Arial" w:hAnsi="Arial"/>
              </w:rPr>
            </w:pPr>
            <w:r>
              <w:rPr>
                <w:rFonts w:ascii="Arial" w:cs="Arial" w:hAnsi="Arial"/>
              </w:rPr>
              <w:t>Cultivateur</w:t>
            </w:r>
          </w:p>
        </w:tc>
        <w:tc>
          <w:tcPr>
            <w:tcW w:w="2410" w:type="dxa"/>
            <w:tcBorders/>
            <w:vAlign w:val="center"/>
          </w:tcPr>
          <w:p>
            <w:pPr>
              <w:pStyle w:val="style0"/>
              <w:spacing w:before="0"/>
              <w:jc w:val="center"/>
              <w:rPr>
                <w:rFonts w:ascii="Arial" w:cs="Arial" w:hAnsi="Arial"/>
              </w:rPr>
            </w:pPr>
            <w:r>
              <w:rPr>
                <w:rFonts w:ascii="Arial" w:cs="Arial" w:hAnsi="Arial"/>
              </w:rPr>
              <w:t>75 20 03 97</w:t>
            </w:r>
          </w:p>
        </w:tc>
        <w:tc>
          <w:tcPr>
            <w:tcW w:w="2835"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02</w:t>
            </w:r>
          </w:p>
        </w:tc>
        <w:tc>
          <w:tcPr>
            <w:tcW w:w="3573" w:type="dxa"/>
            <w:tcBorders/>
            <w:vAlign w:val="center"/>
          </w:tcPr>
          <w:p>
            <w:pPr>
              <w:pStyle w:val="style0"/>
              <w:spacing w:before="0"/>
              <w:rPr>
                <w:rFonts w:ascii="Arial" w:cs="Arial" w:hAnsi="Arial"/>
                <w:lang w:val="de-DE"/>
              </w:rPr>
            </w:pPr>
            <w:r>
              <w:rPr>
                <w:rFonts w:ascii="Arial" w:cs="Arial" w:hAnsi="Arial"/>
                <w:lang w:val="de-DE"/>
              </w:rPr>
              <w:t>SANKARA Salif</w:t>
            </w:r>
          </w:p>
        </w:tc>
        <w:tc>
          <w:tcPr>
            <w:tcW w:w="1134"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410" w:type="dxa"/>
            <w:tcBorders/>
            <w:vAlign w:val="center"/>
          </w:tcPr>
          <w:p>
            <w:pPr>
              <w:pStyle w:val="style0"/>
              <w:spacing w:before="0"/>
              <w:jc w:val="center"/>
              <w:rPr>
                <w:rFonts w:ascii="Arial" w:cs="Arial" w:hAnsi="Arial"/>
              </w:rPr>
            </w:pPr>
            <w:r>
              <w:rPr>
                <w:rFonts w:ascii="Arial" w:cs="Arial" w:hAnsi="Arial"/>
              </w:rPr>
              <w:t>75 64 41 91</w:t>
            </w:r>
          </w:p>
        </w:tc>
        <w:tc>
          <w:tcPr>
            <w:tcW w:w="2835"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03</w:t>
            </w:r>
          </w:p>
        </w:tc>
        <w:tc>
          <w:tcPr>
            <w:tcW w:w="3573" w:type="dxa"/>
            <w:tcBorders/>
            <w:vAlign w:val="center"/>
          </w:tcPr>
          <w:p>
            <w:pPr>
              <w:pStyle w:val="style0"/>
              <w:spacing w:before="0"/>
              <w:rPr>
                <w:rFonts w:ascii="Arial" w:cs="Arial" w:hAnsi="Arial"/>
                <w:lang w:val="de-DE"/>
              </w:rPr>
            </w:pPr>
            <w:r>
              <w:rPr>
                <w:rFonts w:ascii="Arial" w:cs="Arial" w:hAnsi="Arial"/>
                <w:lang w:val="de-DE"/>
              </w:rPr>
              <w:t>SANKARA Halidou</w:t>
            </w:r>
          </w:p>
        </w:tc>
        <w:tc>
          <w:tcPr>
            <w:tcW w:w="1134"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410" w:type="dxa"/>
            <w:tcBorders/>
            <w:vAlign w:val="center"/>
          </w:tcPr>
          <w:p>
            <w:pPr>
              <w:pStyle w:val="style0"/>
              <w:spacing w:before="0"/>
              <w:jc w:val="center"/>
              <w:rPr>
                <w:rFonts w:ascii="Arial" w:cs="Arial" w:hAnsi="Arial"/>
              </w:rPr>
            </w:pPr>
            <w:r>
              <w:rPr>
                <w:rFonts w:ascii="Arial" w:cs="Arial" w:hAnsi="Arial"/>
              </w:rPr>
              <w:t>75 08 34 50</w:t>
            </w:r>
          </w:p>
        </w:tc>
        <w:tc>
          <w:tcPr>
            <w:tcW w:w="2835"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04</w:t>
            </w:r>
          </w:p>
        </w:tc>
        <w:tc>
          <w:tcPr>
            <w:tcW w:w="3573" w:type="dxa"/>
            <w:tcBorders/>
            <w:vAlign w:val="center"/>
          </w:tcPr>
          <w:p>
            <w:pPr>
              <w:pStyle w:val="style0"/>
              <w:spacing w:before="0"/>
              <w:rPr>
                <w:rFonts w:ascii="Arial" w:cs="Arial" w:hAnsi="Arial"/>
                <w:lang w:val="de-DE"/>
              </w:rPr>
            </w:pPr>
            <w:r>
              <w:rPr>
                <w:rFonts w:ascii="Arial" w:cs="Arial" w:hAnsi="Arial"/>
                <w:lang w:val="de-DE"/>
              </w:rPr>
              <w:t>ZONGO Ramata</w:t>
            </w:r>
          </w:p>
        </w:tc>
        <w:tc>
          <w:tcPr>
            <w:tcW w:w="1134" w:type="dxa"/>
            <w:tcBorders/>
          </w:tcPr>
          <w:p>
            <w:pPr>
              <w:pStyle w:val="style0"/>
              <w:spacing w:before="0"/>
              <w:jc w:val="center"/>
              <w:rPr/>
            </w:pPr>
            <w:r>
              <w:rPr>
                <w:rFonts w:ascii="Arial" w:cs="Arial" w:hAnsi="Arial"/>
              </w:rPr>
              <w:t>M</w:t>
            </w:r>
          </w:p>
        </w:tc>
        <w:tc>
          <w:tcPr>
            <w:tcW w:w="3402" w:type="dxa"/>
            <w:tcBorders/>
          </w:tcPr>
          <w:p>
            <w:pPr>
              <w:pStyle w:val="style0"/>
              <w:spacing w:before="0"/>
              <w:rPr>
                <w:rFonts w:ascii="Arial" w:cs="Arial" w:hAnsi="Arial"/>
              </w:rPr>
            </w:pPr>
            <w:r>
              <w:rPr>
                <w:rFonts w:ascii="Arial" w:cs="Arial" w:hAnsi="Arial"/>
              </w:rPr>
              <w:t>Ménagère</w:t>
            </w:r>
          </w:p>
        </w:tc>
        <w:tc>
          <w:tcPr>
            <w:tcW w:w="2410" w:type="dxa"/>
            <w:tcBorders/>
            <w:vAlign w:val="center"/>
          </w:tcPr>
          <w:p>
            <w:pPr>
              <w:pStyle w:val="style0"/>
              <w:spacing w:before="0"/>
              <w:jc w:val="center"/>
              <w:rPr>
                <w:rFonts w:ascii="Arial" w:cs="Arial" w:hAnsi="Arial"/>
              </w:rPr>
            </w:pPr>
            <w:r>
              <w:rPr>
                <w:rFonts w:ascii="Arial" w:cs="Arial" w:hAnsi="Arial"/>
              </w:rPr>
              <w:t>-</w:t>
            </w:r>
          </w:p>
        </w:tc>
        <w:tc>
          <w:tcPr>
            <w:tcW w:w="2835"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05</w:t>
            </w:r>
          </w:p>
        </w:tc>
        <w:tc>
          <w:tcPr>
            <w:tcW w:w="3573" w:type="dxa"/>
            <w:tcBorders/>
            <w:vAlign w:val="center"/>
          </w:tcPr>
          <w:p>
            <w:pPr>
              <w:pStyle w:val="style0"/>
              <w:spacing w:before="0"/>
              <w:rPr>
                <w:rFonts w:ascii="Arial" w:cs="Arial" w:hAnsi="Arial"/>
                <w:lang w:val="de-DE"/>
              </w:rPr>
            </w:pPr>
            <w:r>
              <w:rPr>
                <w:rFonts w:ascii="Arial" w:cs="Arial" w:hAnsi="Arial"/>
                <w:lang w:val="de-DE"/>
              </w:rPr>
              <w:t>SANKARA Mariam</w:t>
            </w:r>
          </w:p>
        </w:tc>
        <w:tc>
          <w:tcPr>
            <w:tcW w:w="1134"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Ménagère</w:t>
            </w:r>
          </w:p>
        </w:tc>
        <w:tc>
          <w:tcPr>
            <w:tcW w:w="2410" w:type="dxa"/>
            <w:tcBorders/>
            <w:vAlign w:val="center"/>
          </w:tcPr>
          <w:p>
            <w:pPr>
              <w:pStyle w:val="style0"/>
              <w:spacing w:before="0"/>
              <w:jc w:val="center"/>
              <w:rPr>
                <w:rFonts w:ascii="Arial" w:cs="Arial" w:hAnsi="Arial"/>
              </w:rPr>
            </w:pPr>
            <w:r>
              <w:rPr>
                <w:rFonts w:ascii="Arial" w:cs="Arial" w:hAnsi="Arial"/>
              </w:rPr>
              <w:t>-</w:t>
            </w:r>
          </w:p>
        </w:tc>
        <w:tc>
          <w:tcPr>
            <w:tcW w:w="2835" w:type="dxa"/>
            <w:tcBorders/>
            <w:vAlign w:val="center"/>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06</w:t>
            </w:r>
          </w:p>
        </w:tc>
        <w:tc>
          <w:tcPr>
            <w:tcW w:w="3573" w:type="dxa"/>
            <w:tcBorders/>
          </w:tcPr>
          <w:p>
            <w:pPr>
              <w:pStyle w:val="style0"/>
              <w:spacing w:before="0"/>
              <w:rPr>
                <w:rFonts w:ascii="Arial" w:cs="Arial" w:hAnsi="Arial"/>
              </w:rPr>
            </w:pPr>
            <w:r>
              <w:rPr>
                <w:rFonts w:ascii="Arial" w:cs="Arial" w:hAnsi="Arial"/>
              </w:rPr>
              <w:t>SAWADOGO Azeta</w:t>
            </w:r>
          </w:p>
        </w:tc>
        <w:tc>
          <w:tcPr>
            <w:tcW w:w="1134"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Ménagère</w:t>
            </w:r>
          </w:p>
        </w:tc>
        <w:tc>
          <w:tcPr>
            <w:tcW w:w="2410" w:type="dxa"/>
            <w:tcBorders/>
          </w:tcPr>
          <w:p>
            <w:pPr>
              <w:pStyle w:val="style0"/>
              <w:spacing w:before="0"/>
              <w:jc w:val="center"/>
              <w:rPr>
                <w:rFonts w:ascii="Arial" w:cs="Arial" w:hAnsi="Arial"/>
              </w:rPr>
            </w:pPr>
            <w:r>
              <w:rPr>
                <w:rFonts w:ascii="Arial" w:cs="Arial" w:hAnsi="Arial"/>
              </w:rPr>
              <w:t>-</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07</w:t>
            </w:r>
          </w:p>
        </w:tc>
        <w:tc>
          <w:tcPr>
            <w:tcW w:w="3573" w:type="dxa"/>
            <w:tcBorders/>
          </w:tcPr>
          <w:p>
            <w:pPr>
              <w:pStyle w:val="style0"/>
              <w:spacing w:before="0"/>
              <w:rPr>
                <w:rFonts w:ascii="Arial" w:cs="Arial" w:hAnsi="Arial"/>
                <w:lang w:val="de-DE"/>
              </w:rPr>
            </w:pPr>
            <w:r>
              <w:rPr>
                <w:rFonts w:ascii="Arial" w:cs="Arial" w:hAnsi="Arial"/>
                <w:lang w:val="de-DE"/>
              </w:rPr>
              <w:t>SAWADOGO Fati</w:t>
            </w:r>
          </w:p>
        </w:tc>
        <w:tc>
          <w:tcPr>
            <w:tcW w:w="1134"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Ménagère</w:t>
            </w:r>
          </w:p>
        </w:tc>
        <w:tc>
          <w:tcPr>
            <w:tcW w:w="2410" w:type="dxa"/>
            <w:tcBorders/>
          </w:tcPr>
          <w:p>
            <w:pPr>
              <w:pStyle w:val="style0"/>
              <w:spacing w:before="0"/>
              <w:jc w:val="center"/>
              <w:rPr>
                <w:rFonts w:ascii="Arial" w:cs="Arial" w:hAnsi="Arial"/>
              </w:rPr>
            </w:pPr>
            <w:r>
              <w:rPr>
                <w:rFonts w:ascii="Arial" w:cs="Arial" w:hAnsi="Arial"/>
              </w:rPr>
              <w:t>-</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08</w:t>
            </w:r>
          </w:p>
        </w:tc>
        <w:tc>
          <w:tcPr>
            <w:tcW w:w="3573" w:type="dxa"/>
            <w:tcBorders/>
          </w:tcPr>
          <w:p>
            <w:pPr>
              <w:pStyle w:val="style0"/>
              <w:spacing w:before="0"/>
              <w:rPr>
                <w:rFonts w:ascii="Arial" w:cs="Arial" w:hAnsi="Arial"/>
                <w:lang w:val="de-DE"/>
              </w:rPr>
            </w:pPr>
            <w:r>
              <w:rPr>
                <w:rFonts w:ascii="Arial" w:cs="Arial" w:hAnsi="Arial"/>
                <w:lang w:val="de-DE"/>
              </w:rPr>
              <w:t>KIENDEGA Rose</w:t>
            </w:r>
          </w:p>
        </w:tc>
        <w:tc>
          <w:tcPr>
            <w:tcW w:w="1134" w:type="dxa"/>
            <w:tcBorders/>
          </w:tcPr>
          <w:p>
            <w:pPr>
              <w:pStyle w:val="style0"/>
              <w:spacing w:before="0"/>
              <w:jc w:val="center"/>
              <w:rPr/>
            </w:pPr>
            <w:r>
              <w:rPr>
                <w:rFonts w:ascii="Arial" w:cs="Arial" w:hAnsi="Arial"/>
              </w:rPr>
              <w:t>M</w:t>
            </w:r>
          </w:p>
        </w:tc>
        <w:tc>
          <w:tcPr>
            <w:tcW w:w="3402" w:type="dxa"/>
            <w:tcBorders/>
          </w:tcPr>
          <w:p>
            <w:pPr>
              <w:pStyle w:val="style0"/>
              <w:spacing w:before="0"/>
              <w:rPr>
                <w:rFonts w:ascii="Arial" w:cs="Arial" w:hAnsi="Arial"/>
              </w:rPr>
            </w:pPr>
            <w:r>
              <w:rPr>
                <w:rFonts w:ascii="Arial" w:cs="Arial" w:hAnsi="Arial"/>
              </w:rPr>
              <w:t>Productrice</w:t>
            </w:r>
          </w:p>
        </w:tc>
        <w:tc>
          <w:tcPr>
            <w:tcW w:w="2410" w:type="dxa"/>
            <w:tcBorders/>
          </w:tcPr>
          <w:p>
            <w:pPr>
              <w:pStyle w:val="style0"/>
              <w:spacing w:before="0"/>
              <w:jc w:val="center"/>
              <w:rPr>
                <w:rFonts w:ascii="Arial" w:cs="Arial" w:hAnsi="Arial"/>
              </w:rPr>
            </w:pPr>
            <w:r>
              <w:rPr>
                <w:rFonts w:ascii="Arial" w:cs="Arial" w:hAnsi="Arial"/>
              </w:rPr>
              <w:t>-</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09</w:t>
            </w:r>
          </w:p>
        </w:tc>
        <w:tc>
          <w:tcPr>
            <w:tcW w:w="3573" w:type="dxa"/>
            <w:tcBorders/>
          </w:tcPr>
          <w:p>
            <w:pPr>
              <w:pStyle w:val="style0"/>
              <w:spacing w:before="0"/>
              <w:rPr>
                <w:rFonts w:ascii="Arial" w:cs="Arial" w:hAnsi="Arial"/>
                <w:lang w:val="de-DE"/>
              </w:rPr>
            </w:pPr>
            <w:r>
              <w:rPr>
                <w:rFonts w:ascii="Arial" w:cs="Arial" w:hAnsi="Arial"/>
                <w:lang w:val="de-DE"/>
              </w:rPr>
              <w:t>NABALOUM Azita</w:t>
            </w:r>
          </w:p>
        </w:tc>
        <w:tc>
          <w:tcPr>
            <w:tcW w:w="1134"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Productrice</w:t>
            </w:r>
          </w:p>
        </w:tc>
        <w:tc>
          <w:tcPr>
            <w:tcW w:w="2410" w:type="dxa"/>
            <w:tcBorders/>
          </w:tcPr>
          <w:p>
            <w:pPr>
              <w:pStyle w:val="style0"/>
              <w:spacing w:before="0"/>
              <w:jc w:val="center"/>
              <w:rPr>
                <w:rFonts w:ascii="Arial" w:cs="Arial" w:hAnsi="Arial"/>
              </w:rPr>
            </w:pPr>
            <w:r>
              <w:rPr>
                <w:rFonts w:ascii="Arial" w:cs="Arial" w:hAnsi="Arial"/>
              </w:rPr>
              <w:t>-</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10</w:t>
            </w:r>
          </w:p>
        </w:tc>
        <w:tc>
          <w:tcPr>
            <w:tcW w:w="3573" w:type="dxa"/>
            <w:tcBorders/>
          </w:tcPr>
          <w:p>
            <w:pPr>
              <w:pStyle w:val="style0"/>
              <w:spacing w:before="0"/>
              <w:rPr>
                <w:rFonts w:ascii="Arial" w:cs="Arial" w:hAnsi="Arial"/>
                <w:lang w:val="de-DE"/>
              </w:rPr>
            </w:pPr>
            <w:r>
              <w:rPr>
                <w:rFonts w:ascii="Arial" w:cs="Arial" w:hAnsi="Arial"/>
                <w:lang w:val="de-DE"/>
              </w:rPr>
              <w:t>KOURA Rasmata</w:t>
            </w:r>
          </w:p>
        </w:tc>
        <w:tc>
          <w:tcPr>
            <w:tcW w:w="1134" w:type="dxa"/>
            <w:tcBorders/>
          </w:tcPr>
          <w:p>
            <w:pPr>
              <w:pStyle w:val="style0"/>
              <w:spacing w:before="0"/>
              <w:jc w:val="center"/>
              <w:rPr/>
            </w:pPr>
            <w:r>
              <w:rPr>
                <w:rFonts w:ascii="Arial" w:cs="Arial" w:hAnsi="Arial"/>
              </w:rPr>
              <w:t>F</w:t>
            </w:r>
          </w:p>
        </w:tc>
        <w:tc>
          <w:tcPr>
            <w:tcW w:w="3402" w:type="dxa"/>
            <w:tcBorders/>
          </w:tcPr>
          <w:p>
            <w:pPr>
              <w:pStyle w:val="style0"/>
              <w:spacing w:before="0"/>
              <w:rPr/>
            </w:pPr>
            <w:r>
              <w:rPr>
                <w:rFonts w:ascii="Arial" w:cs="Arial" w:hAnsi="Arial"/>
              </w:rPr>
              <w:t>Productrice</w:t>
            </w:r>
          </w:p>
        </w:tc>
        <w:tc>
          <w:tcPr>
            <w:tcW w:w="2410" w:type="dxa"/>
            <w:tcBorders/>
          </w:tcPr>
          <w:p>
            <w:pPr>
              <w:pStyle w:val="style0"/>
              <w:spacing w:before="0"/>
              <w:jc w:val="center"/>
              <w:rPr>
                <w:rFonts w:ascii="Arial" w:cs="Arial" w:hAnsi="Arial"/>
              </w:rPr>
            </w:pPr>
            <w:r>
              <w:rPr>
                <w:rFonts w:ascii="Arial" w:cs="Arial" w:hAnsi="Arial"/>
              </w:rPr>
              <w:t>-</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11</w:t>
            </w:r>
          </w:p>
        </w:tc>
        <w:tc>
          <w:tcPr>
            <w:tcW w:w="3573" w:type="dxa"/>
            <w:tcBorders/>
          </w:tcPr>
          <w:p>
            <w:pPr>
              <w:pStyle w:val="style0"/>
              <w:spacing w:before="0"/>
              <w:rPr>
                <w:rFonts w:ascii="Arial" w:cs="Arial" w:hAnsi="Arial"/>
                <w:lang w:val="de-DE"/>
              </w:rPr>
            </w:pPr>
            <w:r>
              <w:rPr>
                <w:rFonts w:ascii="Arial" w:cs="Arial" w:hAnsi="Arial"/>
                <w:lang w:val="de-DE"/>
              </w:rPr>
              <w:t>ZIDA Alimata</w:t>
            </w:r>
          </w:p>
        </w:tc>
        <w:tc>
          <w:tcPr>
            <w:tcW w:w="1134" w:type="dxa"/>
            <w:tcBorders/>
          </w:tcPr>
          <w:p>
            <w:pPr>
              <w:pStyle w:val="style0"/>
              <w:spacing w:before="0"/>
              <w:jc w:val="center"/>
              <w:rPr/>
            </w:pPr>
            <w:r>
              <w:rPr>
                <w:rFonts w:ascii="Arial" w:cs="Arial" w:hAnsi="Arial"/>
              </w:rPr>
              <w:t>F</w:t>
            </w:r>
          </w:p>
        </w:tc>
        <w:tc>
          <w:tcPr>
            <w:tcW w:w="3402" w:type="dxa"/>
            <w:tcBorders/>
          </w:tcPr>
          <w:p>
            <w:pPr>
              <w:pStyle w:val="style0"/>
              <w:spacing w:before="0"/>
              <w:rPr>
                <w:rFonts w:ascii="Arial" w:cs="Arial" w:hAnsi="Arial"/>
              </w:rPr>
            </w:pPr>
            <w:r>
              <w:rPr>
                <w:rFonts w:ascii="Arial" w:cs="Arial" w:hAnsi="Arial"/>
              </w:rPr>
              <w:t>Ménagère</w:t>
            </w:r>
          </w:p>
        </w:tc>
        <w:tc>
          <w:tcPr>
            <w:tcW w:w="2410" w:type="dxa"/>
            <w:tcBorders/>
          </w:tcPr>
          <w:p>
            <w:pPr>
              <w:pStyle w:val="style0"/>
              <w:spacing w:before="0"/>
              <w:jc w:val="center"/>
              <w:rPr>
                <w:rFonts w:ascii="Arial" w:cs="Arial" w:hAnsi="Arial"/>
              </w:rPr>
            </w:pPr>
            <w:r>
              <w:rPr>
                <w:rFonts w:ascii="Arial" w:cs="Arial" w:hAnsi="Arial"/>
              </w:rPr>
              <w:t>-</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12</w:t>
            </w:r>
          </w:p>
        </w:tc>
        <w:tc>
          <w:tcPr>
            <w:tcW w:w="3573" w:type="dxa"/>
            <w:tcBorders/>
          </w:tcPr>
          <w:p>
            <w:pPr>
              <w:pStyle w:val="style0"/>
              <w:spacing w:before="0"/>
              <w:rPr>
                <w:rFonts w:ascii="Arial" w:cs="Arial" w:hAnsi="Arial"/>
                <w:lang w:val="de-DE"/>
              </w:rPr>
            </w:pPr>
            <w:r>
              <w:rPr>
                <w:rFonts w:ascii="Arial" w:cs="Arial" w:hAnsi="Arial"/>
                <w:lang w:val="de-DE"/>
              </w:rPr>
              <w:t>SANKARA Rakieta</w:t>
            </w:r>
          </w:p>
        </w:tc>
        <w:tc>
          <w:tcPr>
            <w:tcW w:w="1134" w:type="dxa"/>
            <w:tcBorders/>
          </w:tcPr>
          <w:p>
            <w:pPr>
              <w:pStyle w:val="style0"/>
              <w:spacing w:before="0"/>
              <w:jc w:val="center"/>
              <w:rPr/>
            </w:pPr>
            <w:r>
              <w:rPr>
                <w:rFonts w:ascii="Arial" w:cs="Arial" w:hAnsi="Arial"/>
              </w:rPr>
              <w:t>F</w:t>
            </w:r>
          </w:p>
        </w:tc>
        <w:tc>
          <w:tcPr>
            <w:tcW w:w="3402" w:type="dxa"/>
            <w:tcBorders/>
          </w:tcPr>
          <w:p>
            <w:pPr>
              <w:pStyle w:val="style0"/>
              <w:spacing w:before="0"/>
              <w:rPr/>
            </w:pPr>
            <w:r>
              <w:rPr>
                <w:rFonts w:ascii="Arial" w:cs="Arial" w:hAnsi="Arial"/>
              </w:rPr>
              <w:t>Productrice</w:t>
            </w:r>
          </w:p>
        </w:tc>
        <w:tc>
          <w:tcPr>
            <w:tcW w:w="2410" w:type="dxa"/>
            <w:tcBorders/>
          </w:tcPr>
          <w:p>
            <w:pPr>
              <w:pStyle w:val="style0"/>
              <w:spacing w:before="0"/>
              <w:jc w:val="center"/>
              <w:rPr>
                <w:rFonts w:ascii="Arial" w:cs="Arial" w:hAnsi="Arial"/>
              </w:rPr>
            </w:pPr>
            <w:r>
              <w:rPr>
                <w:rFonts w:ascii="Arial" w:cs="Arial" w:hAnsi="Arial"/>
              </w:rPr>
              <w:t>-</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13</w:t>
            </w:r>
          </w:p>
        </w:tc>
        <w:tc>
          <w:tcPr>
            <w:tcW w:w="3573" w:type="dxa"/>
            <w:tcBorders/>
          </w:tcPr>
          <w:p>
            <w:pPr>
              <w:pStyle w:val="style0"/>
              <w:spacing w:before="0"/>
              <w:rPr>
                <w:rFonts w:ascii="Arial" w:cs="Arial" w:hAnsi="Arial"/>
                <w:lang w:val="de-DE"/>
              </w:rPr>
            </w:pPr>
            <w:r>
              <w:rPr>
                <w:rFonts w:ascii="Arial" w:cs="Arial" w:hAnsi="Arial"/>
                <w:lang w:val="de-DE"/>
              </w:rPr>
              <w:t>DIANDA Assétou</w:t>
            </w:r>
          </w:p>
        </w:tc>
        <w:tc>
          <w:tcPr>
            <w:tcW w:w="1134" w:type="dxa"/>
            <w:tcBorders/>
          </w:tcPr>
          <w:p>
            <w:pPr>
              <w:pStyle w:val="style0"/>
              <w:spacing w:before="0"/>
              <w:jc w:val="center"/>
              <w:rPr/>
            </w:pPr>
            <w:r>
              <w:rPr>
                <w:rFonts w:ascii="Arial" w:cs="Arial" w:hAnsi="Arial"/>
              </w:rPr>
              <w:t>F</w:t>
            </w:r>
          </w:p>
        </w:tc>
        <w:tc>
          <w:tcPr>
            <w:tcW w:w="3402" w:type="dxa"/>
            <w:tcBorders/>
          </w:tcPr>
          <w:p>
            <w:pPr>
              <w:pStyle w:val="style0"/>
              <w:spacing w:before="0"/>
              <w:rPr/>
            </w:pPr>
            <w:r>
              <w:rPr>
                <w:rFonts w:ascii="Arial" w:cs="Arial" w:hAnsi="Arial"/>
              </w:rPr>
              <w:t>Productrice</w:t>
            </w:r>
          </w:p>
        </w:tc>
        <w:tc>
          <w:tcPr>
            <w:tcW w:w="2410" w:type="dxa"/>
            <w:tcBorders/>
          </w:tcPr>
          <w:p>
            <w:pPr>
              <w:pStyle w:val="style0"/>
              <w:spacing w:before="0"/>
              <w:jc w:val="center"/>
              <w:rPr>
                <w:rFonts w:ascii="Arial" w:cs="Arial" w:hAnsi="Arial"/>
              </w:rPr>
            </w:pPr>
            <w:r>
              <w:rPr>
                <w:rFonts w:ascii="Arial" w:cs="Arial" w:hAnsi="Arial"/>
              </w:rPr>
              <w:t>-</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14</w:t>
            </w:r>
          </w:p>
        </w:tc>
        <w:tc>
          <w:tcPr>
            <w:tcW w:w="3573" w:type="dxa"/>
            <w:tcBorders/>
          </w:tcPr>
          <w:p>
            <w:pPr>
              <w:pStyle w:val="style0"/>
              <w:spacing w:before="0"/>
              <w:rPr>
                <w:rFonts w:ascii="Arial" w:cs="Arial" w:hAnsi="Arial"/>
                <w:lang w:val="de-DE"/>
              </w:rPr>
            </w:pPr>
            <w:r>
              <w:rPr>
                <w:rFonts w:ascii="Arial" w:cs="Arial" w:hAnsi="Arial"/>
                <w:lang w:val="de-DE"/>
              </w:rPr>
              <w:t>OUANDE Habibou</w:t>
            </w:r>
          </w:p>
        </w:tc>
        <w:tc>
          <w:tcPr>
            <w:tcW w:w="1134" w:type="dxa"/>
            <w:tcBorders/>
          </w:tcPr>
          <w:p>
            <w:pPr>
              <w:pStyle w:val="style0"/>
              <w:spacing w:before="0"/>
              <w:jc w:val="center"/>
              <w:rPr/>
            </w:pPr>
            <w:r>
              <w:rPr>
                <w:rFonts w:ascii="Arial" w:cs="Arial" w:hAnsi="Arial"/>
              </w:rPr>
              <w:t>F</w:t>
            </w:r>
          </w:p>
        </w:tc>
        <w:tc>
          <w:tcPr>
            <w:tcW w:w="3402" w:type="dxa"/>
            <w:tcBorders/>
          </w:tcPr>
          <w:p>
            <w:pPr>
              <w:pStyle w:val="style0"/>
              <w:spacing w:before="0"/>
              <w:rPr/>
            </w:pPr>
            <w:r>
              <w:rPr>
                <w:rFonts w:ascii="Arial" w:cs="Arial" w:hAnsi="Arial"/>
              </w:rPr>
              <w:t>Ménagère</w:t>
            </w:r>
          </w:p>
        </w:tc>
        <w:tc>
          <w:tcPr>
            <w:tcW w:w="2410" w:type="dxa"/>
            <w:tcBorders/>
          </w:tcPr>
          <w:p>
            <w:pPr>
              <w:pStyle w:val="style0"/>
              <w:spacing w:before="0"/>
              <w:jc w:val="center"/>
              <w:rPr>
                <w:rFonts w:ascii="Arial" w:cs="Arial" w:hAnsi="Arial"/>
              </w:rPr>
            </w:pPr>
            <w:r>
              <w:rPr>
                <w:rFonts w:ascii="Arial" w:cs="Arial" w:hAnsi="Arial"/>
              </w:rPr>
              <w:t>-</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15</w:t>
            </w:r>
          </w:p>
        </w:tc>
        <w:tc>
          <w:tcPr>
            <w:tcW w:w="3573" w:type="dxa"/>
            <w:tcBorders/>
          </w:tcPr>
          <w:p>
            <w:pPr>
              <w:pStyle w:val="style0"/>
              <w:spacing w:before="0"/>
              <w:rPr>
                <w:rFonts w:ascii="Arial" w:cs="Arial" w:hAnsi="Arial"/>
                <w:lang w:val="de-DE"/>
              </w:rPr>
            </w:pPr>
            <w:r>
              <w:rPr>
                <w:rFonts w:ascii="Arial" w:cs="Arial" w:hAnsi="Arial"/>
                <w:lang w:val="de-DE"/>
              </w:rPr>
              <w:t>YERBANGA Balkissa</w:t>
            </w:r>
          </w:p>
        </w:tc>
        <w:tc>
          <w:tcPr>
            <w:tcW w:w="1134" w:type="dxa"/>
            <w:tcBorders/>
          </w:tcPr>
          <w:p>
            <w:pPr>
              <w:pStyle w:val="style0"/>
              <w:spacing w:before="0"/>
              <w:jc w:val="center"/>
              <w:rPr/>
            </w:pPr>
            <w:r>
              <w:rPr>
                <w:rFonts w:ascii="Arial" w:cs="Arial" w:hAnsi="Arial"/>
              </w:rPr>
              <w:t>F</w:t>
            </w:r>
          </w:p>
        </w:tc>
        <w:tc>
          <w:tcPr>
            <w:tcW w:w="3402" w:type="dxa"/>
            <w:tcBorders/>
          </w:tcPr>
          <w:p>
            <w:pPr>
              <w:pStyle w:val="style0"/>
              <w:spacing w:before="0"/>
              <w:rPr/>
            </w:pPr>
            <w:r>
              <w:rPr>
                <w:rFonts w:ascii="Arial" w:cs="Arial" w:hAnsi="Arial"/>
              </w:rPr>
              <w:t>Ménagère</w:t>
            </w:r>
          </w:p>
        </w:tc>
        <w:tc>
          <w:tcPr>
            <w:tcW w:w="2410" w:type="dxa"/>
            <w:tcBorders/>
          </w:tcPr>
          <w:p>
            <w:pPr>
              <w:pStyle w:val="style0"/>
              <w:spacing w:before="0"/>
              <w:jc w:val="center"/>
              <w:rPr>
                <w:rFonts w:ascii="Arial" w:cs="Arial" w:hAnsi="Arial"/>
              </w:rPr>
            </w:pPr>
            <w:r>
              <w:rPr>
                <w:rFonts w:ascii="Arial" w:cs="Arial" w:hAnsi="Arial"/>
              </w:rPr>
              <w:t>-</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16</w:t>
            </w:r>
          </w:p>
        </w:tc>
        <w:tc>
          <w:tcPr>
            <w:tcW w:w="3573" w:type="dxa"/>
            <w:tcBorders/>
          </w:tcPr>
          <w:p>
            <w:pPr>
              <w:pStyle w:val="style0"/>
              <w:spacing w:before="0"/>
              <w:rPr>
                <w:rFonts w:ascii="Arial" w:cs="Arial" w:hAnsi="Arial"/>
                <w:lang w:val="de-DE"/>
              </w:rPr>
            </w:pPr>
            <w:r>
              <w:rPr>
                <w:rFonts w:ascii="Arial" w:cs="Arial" w:hAnsi="Arial"/>
                <w:lang w:val="de-DE"/>
              </w:rPr>
              <w:t>PANANDTIGRI Wendyoure</w:t>
            </w:r>
          </w:p>
        </w:tc>
        <w:tc>
          <w:tcPr>
            <w:tcW w:w="1134" w:type="dxa"/>
            <w:tcBorders/>
          </w:tcPr>
          <w:p>
            <w:pPr>
              <w:pStyle w:val="style0"/>
              <w:spacing w:before="0"/>
              <w:jc w:val="center"/>
              <w:rPr/>
            </w:pPr>
            <w:r>
              <w:rPr>
                <w:rFonts w:ascii="Arial" w:cs="Arial" w:hAnsi="Arial"/>
              </w:rPr>
              <w:t>F</w:t>
            </w:r>
          </w:p>
        </w:tc>
        <w:tc>
          <w:tcPr>
            <w:tcW w:w="3402" w:type="dxa"/>
            <w:tcBorders/>
          </w:tcPr>
          <w:p>
            <w:pPr>
              <w:pStyle w:val="style0"/>
              <w:spacing w:before="0"/>
              <w:rPr/>
            </w:pPr>
            <w:r>
              <w:rPr>
                <w:rFonts w:ascii="Arial" w:cs="Arial" w:hAnsi="Arial"/>
              </w:rPr>
              <w:t>Ménagère</w:t>
            </w:r>
          </w:p>
        </w:tc>
        <w:tc>
          <w:tcPr>
            <w:tcW w:w="2410" w:type="dxa"/>
            <w:tcBorders/>
          </w:tcPr>
          <w:p>
            <w:pPr>
              <w:pStyle w:val="style0"/>
              <w:spacing w:before="0"/>
              <w:jc w:val="center"/>
              <w:rPr>
                <w:rFonts w:ascii="Arial" w:cs="Arial" w:hAnsi="Arial"/>
              </w:rPr>
            </w:pPr>
            <w:r>
              <w:rPr>
                <w:rFonts w:ascii="Arial" w:cs="Arial" w:hAnsi="Arial"/>
              </w:rPr>
              <w:t>-</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17</w:t>
            </w:r>
          </w:p>
        </w:tc>
        <w:tc>
          <w:tcPr>
            <w:tcW w:w="3573" w:type="dxa"/>
            <w:tcBorders/>
          </w:tcPr>
          <w:p>
            <w:pPr>
              <w:pStyle w:val="style0"/>
              <w:spacing w:before="0"/>
              <w:rPr>
                <w:rFonts w:ascii="Arial" w:cs="Arial" w:hAnsi="Arial"/>
                <w:lang w:val="de-DE"/>
              </w:rPr>
            </w:pPr>
            <w:r>
              <w:rPr>
                <w:rFonts w:ascii="Arial" w:cs="Arial" w:hAnsi="Arial"/>
                <w:lang w:val="de-DE"/>
              </w:rPr>
              <w:t>SEBOGO Missoum</w:t>
            </w:r>
          </w:p>
        </w:tc>
        <w:tc>
          <w:tcPr>
            <w:tcW w:w="1134" w:type="dxa"/>
            <w:tcBorders/>
          </w:tcPr>
          <w:p>
            <w:pPr>
              <w:pStyle w:val="style0"/>
              <w:spacing w:before="0"/>
              <w:jc w:val="center"/>
              <w:rPr>
                <w:rFonts w:ascii="Arial" w:cs="Arial" w:hAnsi="Arial"/>
              </w:rPr>
            </w:pPr>
            <w:r>
              <w:rPr>
                <w:rFonts w:ascii="Arial" w:cs="Arial" w:hAnsi="Arial"/>
              </w:rPr>
              <w:t>F</w:t>
            </w:r>
          </w:p>
        </w:tc>
        <w:tc>
          <w:tcPr>
            <w:tcW w:w="3402" w:type="dxa"/>
            <w:tcBorders/>
          </w:tcPr>
          <w:p>
            <w:pPr>
              <w:pStyle w:val="style0"/>
              <w:spacing w:before="0"/>
              <w:rPr/>
            </w:pPr>
            <w:r>
              <w:rPr>
                <w:rFonts w:ascii="Arial" w:cs="Arial" w:hAnsi="Arial"/>
              </w:rPr>
              <w:t>Ménagère</w:t>
            </w:r>
          </w:p>
        </w:tc>
        <w:tc>
          <w:tcPr>
            <w:tcW w:w="2410" w:type="dxa"/>
            <w:tcBorders/>
          </w:tcPr>
          <w:p>
            <w:pPr>
              <w:pStyle w:val="style0"/>
              <w:spacing w:before="0"/>
              <w:jc w:val="center"/>
              <w:rPr>
                <w:rFonts w:ascii="Arial" w:cs="Arial" w:hAnsi="Arial"/>
              </w:rPr>
            </w:pPr>
            <w:r>
              <w:rPr>
                <w:rFonts w:ascii="Arial" w:cs="Arial" w:hAnsi="Arial"/>
              </w:rPr>
              <w:t>-</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18</w:t>
            </w:r>
          </w:p>
        </w:tc>
        <w:tc>
          <w:tcPr>
            <w:tcW w:w="3573" w:type="dxa"/>
            <w:tcBorders/>
          </w:tcPr>
          <w:p>
            <w:pPr>
              <w:pStyle w:val="style0"/>
              <w:spacing w:before="0"/>
              <w:rPr>
                <w:rFonts w:ascii="Arial" w:cs="Arial" w:hAnsi="Arial"/>
                <w:lang w:val="de-DE"/>
              </w:rPr>
            </w:pPr>
            <w:r>
              <w:rPr>
                <w:rFonts w:ascii="Arial" w:cs="Arial" w:hAnsi="Arial"/>
                <w:lang w:val="de-DE"/>
              </w:rPr>
              <w:t>PANANDTIGRI Boureima</w:t>
            </w:r>
          </w:p>
        </w:tc>
        <w:tc>
          <w:tcPr>
            <w:tcW w:w="1134"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410" w:type="dxa"/>
            <w:tcBorders/>
          </w:tcPr>
          <w:p>
            <w:pPr>
              <w:pStyle w:val="style0"/>
              <w:spacing w:before="0"/>
              <w:jc w:val="center"/>
              <w:rPr>
                <w:rFonts w:ascii="Arial" w:cs="Arial" w:hAnsi="Arial"/>
              </w:rPr>
            </w:pPr>
            <w:r>
              <w:rPr>
                <w:rFonts w:ascii="Arial" w:cs="Arial" w:hAnsi="Arial"/>
              </w:rPr>
              <w:t>75 02 23 68</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19</w:t>
            </w:r>
          </w:p>
        </w:tc>
        <w:tc>
          <w:tcPr>
            <w:tcW w:w="3573" w:type="dxa"/>
            <w:tcBorders/>
          </w:tcPr>
          <w:p>
            <w:pPr>
              <w:pStyle w:val="style0"/>
              <w:spacing w:before="0"/>
              <w:rPr>
                <w:rFonts w:ascii="Arial" w:cs="Arial" w:hAnsi="Arial"/>
                <w:lang w:val="de-DE"/>
              </w:rPr>
            </w:pPr>
            <w:r>
              <w:rPr>
                <w:rFonts w:ascii="Arial" w:cs="Arial" w:hAnsi="Arial"/>
                <w:lang w:val="de-DE"/>
              </w:rPr>
              <w:t>OUANDE Adama</w:t>
            </w:r>
          </w:p>
        </w:tc>
        <w:tc>
          <w:tcPr>
            <w:tcW w:w="1134"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410" w:type="dxa"/>
            <w:tcBorders/>
          </w:tcPr>
          <w:p>
            <w:pPr>
              <w:pStyle w:val="style0"/>
              <w:spacing w:before="0"/>
              <w:jc w:val="center"/>
              <w:rPr>
                <w:rFonts w:ascii="Arial" w:cs="Arial" w:hAnsi="Arial"/>
              </w:rPr>
            </w:pPr>
            <w:r>
              <w:rPr>
                <w:rFonts w:ascii="Arial" w:cs="Arial" w:hAnsi="Arial"/>
              </w:rPr>
              <w:t>75 24 62 34</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20</w:t>
            </w:r>
          </w:p>
        </w:tc>
        <w:tc>
          <w:tcPr>
            <w:tcW w:w="3573" w:type="dxa"/>
            <w:tcBorders/>
          </w:tcPr>
          <w:p>
            <w:pPr>
              <w:pStyle w:val="style0"/>
              <w:spacing w:before="0"/>
              <w:rPr>
                <w:rFonts w:ascii="Arial" w:cs="Arial" w:hAnsi="Arial"/>
                <w:lang w:val="de-DE"/>
              </w:rPr>
            </w:pPr>
            <w:r>
              <w:rPr>
                <w:rFonts w:ascii="Arial" w:cs="Arial" w:hAnsi="Arial"/>
                <w:lang w:val="de-DE"/>
              </w:rPr>
              <w:t>SANKARA Karim</w:t>
            </w:r>
          </w:p>
        </w:tc>
        <w:tc>
          <w:tcPr>
            <w:tcW w:w="1134"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410" w:type="dxa"/>
            <w:tcBorders/>
          </w:tcPr>
          <w:p>
            <w:pPr>
              <w:pStyle w:val="style0"/>
              <w:spacing w:before="0"/>
              <w:jc w:val="center"/>
              <w:rPr>
                <w:rFonts w:ascii="Arial" w:cs="Arial" w:hAnsi="Arial"/>
              </w:rPr>
            </w:pPr>
            <w:r>
              <w:rPr>
                <w:rFonts w:ascii="Arial" w:cs="Arial" w:hAnsi="Arial"/>
              </w:rPr>
              <w:t>74 60 39 64</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21</w:t>
            </w:r>
          </w:p>
        </w:tc>
        <w:tc>
          <w:tcPr>
            <w:tcW w:w="3573" w:type="dxa"/>
            <w:tcBorders/>
          </w:tcPr>
          <w:p>
            <w:pPr>
              <w:pStyle w:val="style0"/>
              <w:spacing w:before="0"/>
              <w:rPr>
                <w:rFonts w:ascii="Arial" w:cs="Arial" w:hAnsi="Arial"/>
                <w:lang w:val="de-DE"/>
              </w:rPr>
            </w:pPr>
            <w:r>
              <w:rPr>
                <w:rFonts w:ascii="Arial" w:cs="Arial" w:hAnsi="Arial"/>
                <w:lang w:val="de-DE"/>
              </w:rPr>
              <w:t>ZANGRE T ABDOULAYE</w:t>
            </w:r>
          </w:p>
        </w:tc>
        <w:tc>
          <w:tcPr>
            <w:tcW w:w="1134"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r>
              <w:rPr>
                <w:rFonts w:ascii="Arial" w:cs="Arial" w:hAnsi="Arial"/>
              </w:rPr>
              <w:t xml:space="preserve"> / CVD</w:t>
            </w:r>
          </w:p>
        </w:tc>
        <w:tc>
          <w:tcPr>
            <w:tcW w:w="2410" w:type="dxa"/>
            <w:tcBorders/>
          </w:tcPr>
          <w:p>
            <w:pPr>
              <w:pStyle w:val="style0"/>
              <w:spacing w:before="0"/>
              <w:jc w:val="center"/>
              <w:rPr>
                <w:rFonts w:ascii="Arial" w:cs="Arial" w:hAnsi="Arial"/>
              </w:rPr>
            </w:pPr>
            <w:r>
              <w:rPr>
                <w:rFonts w:ascii="Arial" w:cs="Arial" w:hAnsi="Arial"/>
              </w:rPr>
              <w:t>76 18 20 67</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22</w:t>
            </w:r>
          </w:p>
        </w:tc>
        <w:tc>
          <w:tcPr>
            <w:tcW w:w="3573" w:type="dxa"/>
            <w:tcBorders/>
          </w:tcPr>
          <w:p>
            <w:pPr>
              <w:pStyle w:val="style0"/>
              <w:spacing w:before="0"/>
              <w:rPr>
                <w:rFonts w:ascii="Arial" w:cs="Arial" w:hAnsi="Arial"/>
                <w:lang w:val="de-DE"/>
              </w:rPr>
            </w:pPr>
            <w:r>
              <w:rPr>
                <w:rFonts w:ascii="Arial" w:cs="Arial" w:hAnsi="Arial"/>
                <w:lang w:val="de-DE"/>
              </w:rPr>
              <w:t>ZANGRE Adama</w:t>
            </w:r>
          </w:p>
        </w:tc>
        <w:tc>
          <w:tcPr>
            <w:tcW w:w="1134"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410" w:type="dxa"/>
            <w:tcBorders/>
          </w:tcPr>
          <w:p>
            <w:pPr>
              <w:pStyle w:val="style0"/>
              <w:spacing w:before="0"/>
              <w:jc w:val="center"/>
              <w:rPr>
                <w:rFonts w:ascii="Arial" w:cs="Arial" w:hAnsi="Arial"/>
              </w:rPr>
            </w:pPr>
            <w:r>
              <w:rPr>
                <w:rFonts w:ascii="Arial" w:cs="Arial" w:hAnsi="Arial"/>
              </w:rPr>
              <w:t>75 58 36 46</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23</w:t>
            </w:r>
          </w:p>
        </w:tc>
        <w:tc>
          <w:tcPr>
            <w:tcW w:w="3573" w:type="dxa"/>
            <w:tcBorders/>
          </w:tcPr>
          <w:p>
            <w:pPr>
              <w:pStyle w:val="style0"/>
              <w:spacing w:before="0"/>
              <w:rPr>
                <w:rFonts w:ascii="Arial" w:cs="Arial" w:hAnsi="Arial"/>
                <w:lang w:val="de-DE"/>
              </w:rPr>
            </w:pPr>
            <w:r>
              <w:rPr>
                <w:rFonts w:ascii="Arial" w:cs="Arial" w:hAnsi="Arial"/>
                <w:lang w:val="de-DE"/>
              </w:rPr>
              <w:t>PANANDTIGRI Oumarou</w:t>
            </w:r>
          </w:p>
        </w:tc>
        <w:tc>
          <w:tcPr>
            <w:tcW w:w="1134"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410" w:type="dxa"/>
            <w:tcBorders/>
          </w:tcPr>
          <w:p>
            <w:pPr>
              <w:pStyle w:val="style0"/>
              <w:spacing w:before="0"/>
              <w:jc w:val="center"/>
              <w:rPr>
                <w:rFonts w:ascii="Arial" w:cs="Arial" w:hAnsi="Arial"/>
              </w:rPr>
            </w:pPr>
            <w:r>
              <w:rPr>
                <w:rFonts w:ascii="Arial" w:cs="Arial" w:hAnsi="Arial"/>
              </w:rPr>
              <w:t>75 08 80 28</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24</w:t>
            </w:r>
          </w:p>
        </w:tc>
        <w:tc>
          <w:tcPr>
            <w:tcW w:w="3573" w:type="dxa"/>
            <w:tcBorders/>
          </w:tcPr>
          <w:p>
            <w:pPr>
              <w:pStyle w:val="style0"/>
              <w:spacing w:before="0"/>
              <w:rPr>
                <w:rFonts w:ascii="Arial" w:cs="Arial" w:hAnsi="Arial"/>
                <w:lang w:val="de-DE"/>
              </w:rPr>
            </w:pPr>
            <w:r>
              <w:rPr>
                <w:rFonts w:ascii="Arial" w:cs="Arial" w:hAnsi="Arial"/>
                <w:lang w:val="de-DE"/>
              </w:rPr>
              <w:t>KANSADO Zenabo</w:t>
            </w:r>
          </w:p>
        </w:tc>
        <w:tc>
          <w:tcPr>
            <w:tcW w:w="1134"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410" w:type="dxa"/>
            <w:tcBorders/>
          </w:tcPr>
          <w:p>
            <w:pPr>
              <w:pStyle w:val="style0"/>
              <w:spacing w:before="0"/>
              <w:jc w:val="center"/>
              <w:rPr>
                <w:rFonts w:ascii="Arial" w:cs="Arial" w:hAnsi="Arial"/>
              </w:rPr>
            </w:pPr>
            <w:r>
              <w:rPr>
                <w:rFonts w:ascii="Arial" w:cs="Arial" w:hAnsi="Arial"/>
              </w:rPr>
              <w:t>-</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25</w:t>
            </w:r>
          </w:p>
        </w:tc>
        <w:tc>
          <w:tcPr>
            <w:tcW w:w="3573" w:type="dxa"/>
            <w:tcBorders/>
          </w:tcPr>
          <w:p>
            <w:pPr>
              <w:pStyle w:val="style0"/>
              <w:spacing w:before="0"/>
              <w:rPr>
                <w:rFonts w:ascii="Arial" w:cs="Arial" w:hAnsi="Arial"/>
                <w:lang w:val="de-DE"/>
              </w:rPr>
            </w:pPr>
            <w:r>
              <w:rPr>
                <w:rFonts w:ascii="Arial" w:cs="Arial" w:hAnsi="Arial"/>
                <w:lang w:val="de-DE"/>
              </w:rPr>
              <w:t>OUANDE Boukaré</w:t>
            </w:r>
          </w:p>
        </w:tc>
        <w:tc>
          <w:tcPr>
            <w:tcW w:w="1134"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Enqueteur de barrage</w:t>
            </w:r>
          </w:p>
        </w:tc>
        <w:tc>
          <w:tcPr>
            <w:tcW w:w="2410" w:type="dxa"/>
            <w:tcBorders/>
          </w:tcPr>
          <w:p>
            <w:pPr>
              <w:pStyle w:val="style0"/>
              <w:spacing w:before="0"/>
              <w:jc w:val="center"/>
              <w:rPr>
                <w:rFonts w:ascii="Arial" w:cs="Arial" w:hAnsi="Arial"/>
              </w:rPr>
            </w:pPr>
            <w:r>
              <w:rPr>
                <w:rFonts w:ascii="Arial" w:cs="Arial" w:hAnsi="Arial"/>
              </w:rPr>
              <w:t>76 41 06 19</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26</w:t>
            </w:r>
          </w:p>
        </w:tc>
        <w:tc>
          <w:tcPr>
            <w:tcW w:w="3573" w:type="dxa"/>
            <w:tcBorders/>
          </w:tcPr>
          <w:p>
            <w:pPr>
              <w:pStyle w:val="style0"/>
              <w:spacing w:before="0"/>
              <w:rPr>
                <w:rFonts w:ascii="Arial" w:cs="Arial" w:hAnsi="Arial"/>
                <w:lang w:val="de-DE"/>
              </w:rPr>
            </w:pPr>
            <w:r>
              <w:rPr>
                <w:rFonts w:ascii="Arial" w:cs="Arial" w:hAnsi="Arial"/>
                <w:lang w:val="de-DE"/>
              </w:rPr>
              <w:t>PANANDTIGRI Rasmané</w:t>
            </w:r>
          </w:p>
        </w:tc>
        <w:tc>
          <w:tcPr>
            <w:tcW w:w="1134"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410" w:type="dxa"/>
            <w:tcBorders/>
          </w:tcPr>
          <w:p>
            <w:pPr>
              <w:pStyle w:val="style0"/>
              <w:spacing w:before="0"/>
              <w:jc w:val="center"/>
              <w:rPr>
                <w:rFonts w:ascii="Arial" w:cs="Arial" w:hAnsi="Arial"/>
              </w:rPr>
            </w:pPr>
            <w:r>
              <w:rPr>
                <w:rFonts w:ascii="Arial" w:cs="Arial" w:hAnsi="Arial"/>
              </w:rPr>
              <w:t>66 04 44 46</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27</w:t>
            </w:r>
          </w:p>
        </w:tc>
        <w:tc>
          <w:tcPr>
            <w:tcW w:w="3573" w:type="dxa"/>
            <w:tcBorders/>
          </w:tcPr>
          <w:p>
            <w:pPr>
              <w:pStyle w:val="style0"/>
              <w:spacing w:before="0"/>
              <w:rPr>
                <w:rFonts w:ascii="Arial" w:cs="Arial" w:hAnsi="Arial"/>
                <w:lang w:val="de-DE"/>
              </w:rPr>
            </w:pPr>
            <w:r>
              <w:rPr>
                <w:rFonts w:ascii="Arial" w:cs="Arial" w:hAnsi="Arial"/>
                <w:lang w:val="de-DE"/>
              </w:rPr>
              <w:t>PANANDTIGRI Madi</w:t>
            </w:r>
          </w:p>
        </w:tc>
        <w:tc>
          <w:tcPr>
            <w:tcW w:w="1134"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410" w:type="dxa"/>
            <w:tcBorders/>
          </w:tcPr>
          <w:p>
            <w:pPr>
              <w:pStyle w:val="style0"/>
              <w:spacing w:before="0"/>
              <w:jc w:val="center"/>
              <w:rPr>
                <w:rFonts w:ascii="Arial" w:cs="Arial" w:hAnsi="Arial"/>
              </w:rPr>
            </w:pPr>
            <w:r>
              <w:rPr>
                <w:rFonts w:ascii="Arial" w:cs="Arial" w:hAnsi="Arial"/>
              </w:rPr>
              <w:t>75 78 34 25</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28</w:t>
            </w:r>
          </w:p>
        </w:tc>
        <w:tc>
          <w:tcPr>
            <w:tcW w:w="3573" w:type="dxa"/>
            <w:tcBorders/>
          </w:tcPr>
          <w:p>
            <w:pPr>
              <w:pStyle w:val="style0"/>
              <w:spacing w:before="0"/>
              <w:rPr>
                <w:rFonts w:ascii="Arial" w:cs="Arial" w:hAnsi="Arial"/>
                <w:lang w:val="de-DE"/>
              </w:rPr>
            </w:pPr>
            <w:r>
              <w:rPr>
                <w:rFonts w:ascii="Arial" w:cs="Arial" w:hAnsi="Arial"/>
                <w:lang w:val="de-DE"/>
              </w:rPr>
              <w:t>PANADTIGRI Hamado</w:t>
            </w:r>
          </w:p>
        </w:tc>
        <w:tc>
          <w:tcPr>
            <w:tcW w:w="1134"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w:t>
            </w:r>
            <w:r>
              <w:rPr>
                <w:rFonts w:ascii="Arial" w:cs="Arial" w:hAnsi="Arial"/>
              </w:rPr>
              <w:t>onseiller</w:t>
            </w:r>
          </w:p>
        </w:tc>
        <w:tc>
          <w:tcPr>
            <w:tcW w:w="2410" w:type="dxa"/>
            <w:tcBorders/>
          </w:tcPr>
          <w:p>
            <w:pPr>
              <w:pStyle w:val="style0"/>
              <w:spacing w:before="0"/>
              <w:jc w:val="center"/>
              <w:rPr>
                <w:rFonts w:ascii="Arial" w:cs="Arial" w:hAnsi="Arial"/>
              </w:rPr>
            </w:pPr>
            <w:r>
              <w:rPr>
                <w:rFonts w:ascii="Arial" w:cs="Arial" w:hAnsi="Arial"/>
              </w:rPr>
              <w:t>75 70 34 78</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29</w:t>
            </w:r>
          </w:p>
        </w:tc>
        <w:tc>
          <w:tcPr>
            <w:tcW w:w="3573" w:type="dxa"/>
            <w:tcBorders/>
          </w:tcPr>
          <w:p>
            <w:pPr>
              <w:pStyle w:val="style0"/>
              <w:spacing w:before="0"/>
              <w:rPr>
                <w:rFonts w:ascii="Arial" w:cs="Arial" w:hAnsi="Arial"/>
                <w:lang w:val="de-DE"/>
              </w:rPr>
            </w:pPr>
            <w:r>
              <w:rPr>
                <w:rFonts w:ascii="Arial" w:cs="Arial" w:hAnsi="Arial"/>
                <w:lang w:val="de-DE"/>
              </w:rPr>
              <w:t>PANADTIGRI Hamado</w:t>
            </w:r>
          </w:p>
        </w:tc>
        <w:tc>
          <w:tcPr>
            <w:tcW w:w="1134" w:type="dxa"/>
            <w:tcBorders/>
          </w:tcPr>
          <w:p>
            <w:pPr>
              <w:pStyle w:val="style0"/>
              <w:spacing w:before="0"/>
              <w:jc w:val="center"/>
              <w:rPr>
                <w:rFonts w:ascii="Arial" w:cs="Arial" w:hAnsi="Arial"/>
              </w:rPr>
            </w:pPr>
            <w:r>
              <w:rPr>
                <w:rFonts w:ascii="Arial" w:cs="Arial" w:hAnsi="Arial"/>
              </w:rPr>
              <w:t>M</w:t>
            </w:r>
          </w:p>
        </w:tc>
        <w:tc>
          <w:tcPr>
            <w:tcW w:w="3402" w:type="dxa"/>
            <w:tcBorders/>
          </w:tcPr>
          <w:p>
            <w:pPr>
              <w:pStyle w:val="style0"/>
              <w:spacing w:before="0"/>
              <w:rPr>
                <w:rFonts w:ascii="Arial" w:cs="Arial" w:hAnsi="Arial"/>
              </w:rPr>
            </w:pPr>
            <w:r>
              <w:rPr>
                <w:rFonts w:ascii="Arial" w:cs="Arial" w:hAnsi="Arial"/>
              </w:rPr>
              <w:t>Cultivateur</w:t>
            </w:r>
          </w:p>
        </w:tc>
        <w:tc>
          <w:tcPr>
            <w:tcW w:w="2410" w:type="dxa"/>
            <w:tcBorders/>
          </w:tcPr>
          <w:p>
            <w:pPr>
              <w:pStyle w:val="style0"/>
              <w:spacing w:before="0"/>
              <w:jc w:val="center"/>
              <w:rPr>
                <w:rFonts w:ascii="Arial" w:cs="Arial" w:hAnsi="Arial"/>
              </w:rPr>
            </w:pPr>
            <w:r>
              <w:rPr>
                <w:rFonts w:ascii="Arial" w:cs="Arial" w:hAnsi="Arial"/>
              </w:rPr>
              <w:t>77 44 36 75</w:t>
            </w:r>
          </w:p>
        </w:tc>
        <w:tc>
          <w:tcPr>
            <w:tcW w:w="2835" w:type="dxa"/>
            <w:tcBorders/>
          </w:tcPr>
          <w:p>
            <w:pPr>
              <w:pStyle w:val="style0"/>
              <w:spacing w:before="0"/>
              <w:jc w:val="center"/>
              <w:rPr>
                <w:rFonts w:ascii="Arial" w:cs="Arial" w:hAnsi="Arial"/>
              </w:rPr>
            </w:pPr>
          </w:p>
        </w:tc>
      </w:tr>
      <w:tr>
        <w:tblPrEx/>
        <w:trPr/>
        <w:tc>
          <w:tcPr>
            <w:tcW w:w="675" w:type="dxa"/>
            <w:tcBorders/>
          </w:tcPr>
          <w:p>
            <w:pPr>
              <w:pStyle w:val="style0"/>
              <w:spacing w:before="0"/>
              <w:jc w:val="center"/>
              <w:rPr>
                <w:rFonts w:ascii="Arial" w:cs="Arial" w:hAnsi="Arial"/>
              </w:rPr>
            </w:pPr>
            <w:r>
              <w:rPr>
                <w:rFonts w:ascii="Arial" w:cs="Arial" w:hAnsi="Arial"/>
              </w:rPr>
              <w:t>30</w:t>
            </w:r>
          </w:p>
        </w:tc>
        <w:tc>
          <w:tcPr>
            <w:tcW w:w="3573" w:type="dxa"/>
            <w:tcBorders/>
          </w:tcPr>
          <w:p>
            <w:pPr>
              <w:pStyle w:val="style0"/>
              <w:spacing w:before="0"/>
              <w:rPr>
                <w:rFonts w:ascii="Arial" w:cs="Arial" w:hAnsi="Arial"/>
                <w:lang w:val="de-DE"/>
              </w:rPr>
            </w:pPr>
            <w:r>
              <w:rPr>
                <w:rFonts w:ascii="Arial" w:cs="Arial" w:hAnsi="Arial"/>
                <w:lang w:val="de-DE"/>
              </w:rPr>
              <w:t>PANADTIGRI Rasmané</w:t>
            </w:r>
          </w:p>
        </w:tc>
        <w:tc>
          <w:tcPr>
            <w:tcW w:w="1134" w:type="dxa"/>
            <w:tcBorders/>
          </w:tcPr>
          <w:p>
            <w:pPr>
              <w:pStyle w:val="style0"/>
              <w:spacing w:before="0"/>
              <w:jc w:val="center"/>
              <w:rPr>
                <w:rFonts w:ascii="Arial" w:cs="Arial" w:hAnsi="Arial"/>
              </w:rPr>
            </w:pPr>
            <w:r>
              <w:rPr>
                <w:rFonts w:ascii="Arial" w:cs="Arial" w:hAnsi="Arial"/>
              </w:rPr>
              <w:t>M</w:t>
            </w:r>
          </w:p>
        </w:tc>
        <w:tc>
          <w:tcPr>
            <w:tcW w:w="3402" w:type="dxa"/>
            <w:tcBorders/>
          </w:tcPr>
          <w:p>
            <w:pPr>
              <w:pStyle w:val="style0"/>
              <w:spacing w:before="0"/>
              <w:rPr>
                <w:rFonts w:ascii="Arial" w:cs="Arial" w:hAnsi="Arial"/>
              </w:rPr>
            </w:pPr>
            <w:r>
              <w:rPr>
                <w:rFonts w:ascii="Arial" w:cs="Arial" w:hAnsi="Arial"/>
              </w:rPr>
              <w:t>Cultivateur</w:t>
            </w:r>
          </w:p>
        </w:tc>
        <w:tc>
          <w:tcPr>
            <w:tcW w:w="2410" w:type="dxa"/>
            <w:tcBorders/>
          </w:tcPr>
          <w:p>
            <w:pPr>
              <w:pStyle w:val="style0"/>
              <w:spacing w:before="0"/>
              <w:jc w:val="center"/>
              <w:rPr>
                <w:rFonts w:ascii="Arial" w:cs="Arial" w:hAnsi="Arial"/>
              </w:rPr>
            </w:pPr>
            <w:r>
              <w:rPr>
                <w:rFonts w:ascii="Arial" w:cs="Arial" w:hAnsi="Arial"/>
              </w:rPr>
              <w:t>S/C 77 44 36 75</w:t>
            </w:r>
          </w:p>
        </w:tc>
        <w:tc>
          <w:tcPr>
            <w:tcW w:w="2835" w:type="dxa"/>
            <w:tcBorders/>
          </w:tcPr>
          <w:p>
            <w:pPr>
              <w:pStyle w:val="style0"/>
              <w:spacing w:before="0"/>
              <w:jc w:val="center"/>
              <w:rPr>
                <w:rFonts w:ascii="Arial" w:cs="Arial" w:hAnsi="Arial"/>
              </w:rPr>
            </w:pPr>
          </w:p>
        </w:tc>
      </w:tr>
    </w:tbl>
    <w:p>
      <w:pPr>
        <w:pStyle w:val="style0"/>
        <w:spacing w:before="0"/>
        <w:rPr>
          <w:rFonts w:ascii="Arial" w:cs="Arial" w:hAnsi="Arial"/>
          <w:sz w:val="20"/>
        </w:rPr>
      </w:pPr>
    </w:p>
    <w:p>
      <w:pPr>
        <w:pStyle w:val="style0"/>
        <w:spacing w:before="0"/>
        <w:rPr>
          <w:rFonts w:ascii="Arial" w:cs="Arial" w:hAnsi="Arial"/>
          <w:sz w:val="20"/>
        </w:rPr>
      </w:pPr>
    </w:p>
    <w:p>
      <w:pPr>
        <w:pStyle w:val="style0"/>
        <w:spacing w:before="0"/>
        <w:rPr>
          <w:rFonts w:ascii="Arial" w:cs="Arial" w:hAnsi="Arial"/>
          <w:b/>
        </w:rPr>
      </w:pPr>
      <w:r>
        <w:rPr>
          <w:rFonts w:ascii="Arial" w:cs="Arial" w:hAnsi="Arial"/>
          <w:b/>
        </w:rPr>
        <w:t xml:space="preserve">                 </w:t>
      </w:r>
    </w:p>
    <w:p>
      <w:pPr>
        <w:pStyle w:val="style0"/>
        <w:spacing w:before="0"/>
        <w:rPr>
          <w:rFonts w:ascii="Arial" w:cs="Arial" w:hAnsi="Arial"/>
          <w:b/>
        </w:rPr>
      </w:pPr>
      <w:r>
        <w:rPr>
          <w:rFonts w:ascii="Arial" w:cs="Arial" w:hAnsi="Arial"/>
          <w:b/>
        </w:rPr>
        <w:t xml:space="preserve">  </w:t>
      </w:r>
      <w:r>
        <w:rPr>
          <w:rFonts w:ascii="Arial" w:cs="Arial" w:hAnsi="Arial"/>
          <w:b/>
          <w:u w:val="single"/>
        </w:rPr>
        <w:t>INTITULE DU PROJET/PROGRAMME</w:t>
      </w:r>
      <w:r>
        <w:rPr>
          <w:rFonts w:ascii="Arial" w:cs="Arial" w:hAnsi="Arial"/>
          <w:b/>
        </w:rPr>
        <w:t xml:space="preserve"> : </w:t>
      </w:r>
      <w:r>
        <w:rPr>
          <w:rFonts w:ascii="Arial" w:cs="Arial" w:hAnsi="Arial"/>
          <w:b/>
          <w:u w:val="dotted"/>
        </w:rPr>
        <w:t>PROGRAMME DE DEVELOPPEMENT ET DE COMPETITIVITE AGRICOLE (PDCA)</w:t>
      </w:r>
    </w:p>
    <w:p>
      <w:pPr>
        <w:pStyle w:val="style0"/>
        <w:spacing w:before="0"/>
        <w:jc w:val="center"/>
        <w:rPr>
          <w:rFonts w:ascii="Arial" w:cs="Arial" w:hAnsi="Arial"/>
          <w:b/>
          <w:sz w:val="18"/>
        </w:rPr>
      </w:pPr>
      <w:r>
        <w:rPr>
          <w:rFonts w:ascii="Arial" w:cs="Arial" w:hAnsi="Arial"/>
          <w:b/>
          <w:sz w:val="18"/>
        </w:rPr>
        <w:t>LISTE DES PARTICIPANTS AUX SEANCES DE CONSULTATIONS PUBLIQUES EN VUE DE L’ELABORATION DU CGES/PGPP</w:t>
      </w:r>
      <w:r>
        <w:rPr>
          <w:rFonts w:ascii="Arial" w:cs="Arial" w:hAnsi="Arial"/>
          <w:b/>
          <w:sz w:val="18"/>
        </w:rPr>
        <w:t>/CPR</w:t>
      </w:r>
    </w:p>
    <w:p>
      <w:pPr>
        <w:pStyle w:val="style0"/>
        <w:spacing w:before="0"/>
        <w:rPr>
          <w:rFonts w:ascii="Arial" w:cs="Arial" w:hAnsi="Arial"/>
          <w:b/>
          <w:sz w:val="20"/>
        </w:rPr>
      </w:pPr>
      <w:r>
        <w:rPr>
          <w:rFonts w:ascii="Arial" w:cs="Arial" w:hAnsi="Arial"/>
          <w:b/>
          <w:sz w:val="20"/>
        </w:rPr>
        <w:t xml:space="preserve">Région : </w:t>
      </w:r>
      <w:r>
        <w:rPr>
          <w:rFonts w:ascii="Arial" w:cs="Arial" w:hAnsi="Arial"/>
          <w:b/>
          <w:sz w:val="20"/>
          <w:u w:val="dotted"/>
        </w:rPr>
        <w:t>NORD</w:t>
      </w:r>
      <w:r>
        <w:rPr>
          <w:rFonts w:ascii="Arial" w:cs="Arial" w:hAnsi="Arial"/>
          <w:b/>
          <w:sz w:val="20"/>
        </w:rPr>
        <w:t>…………………………</w:t>
      </w:r>
      <w:r>
        <w:rPr>
          <w:rFonts w:ascii="Arial" w:cs="Arial" w:hAnsi="Arial"/>
          <w:b/>
          <w:sz w:val="20"/>
          <w:u w:val="dotted"/>
        </w:rPr>
        <w:t>Province</w:t>
      </w:r>
      <w:r>
        <w:rPr>
          <w:rFonts w:ascii="Arial" w:cs="Arial" w:hAnsi="Arial"/>
          <w:b/>
          <w:sz w:val="20"/>
        </w:rPr>
        <w:t xml:space="preserve"> : </w:t>
      </w:r>
      <w:r>
        <w:rPr>
          <w:rFonts w:ascii="Arial" w:cs="Arial" w:hAnsi="Arial"/>
          <w:b/>
          <w:sz w:val="20"/>
          <w:u w:val="dotted"/>
        </w:rPr>
        <w:t>PASSORE</w:t>
      </w:r>
      <w:r>
        <w:rPr>
          <w:rFonts w:ascii="Arial" w:cs="Arial" w:hAnsi="Arial"/>
          <w:b/>
          <w:sz w:val="20"/>
        </w:rPr>
        <w:t>…………………………….</w:t>
      </w:r>
      <w:r>
        <w:rPr>
          <w:rFonts w:ascii="Arial" w:cs="Arial" w:hAnsi="Arial"/>
          <w:b/>
          <w:sz w:val="20"/>
          <w:u w:val="dotted"/>
        </w:rPr>
        <w:t>Commune</w:t>
      </w:r>
      <w:r>
        <w:rPr>
          <w:rFonts w:ascii="Arial" w:cs="Arial" w:hAnsi="Arial"/>
          <w:b/>
          <w:sz w:val="20"/>
        </w:rPr>
        <w:t xml:space="preserve"> : </w:t>
      </w:r>
      <w:r>
        <w:rPr>
          <w:rFonts w:ascii="Arial" w:cs="Arial" w:hAnsi="Arial"/>
          <w:b/>
          <w:sz w:val="20"/>
          <w:u w:val="dotted"/>
        </w:rPr>
        <w:t>KIRSI</w:t>
      </w:r>
      <w:r>
        <w:rPr>
          <w:rFonts w:ascii="Arial" w:cs="Arial" w:hAnsi="Arial"/>
          <w:b/>
          <w:sz w:val="20"/>
        </w:rPr>
        <w:t>…………………………..</w:t>
      </w:r>
    </w:p>
    <w:p>
      <w:pPr>
        <w:pStyle w:val="style0"/>
        <w:spacing w:before="0"/>
        <w:rPr>
          <w:rFonts w:ascii="Arial" w:cs="Arial" w:hAnsi="Arial"/>
          <w:b/>
          <w:sz w:val="20"/>
        </w:rPr>
      </w:pPr>
      <w:r>
        <w:rPr>
          <w:rFonts w:ascii="Arial" w:cs="Arial" w:hAnsi="Arial"/>
          <w:b/>
          <w:sz w:val="20"/>
        </w:rPr>
        <w:t>Village : DOUROU………………………….Date : ………..08/01/2019 ……………</w:t>
      </w:r>
      <w:r>
        <w:rPr>
          <w:rFonts w:ascii="Arial" w:cs="Arial" w:hAnsi="Arial"/>
          <w:b/>
          <w:sz w:val="20"/>
        </w:rPr>
        <w:t xml:space="preserve"> </w:t>
      </w:r>
      <w:r>
        <w:rPr>
          <w:rFonts w:ascii="Arial" w:cs="Arial" w:hAnsi="Arial"/>
          <w:b/>
          <w:sz w:val="20"/>
        </w:rPr>
        <w:t xml:space="preserve">Groupes cibles : Producteurs </w:t>
      </w:r>
    </w:p>
    <w:tbl>
      <w:tblPr>
        <w:tblStyle w:val="style154"/>
        <w:tblW w:w="14170" w:type="dxa"/>
        <w:tblLayout w:type="fixed"/>
        <w:tblLook w:val="04A0" w:firstRow="1" w:lastRow="0" w:firstColumn="1" w:lastColumn="0" w:noHBand="0" w:noVBand="1"/>
      </w:tblPr>
      <w:tblGrid>
        <w:gridCol w:w="675"/>
        <w:gridCol w:w="3431"/>
        <w:gridCol w:w="1418"/>
        <w:gridCol w:w="3402"/>
        <w:gridCol w:w="2409"/>
        <w:gridCol w:w="2835"/>
      </w:tblGrid>
      <w:tr>
        <w:trPr/>
        <w:tc>
          <w:tcPr>
            <w:tcW w:w="675" w:type="dxa"/>
            <w:tcBorders/>
            <w:vAlign w:val="center"/>
          </w:tcPr>
          <w:p>
            <w:pPr>
              <w:pStyle w:val="style0"/>
              <w:spacing w:before="0"/>
              <w:jc w:val="center"/>
              <w:rPr>
                <w:rFonts w:ascii="Arial" w:cs="Arial" w:hAnsi="Arial"/>
                <w:b/>
              </w:rPr>
            </w:pPr>
            <w:r>
              <w:rPr>
                <w:rFonts w:ascii="Arial" w:cs="Arial" w:hAnsi="Arial"/>
                <w:b/>
              </w:rPr>
              <w:t>N°</w:t>
            </w:r>
          </w:p>
        </w:tc>
        <w:tc>
          <w:tcPr>
            <w:tcW w:w="3431" w:type="dxa"/>
            <w:tcBorders/>
            <w:vAlign w:val="center"/>
          </w:tcPr>
          <w:p>
            <w:pPr>
              <w:pStyle w:val="style0"/>
              <w:spacing w:before="0"/>
              <w:jc w:val="center"/>
              <w:rPr>
                <w:rFonts w:ascii="Arial" w:cs="Arial" w:hAnsi="Arial"/>
                <w:b/>
              </w:rPr>
            </w:pPr>
            <w:r>
              <w:rPr>
                <w:rFonts w:ascii="Arial" w:cs="Arial" w:hAnsi="Arial"/>
                <w:b/>
              </w:rPr>
              <w:t>Nom et prénom (s)</w:t>
            </w:r>
          </w:p>
        </w:tc>
        <w:tc>
          <w:tcPr>
            <w:tcW w:w="1418" w:type="dxa"/>
            <w:tcBorders/>
            <w:vAlign w:val="center"/>
          </w:tcPr>
          <w:p>
            <w:pPr>
              <w:pStyle w:val="style0"/>
              <w:spacing w:before="0"/>
              <w:jc w:val="center"/>
              <w:rPr>
                <w:rFonts w:ascii="Arial" w:cs="Arial" w:hAnsi="Arial"/>
                <w:b/>
              </w:rPr>
            </w:pPr>
            <w:r>
              <w:rPr>
                <w:rFonts w:ascii="Arial" w:cs="Arial" w:hAnsi="Arial"/>
                <w:b/>
              </w:rPr>
              <w:t>Sexe</w:t>
            </w:r>
          </w:p>
        </w:tc>
        <w:tc>
          <w:tcPr>
            <w:tcW w:w="3402" w:type="dxa"/>
            <w:tcBorders/>
            <w:vAlign w:val="center"/>
          </w:tcPr>
          <w:p>
            <w:pPr>
              <w:pStyle w:val="style0"/>
              <w:spacing w:before="0"/>
              <w:jc w:val="center"/>
              <w:rPr>
                <w:rFonts w:ascii="Arial" w:cs="Arial" w:hAnsi="Arial"/>
                <w:b/>
              </w:rPr>
            </w:pPr>
            <w:r>
              <w:rPr>
                <w:rFonts w:ascii="Arial" w:cs="Arial" w:hAnsi="Arial"/>
                <w:b/>
              </w:rPr>
              <w:t xml:space="preserve">Structure / </w:t>
            </w:r>
            <w:r>
              <w:rPr>
                <w:rFonts w:ascii="Arial" w:cs="Arial" w:hAnsi="Arial"/>
                <w:b/>
              </w:rPr>
              <w:t>Profession</w:t>
            </w:r>
          </w:p>
        </w:tc>
        <w:tc>
          <w:tcPr>
            <w:tcW w:w="2409" w:type="dxa"/>
            <w:tcBorders/>
            <w:vAlign w:val="center"/>
          </w:tcPr>
          <w:p>
            <w:pPr>
              <w:pStyle w:val="style0"/>
              <w:spacing w:before="0"/>
              <w:jc w:val="center"/>
              <w:rPr>
                <w:rFonts w:ascii="Arial" w:cs="Arial" w:hAnsi="Arial"/>
                <w:b/>
              </w:rPr>
            </w:pPr>
            <w:r>
              <w:rPr>
                <w:rFonts w:ascii="Arial" w:cs="Arial" w:hAnsi="Arial"/>
                <w:b/>
              </w:rPr>
              <w:t>Téléphone</w:t>
            </w:r>
          </w:p>
        </w:tc>
        <w:tc>
          <w:tcPr>
            <w:tcW w:w="2835" w:type="dxa"/>
            <w:tcBorders/>
            <w:vAlign w:val="center"/>
          </w:tcPr>
          <w:p>
            <w:pPr>
              <w:pStyle w:val="style0"/>
              <w:spacing w:before="0"/>
              <w:jc w:val="center"/>
              <w:rPr>
                <w:rFonts w:ascii="Arial" w:cs="Arial" w:hAnsi="Arial"/>
                <w:b/>
              </w:rPr>
            </w:pPr>
            <w:r>
              <w:rPr>
                <w:rFonts w:ascii="Arial" w:cs="Arial" w:hAnsi="Arial"/>
                <w:b/>
              </w:rPr>
              <w:t>Signature/Empreinte</w:t>
            </w:r>
          </w:p>
        </w:tc>
      </w:tr>
      <w:tr>
        <w:tblPrEx/>
        <w:trPr/>
        <w:tc>
          <w:tcPr>
            <w:tcW w:w="675" w:type="dxa"/>
            <w:tcBorders/>
            <w:vAlign w:val="center"/>
          </w:tcPr>
          <w:p>
            <w:pPr>
              <w:pStyle w:val="style0"/>
              <w:spacing w:before="0"/>
              <w:jc w:val="center"/>
              <w:rPr>
                <w:rFonts w:ascii="Arial" w:cs="Arial" w:hAnsi="Arial"/>
              </w:rPr>
            </w:pPr>
            <w:r>
              <w:rPr>
                <w:rFonts w:ascii="Arial" w:cs="Arial" w:hAnsi="Arial"/>
              </w:rPr>
              <w:t>01</w:t>
            </w:r>
          </w:p>
        </w:tc>
        <w:tc>
          <w:tcPr>
            <w:tcW w:w="3431" w:type="dxa"/>
            <w:tcBorders/>
            <w:vAlign w:val="center"/>
          </w:tcPr>
          <w:p>
            <w:pPr>
              <w:pStyle w:val="style0"/>
              <w:spacing w:before="0"/>
              <w:rPr>
                <w:rFonts w:ascii="Arial" w:cs="Arial" w:hAnsi="Arial"/>
              </w:rPr>
            </w:pPr>
            <w:r>
              <w:rPr>
                <w:rFonts w:ascii="Arial" w:cs="Arial" w:hAnsi="Arial"/>
              </w:rPr>
              <w:t>DIANDA Rakieta</w:t>
            </w:r>
          </w:p>
        </w:tc>
        <w:tc>
          <w:tcPr>
            <w:tcW w:w="1418" w:type="dxa"/>
            <w:tcBorders/>
          </w:tcPr>
          <w:p>
            <w:pPr>
              <w:pStyle w:val="style0"/>
              <w:spacing w:before="0"/>
              <w:jc w:val="center"/>
              <w:rPr/>
            </w:pPr>
            <w:r>
              <w:rPr>
                <w:rFonts w:ascii="Arial" w:cs="Arial" w:hAnsi="Arial"/>
              </w:rPr>
              <w:t>F</w:t>
            </w:r>
          </w:p>
        </w:tc>
        <w:tc>
          <w:tcPr>
            <w:tcW w:w="3402" w:type="dxa"/>
            <w:tcBorders/>
          </w:tcPr>
          <w:p>
            <w:pPr>
              <w:pStyle w:val="style0"/>
              <w:spacing w:before="0"/>
              <w:rPr>
                <w:rFonts w:ascii="Arial" w:cs="Arial" w:hAnsi="Arial"/>
              </w:rPr>
            </w:pPr>
            <w:r>
              <w:rPr>
                <w:rFonts w:ascii="Arial" w:cs="Arial" w:hAnsi="Arial"/>
              </w:rPr>
              <w:t xml:space="preserve">Ménagère </w:t>
            </w:r>
          </w:p>
        </w:tc>
        <w:tc>
          <w:tcPr>
            <w:tcW w:w="2409" w:type="dxa"/>
            <w:tcBorders/>
            <w:vAlign w:val="center"/>
          </w:tcPr>
          <w:p>
            <w:pPr>
              <w:pStyle w:val="style0"/>
              <w:spacing w:before="0"/>
              <w:jc w:val="center"/>
              <w:rPr>
                <w:rFonts w:ascii="Arial" w:cs="Arial" w:hAnsi="Arial"/>
              </w:rPr>
            </w:pPr>
            <w:r>
              <w:rPr>
                <w:rFonts w:ascii="Arial" w:cs="Arial" w:hAnsi="Arial"/>
              </w:rPr>
              <w:t>-</w:t>
            </w:r>
          </w:p>
        </w:tc>
        <w:tc>
          <w:tcPr>
            <w:tcW w:w="2835"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02</w:t>
            </w:r>
          </w:p>
        </w:tc>
        <w:tc>
          <w:tcPr>
            <w:tcW w:w="3431" w:type="dxa"/>
            <w:tcBorders/>
            <w:vAlign w:val="center"/>
          </w:tcPr>
          <w:p>
            <w:pPr>
              <w:pStyle w:val="style0"/>
              <w:spacing w:before="0"/>
              <w:rPr>
                <w:rFonts w:ascii="Arial" w:cs="Arial" w:hAnsi="Arial"/>
                <w:lang w:val="de-DE"/>
              </w:rPr>
            </w:pPr>
            <w:r>
              <w:rPr>
                <w:rFonts w:ascii="Arial" w:cs="Arial" w:hAnsi="Arial"/>
                <w:lang w:val="de-DE"/>
              </w:rPr>
              <w:t>PANANDTIGRI Moussa</w:t>
            </w:r>
          </w:p>
        </w:tc>
        <w:tc>
          <w:tcPr>
            <w:tcW w:w="1418"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409" w:type="dxa"/>
            <w:tcBorders/>
            <w:vAlign w:val="center"/>
          </w:tcPr>
          <w:p>
            <w:pPr>
              <w:pStyle w:val="style0"/>
              <w:spacing w:before="0"/>
              <w:jc w:val="center"/>
              <w:rPr>
                <w:rFonts w:ascii="Arial" w:cs="Arial" w:hAnsi="Arial"/>
              </w:rPr>
            </w:pPr>
            <w:r>
              <w:rPr>
                <w:rFonts w:ascii="Arial" w:cs="Arial" w:hAnsi="Arial"/>
              </w:rPr>
              <w:t>-</w:t>
            </w:r>
          </w:p>
        </w:tc>
        <w:tc>
          <w:tcPr>
            <w:tcW w:w="2835"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03</w:t>
            </w:r>
          </w:p>
        </w:tc>
        <w:tc>
          <w:tcPr>
            <w:tcW w:w="3431" w:type="dxa"/>
            <w:tcBorders/>
            <w:vAlign w:val="center"/>
          </w:tcPr>
          <w:p>
            <w:pPr>
              <w:pStyle w:val="style0"/>
              <w:spacing w:before="0"/>
              <w:rPr>
                <w:rFonts w:ascii="Arial" w:cs="Arial" w:hAnsi="Arial"/>
                <w:lang w:val="de-DE"/>
              </w:rPr>
            </w:pPr>
            <w:r>
              <w:rPr>
                <w:rFonts w:ascii="Arial" w:cs="Arial" w:hAnsi="Arial"/>
                <w:lang w:val="de-DE"/>
              </w:rPr>
              <w:t>PANANDTIGRI Boukaré</w:t>
            </w:r>
          </w:p>
        </w:tc>
        <w:tc>
          <w:tcPr>
            <w:tcW w:w="1418" w:type="dxa"/>
            <w:tcBorders/>
          </w:tcPr>
          <w:p>
            <w:pPr>
              <w:pStyle w:val="style0"/>
              <w:spacing w:before="0"/>
              <w:jc w:val="center"/>
              <w:rPr/>
            </w:pPr>
            <w:r>
              <w:rPr>
                <w:rFonts w:ascii="Arial" w:cs="Arial" w:hAnsi="Arial"/>
              </w:rPr>
              <w:t>M</w:t>
            </w:r>
          </w:p>
        </w:tc>
        <w:tc>
          <w:tcPr>
            <w:tcW w:w="3402" w:type="dxa"/>
            <w:tcBorders/>
          </w:tcPr>
          <w:p>
            <w:pPr>
              <w:pStyle w:val="style0"/>
              <w:spacing w:before="0"/>
              <w:rPr/>
            </w:pPr>
            <w:r>
              <w:rPr>
                <w:rFonts w:ascii="Arial" w:cs="Arial" w:hAnsi="Arial"/>
              </w:rPr>
              <w:t>Cultivateur</w:t>
            </w:r>
          </w:p>
        </w:tc>
        <w:tc>
          <w:tcPr>
            <w:tcW w:w="2409" w:type="dxa"/>
            <w:tcBorders/>
            <w:vAlign w:val="center"/>
          </w:tcPr>
          <w:p>
            <w:pPr>
              <w:pStyle w:val="style0"/>
              <w:spacing w:before="0"/>
              <w:jc w:val="center"/>
              <w:rPr>
                <w:rFonts w:ascii="Arial" w:cs="Arial" w:hAnsi="Arial"/>
              </w:rPr>
            </w:pPr>
            <w:r>
              <w:rPr>
                <w:rFonts w:ascii="Arial" w:cs="Arial" w:hAnsi="Arial"/>
              </w:rPr>
              <w:t>75 02 13 96</w:t>
            </w:r>
          </w:p>
        </w:tc>
        <w:tc>
          <w:tcPr>
            <w:tcW w:w="2835" w:type="dxa"/>
            <w:tcBorders/>
            <w:vAlign w:val="center"/>
          </w:tcPr>
          <w:p>
            <w:pPr>
              <w:pStyle w:val="style0"/>
              <w:spacing w:before="0"/>
              <w:jc w:val="center"/>
              <w:rPr>
                <w:rFonts w:ascii="Arial" w:cs="Arial" w:hAnsi="Arial"/>
              </w:rPr>
            </w:pPr>
          </w:p>
        </w:tc>
      </w:tr>
      <w:tr>
        <w:tblPrEx/>
        <w:trPr/>
        <w:tc>
          <w:tcPr>
            <w:tcW w:w="675" w:type="dxa"/>
            <w:tcBorders/>
            <w:vAlign w:val="center"/>
          </w:tcPr>
          <w:p>
            <w:pPr>
              <w:pStyle w:val="style0"/>
              <w:spacing w:before="0"/>
              <w:jc w:val="center"/>
              <w:rPr>
                <w:rFonts w:ascii="Arial" w:cs="Arial" w:hAnsi="Arial"/>
              </w:rPr>
            </w:pPr>
            <w:r>
              <w:rPr>
                <w:rFonts w:ascii="Arial" w:cs="Arial" w:hAnsi="Arial"/>
              </w:rPr>
              <w:t>04</w:t>
            </w:r>
          </w:p>
        </w:tc>
        <w:tc>
          <w:tcPr>
            <w:tcW w:w="3431" w:type="dxa"/>
            <w:tcBorders/>
            <w:vAlign w:val="center"/>
          </w:tcPr>
          <w:p>
            <w:pPr>
              <w:pStyle w:val="style0"/>
              <w:spacing w:before="0"/>
              <w:rPr>
                <w:rFonts w:ascii="Arial" w:cs="Arial" w:hAnsi="Arial"/>
                <w:lang w:val="de-DE"/>
              </w:rPr>
            </w:pPr>
            <w:r>
              <w:rPr>
                <w:rFonts w:ascii="Arial" w:cs="Arial" w:hAnsi="Arial"/>
                <w:lang w:val="de-DE"/>
              </w:rPr>
              <w:t>OUANDE Rasmané</w:t>
            </w:r>
          </w:p>
        </w:tc>
        <w:tc>
          <w:tcPr>
            <w:tcW w:w="1418" w:type="dxa"/>
            <w:tcBorders/>
          </w:tcPr>
          <w:p>
            <w:pPr>
              <w:pStyle w:val="style0"/>
              <w:spacing w:before="0"/>
              <w:jc w:val="center"/>
              <w:rPr/>
            </w:pPr>
            <w:r>
              <w:rPr>
                <w:rFonts w:ascii="Arial" w:cs="Arial" w:hAnsi="Arial"/>
              </w:rPr>
              <w:t>M</w:t>
            </w:r>
          </w:p>
        </w:tc>
        <w:tc>
          <w:tcPr>
            <w:tcW w:w="3402" w:type="dxa"/>
            <w:tcBorders/>
          </w:tcPr>
          <w:p>
            <w:pPr>
              <w:pStyle w:val="style0"/>
              <w:spacing w:before="0"/>
              <w:rPr>
                <w:rFonts w:ascii="Arial" w:cs="Arial" w:hAnsi="Arial"/>
              </w:rPr>
            </w:pPr>
            <w:r>
              <w:rPr>
                <w:rFonts w:ascii="Arial" w:cs="Arial" w:hAnsi="Arial"/>
              </w:rPr>
              <w:t>Cultivateur</w:t>
            </w:r>
          </w:p>
        </w:tc>
        <w:tc>
          <w:tcPr>
            <w:tcW w:w="2409" w:type="dxa"/>
            <w:tcBorders/>
            <w:vAlign w:val="center"/>
          </w:tcPr>
          <w:p>
            <w:pPr>
              <w:pStyle w:val="style0"/>
              <w:spacing w:before="0"/>
              <w:jc w:val="center"/>
              <w:rPr>
                <w:rFonts w:ascii="Arial" w:cs="Arial" w:hAnsi="Arial"/>
              </w:rPr>
            </w:pPr>
            <w:r>
              <w:rPr>
                <w:rFonts w:ascii="Arial" w:cs="Arial" w:hAnsi="Arial"/>
              </w:rPr>
              <w:t>56 44 02 34</w:t>
            </w:r>
          </w:p>
        </w:tc>
        <w:tc>
          <w:tcPr>
            <w:tcW w:w="2835" w:type="dxa"/>
            <w:tcBorders/>
            <w:vAlign w:val="center"/>
          </w:tcPr>
          <w:p>
            <w:pPr>
              <w:pStyle w:val="style0"/>
              <w:spacing w:before="0"/>
              <w:jc w:val="center"/>
              <w:rPr>
                <w:rFonts w:ascii="Arial" w:cs="Arial" w:hAnsi="Arial"/>
              </w:rPr>
            </w:pPr>
          </w:p>
        </w:tc>
      </w:tr>
    </w:tbl>
    <w:p>
      <w:pPr>
        <w:pStyle w:val="style0"/>
        <w:rPr/>
      </w:pPr>
    </w:p>
    <w:sectPr>
      <w:pgSz w:w="15840" w:h="12240" w:orient="landscape"/>
      <w:pgMar w:top="851" w:right="737" w:bottom="851" w:left="73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0002AFF" w:usb1="C000247B" w:usb2="00000009" w:usb3="00000000" w:csb0="000001FF" w:csb1="00000000"/>
  </w:font>
  <w:font w:name="Arial">
    <w:altName w:val="Arial"/>
    <w:panose1 w:val="020b0604020002020204"/>
    <w:charset w:val="00"/>
    <w:family w:val="swiss"/>
    <w:pitch w:val="variable"/>
    <w:sig w:usb0="E0002EFF" w:usb1="C0007843" w:usb2="00000009" w:usb3="00000000" w:csb0="000001FF" w:csb1="00000000"/>
  </w:font>
  <w:font w:name="SimSun">
    <w:altName w:val="宋体"/>
    <w:panose1 w:val="02010600030001010101"/>
    <w:charset w:val="86"/>
    <w:family w:val="auto"/>
    <w:pitch w:val="variable"/>
    <w:sig w:usb0="00000003" w:usb1="288F0000" w:usb2="00000016" w:usb3="00000000" w:csb0="00040001" w:csb1="00000000"/>
  </w:font>
  <w:font w:name="Wingdings 2">
    <w:altName w:val="Wingdings 2"/>
    <w:panose1 w:val="05020102010005070707"/>
    <w:charset w:val="02"/>
    <w:family w:val="roman"/>
    <w:pitch w:val="variable"/>
    <w:sig w:usb0="00000000" w:usb1="10000000" w:usb2="00000000" w:usb3="00000000" w:csb0="80000000" w:csb1="00000000"/>
  </w:font>
  <w:font w:name="Garamond">
    <w:altName w:val="Garamond"/>
    <w:panose1 w:val="02020404030003010803"/>
    <w:charset w:val="00"/>
    <w:family w:val="roman"/>
    <w:pitch w:val="variable"/>
    <w:sig w:usb0="00000287" w:usb1="00000000" w:usb2="00000000" w:usb3="00000000" w:csb0="0000009F" w:csb1="00000000"/>
  </w:font>
  <w:font w:name="Trebuchet MS">
    <w:altName w:val="Trebuchet MS"/>
    <w:panose1 w:val="020b0603020002020204"/>
    <w:charset w:val="00"/>
    <w:family w:val="swiss"/>
    <w:pitch w:val="variable"/>
    <w:sig w:usb0="00000687" w:usb1="00000000" w:usb2="00000000" w:usb3="00000000" w:csb0="0000009F" w:csb1="00000000"/>
  </w:font>
  <w:font w:name="Arial Gras">
    <w:altName w:val="Arial Gras"/>
    <w:panose1 w:val="020b0704020002020204"/>
    <w:charset w:val="00"/>
    <w:family w:val="auto"/>
    <w:pitch w:val="variable"/>
    <w:sig w:usb0="E0002AFF" w:usb1="C0007843" w:usb2="00000009" w:usb3="00000000" w:csb0="000001FF" w:csb1="00000000"/>
  </w:font>
  <w:font w:name="Century Gothic">
    <w:altName w:val="Century Gothic"/>
    <w:panose1 w:val="020b0502020002020204"/>
    <w:charset w:val="00"/>
    <w:family w:val="swiss"/>
    <w:pitch w:val="variable"/>
    <w:sig w:usb0="00000287" w:usb1="00000000" w:usb2="00000000" w:usb3="00000000" w:csb0="0000009F" w:csb1="00000000"/>
  </w:font>
  <w:font w:name="Times New Roman Bold">
    <w:altName w:val="Times New Roman"/>
    <w:panose1 w:val="00000000000000000000"/>
    <w:charset w:val="00"/>
    <w:family w:val="auto"/>
    <w:pitch w:val="variable"/>
    <w:sig w:usb0="00000000" w:usb1="C0007841" w:usb2="00000009" w:usb3="00000000" w:csb0="000001FF" w:csb1="00000000"/>
  </w:font>
  <w:font w:name="Arial Unicode MS">
    <w:altName w:val="Arial Unicode MS"/>
    <w:panose1 w:val="020b0604020002020204"/>
    <w:charset w:val="00"/>
    <w:family w:val="auto"/>
    <w:pitch w:val="variable"/>
    <w:sig w:usb0="F7FFAFFF" w:usb1="E9DFFFFF" w:usb2="0000003F" w:usb3="00000000" w:csb0="003F01FF" w:csb1="00000000"/>
  </w:font>
  <w:font w:name="Century Schoolbook">
    <w:altName w:val="Century Schoolbook"/>
    <w:panose1 w:val="02040604050005020304"/>
    <w:charset w:val="00"/>
    <w:family w:val="roman"/>
    <w:pitch w:val="variable"/>
    <w:sig w:usb0="00000287" w:usb1="00000000" w:usb2="00000000" w:usb3="00000000" w:csb0="0000009F" w:csb1="00000000"/>
  </w:font>
  <w:font w:name="Tahoma">
    <w:altName w:val="Tahoma"/>
    <w:panose1 w:val="020b0604030005040204"/>
    <w:charset w:val="00"/>
    <w:family w:val="swiss"/>
    <w:pitch w:val="variable"/>
    <w:sig w:usb0="E1002EFF" w:usb1="C000605B" w:usb2="00000029" w:usb3="00000000" w:csb0="000101FF" w:csb1="00000000"/>
  </w:font>
  <w:font w:name="MS Mincho">
    <w:altName w:val="ＭＳ 明朝"/>
    <w:panose1 w:val="02020609040002080304"/>
    <w:charset w:val="80"/>
    <w:family w:val="modern"/>
    <w:pitch w:val="fixed"/>
    <w:sig w:usb0="E00002FF" w:usb1="6AC7FDFB" w:usb2="08000012" w:usb3="00000000" w:csb0="0002009F" w:csb1="00000000"/>
  </w:font>
  <w:font w:name="Cambria">
    <w:altName w:val="Cambria"/>
    <w:panose1 w:val="02040503050004030204"/>
    <w:charset w:val="00"/>
    <w:family w:val="roman"/>
    <w:pitch w:val="variable"/>
    <w:sig w:usb0="E00006FF" w:usb1="400004FF" w:usb2="00000000" w:usb3="00000000" w:csb0="0000019F" w:csb1="00000000"/>
  </w:font>
  <w:font w:name="Univers (W1)">
    <w:altName w:val="Arial"/>
    <w:panose1 w:val="00000000000000000000"/>
    <w:charset w:val="00"/>
    <w:family w:val="swiss"/>
    <w:pitch w:val="variable"/>
    <w:sig w:usb0="00000003" w:usb1="00000000" w:usb2="00000000" w:usb3="00000000" w:csb0="00000001" w:csb1="00000000"/>
  </w:font>
  <w:font w:name="Calibri Light">
    <w:altName w:val="Calibri Light"/>
    <w:panose1 w:val="020f0302020002030204"/>
    <w:charset w:val="00"/>
    <w:family w:val="swiss"/>
    <w:pitch w:val="variable"/>
    <w:sig w:usb0="E0002AFF" w:usb1="C000247B" w:usb2="00000009" w:usb3="00000000" w:csb0="000001FF" w:csb1="00000000"/>
  </w:font>
  <w:font w:name="Arial Narrow">
    <w:altName w:val="Arial Narrow"/>
    <w:panose1 w:val="020b0606020002030204"/>
    <w:charset w:val="00"/>
    <w:family w:val="swiss"/>
    <w:pitch w:val="variable"/>
    <w:sig w:usb0="00000287" w:usb1="00000800" w:usb2="00000000" w:usb3="00000000" w:csb0="0000009F" w:csb1="00000000"/>
  </w:font>
  <w:font w:name="Microsoft JhengHei">
    <w:altName w:val="Microsoft JhengHei"/>
    <w:panose1 w:val="020b0604030005040204"/>
    <w:charset w:val="88"/>
    <w:family w:val="swiss"/>
    <w:pitch w:val="variable"/>
    <w:sig w:usb0="000002A7" w:usb1="28CF4400" w:usb2="00000016" w:usb3="00000000" w:csb0="00100009" w:csb1="00000000"/>
  </w:font>
  <w:font w:name="Helvetica">
    <w:altName w:val="Helvetica"/>
    <w:panose1 w:val="020b0604020002020204"/>
    <w:charset w:val="00"/>
    <w:family w:val="auto"/>
    <w:pitch w:val="variable"/>
    <w:sig w:usb0="E00002FF" w:usb1="5000785B" w:usb2="00000000" w:usb3="00000000" w:csb0="0000019F" w:csb1="00000000"/>
  </w:font>
  <w:font w:name="Batang">
    <w:altName w:val="바탕"/>
    <w:panose1 w:val="02030600000001010101"/>
    <w:charset w:val="81"/>
    <w:family w:val="roman"/>
    <w:pitch w:val="variable"/>
    <w:sig w:usb0="B00002AF" w:usb1="69D77CFB" w:usb2="00000030" w:usb3="00000000" w:csb0="0008009F" w:csb1="00000000"/>
  </w:font>
  <w:font w:name="TimesNewRomanPSMT">
    <w:altName w:val="TimesNewRomanPSMT"/>
    <w:panose1 w:val="00000000000000000000"/>
    <w:charset w:val="00"/>
    <w:family w:val="auto"/>
    <w:pitch w:val="variable"/>
    <w:sig w:usb0="E0002AEF" w:usb1="C0007841" w:usb2="00000009" w:usb3="00000000" w:csb0="000001F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pBdr>
        <w:top w:val="single" w:sz="4" w:space="1" w:color="auto"/>
      </w:pBdr>
      <w:shd w:val="clear" w:color="auto" w:fill="bfbfbf"/>
      <w:jc w:val="center"/>
      <w:rPr/>
    </w:pPr>
    <w:r>
      <w:t xml:space="preserve">Page </w:t>
    </w:r>
    <w:r>
      <w:rPr>
        <w:b/>
        <w:bCs/>
      </w:rPr>
      <w:fldChar w:fldCharType="begin"/>
    </w:r>
    <w:r>
      <w:rPr>
        <w:b/>
        <w:bCs/>
      </w:rPr>
      <w:instrText xml:space="preserve"> PAGE </w:instrText>
    </w:r>
    <w:r>
      <w:rPr>
        <w:b/>
        <w:bCs/>
      </w:rPr>
      <w:fldChar w:fldCharType="separate"/>
    </w:r>
    <w:r>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139</w:t>
    </w:r>
    <w:r>
      <w:rPr>
        <w:b/>
        <w:bCs/>
      </w:rPr>
      <w:fldChar w:fldCharType="end"/>
    </w:r>
  </w:p>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47</w:t>
    </w:r>
    <w:r>
      <w:rPr>
        <w:noProof/>
      </w:rPr>
      <w:fldChar w:fldCharType="end"/>
    </w:r>
  </w:p>
  <w:p>
    <w:pPr>
      <w:pStyle w:val="style0"/>
      <w:jc w:val="center"/>
      <w:rPr>
        <w:sz w:val="22"/>
      </w:rPr>
    </w:pP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68</w:t>
    </w:r>
    <w:r>
      <w:rPr>
        <w:noProof/>
      </w:rPr>
      <w:fldChar w:fldCharType="end"/>
    </w:r>
  </w:p>
  <w:p>
    <w:pPr>
      <w:pStyle w:val="style0"/>
      <w:jc w:val="center"/>
      <w:rPr>
        <w:sz w:val="22"/>
      </w:rPr>
    </w:pP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framePr w:wrap="around" w:hAnchor="margin" w:vAnchor="text" w:xAlign="right" w:y="1"/>
      <w:rPr>
        <w:rStyle w:val="style41"/>
        <w:rFonts w:eastAsia="Calibri"/>
      </w:rPr>
    </w:pPr>
    <w:r>
      <w:rPr>
        <w:rStyle w:val="style41"/>
        <w:rFonts w:eastAsia="Calibri"/>
      </w:rPr>
      <w:fldChar w:fldCharType="begin"/>
    </w:r>
    <w:r>
      <w:rPr>
        <w:rStyle w:val="style41"/>
        <w:rFonts w:eastAsia="Calibri"/>
      </w:rPr>
      <w:instrText xml:space="preserve">PAGE  </w:instrText>
    </w:r>
    <w:r>
      <w:rPr>
        <w:rStyle w:val="style41"/>
        <w:rFonts w:eastAsia="Calibri"/>
      </w:rPr>
      <w:fldChar w:fldCharType="end"/>
    </w:r>
  </w:p>
  <w:p>
    <w:pPr>
      <w:pStyle w:val="style32"/>
      <w:ind w:right="360" w:firstLine="360"/>
      <w:rPr>
        <w:szCs w:val="20"/>
      </w:rPr>
    </w:pP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framePr w:wrap="around" w:hAnchor="margin" w:vAnchor="text" w:xAlign="right" w:y="1"/>
      <w:rPr>
        <w:rStyle w:val="style41"/>
        <w:rFonts w:eastAsia="Calibri"/>
      </w:rPr>
    </w:pPr>
    <w:r>
      <w:rPr>
        <w:rStyle w:val="style41"/>
        <w:rFonts w:eastAsia="Calibri"/>
      </w:rPr>
      <w:fldChar w:fldCharType="begin"/>
    </w:r>
    <w:r>
      <w:rPr>
        <w:rStyle w:val="style41"/>
        <w:rFonts w:eastAsia="Calibri"/>
      </w:rPr>
      <w:instrText xml:space="preserve">PAGE  </w:instrText>
    </w:r>
    <w:r>
      <w:rPr>
        <w:rStyle w:val="style41"/>
        <w:rFonts w:eastAsia="Calibri"/>
      </w:rPr>
      <w:fldChar w:fldCharType="separate"/>
    </w:r>
    <w:r>
      <w:rPr>
        <w:rStyle w:val="style41"/>
        <w:rFonts w:eastAsia="Calibri"/>
        <w:noProof/>
      </w:rPr>
      <w:t>122</w:t>
    </w:r>
    <w:r>
      <w:rPr>
        <w:rStyle w:val="style41"/>
        <w:rFonts w:eastAsia="Calibri"/>
      </w:rPr>
      <w:fldChar w:fldCharType="end"/>
    </w:r>
  </w:p>
  <w:p>
    <w:pPr>
      <w:pStyle w:val="style32"/>
      <w:ind w:right="360"/>
      <w:jc w:val="right"/>
      <w:rPr>
        <w:sz w:val="23"/>
        <w:szCs w:val="23"/>
      </w:rP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footnote w:id="1">
    <w:p>
      <w:pPr>
        <w:pStyle w:val="style29"/>
        <w:rPr/>
      </w:pPr>
      <w:r>
        <w:rPr>
          <w:rStyle w:val="style38"/>
        </w:rPr>
        <w:footnoteRef/>
      </w:r>
      <w:r>
        <w:t xml:space="preserve"> Estimation 2017</w:t>
      </w:r>
    </w:p>
  </w:footnote>
  <w:footnote w:id="2">
    <w:p>
      <w:pPr>
        <w:pStyle w:val="style29"/>
        <w:rPr/>
      </w:pPr>
      <w:r>
        <w:rPr>
          <w:rStyle w:val="style38"/>
        </w:rPr>
        <w:footnoteRef/>
      </w:r>
      <w:r>
        <w:t xml:space="preserve"> </w:t>
      </w:r>
      <w:r>
        <w:t>Composition non figée et à adapter selon les circonstances du terrain</w:t>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pBdr>
        <w:bottom w:val="single" w:sz="6" w:space="1" w:color="auto"/>
      </w:pBdr>
      <w:tabs>
        <w:tab w:val="clear" w:pos="9072"/>
      </w:tabs>
      <w:rPr>
        <w:sz w:val="20"/>
      </w:rPr>
    </w:pPr>
    <w:r>
      <w:rPr>
        <w:sz w:val="20"/>
      </w:rPr>
      <w:fldChar w:fldCharType="begin"/>
    </w:r>
    <w:r>
      <w:rPr>
        <w:sz w:val="20"/>
      </w:rPr>
      <w:instrText xml:space="preserve"> PAGE  \* MERGEFORMAT </w:instrText>
    </w:r>
    <w:r>
      <w:rPr>
        <w:sz w:val="20"/>
      </w:rPr>
      <w:fldChar w:fldCharType="separate"/>
    </w:r>
    <w:r>
      <w:rPr>
        <w:noProof/>
        <w:sz w:val="20"/>
      </w:rPr>
      <w:t>36</w:t>
    </w:r>
    <w:r>
      <w:rPr>
        <w:sz w:val="20"/>
      </w:rPr>
      <w:fldChar w:fldCharType="end"/>
    </w:r>
    <w:r>
      <w:rPr>
        <w:sz w:val="20"/>
      </w:rPr>
      <w:tab/>
    </w:r>
    <w:r>
      <w:rPr>
        <w:rStyle w:val="style41"/>
        <w:sz w:val="20"/>
      </w:rPr>
      <w:t>Section 3. Proposition technique - Tableaux types</w:t>
    </w:r>
  </w:p>
  <w:p>
    <w:pPr>
      <w:pStyle w:val="style31"/>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pBdr>
        <w:bottom w:val="single" w:sz="4" w:space="1" w:color="auto"/>
      </w:pBdr>
      <w:shd w:val="clear" w:color="auto" w:fill="808080"/>
      <w:jc w:val="center"/>
      <w:rPr/>
    </w:pPr>
  </w:p>
  <w:p>
    <w:pPr>
      <w:pStyle w:val="style31"/>
      <w:rPr/>
    </w:pPr>
  </w:p>
</w:hdr>
</file>

<file path=word/header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framePr w:wrap="around" w:hAnchor="margin" w:vAnchor="text" w:xAlign="right" w:y="1"/>
      <w:rPr>
        <w:rStyle w:val="style41"/>
      </w:rPr>
    </w:pPr>
    <w:r>
      <w:rPr>
        <w:rStyle w:val="style41"/>
      </w:rPr>
      <w:fldChar w:fldCharType="begin"/>
    </w:r>
    <w:r>
      <w:rPr>
        <w:rStyle w:val="style41"/>
      </w:rPr>
      <w:instrText xml:space="preserve">PAGE  </w:instrText>
    </w:r>
    <w:r>
      <w:rPr>
        <w:rStyle w:val="style41"/>
      </w:rPr>
      <w:fldChar w:fldCharType="end"/>
    </w:r>
  </w:p>
  <w:p>
    <w:pPr>
      <w:pStyle w:val="style31"/>
      <w:ind w:right="360"/>
      <w:rPr/>
    </w:pPr>
  </w:p>
  <w:p>
    <w:pPr>
      <w:pStyle w:val="style0"/>
      <w:rPr/>
    </w:pPr>
  </w:p>
</w:hdr>
</file>

<file path=word/header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1"/>
      <w:framePr w:wrap="around" w:hAnchor="margin" w:vAnchor="text" w:xAlign="right" w:y="1"/>
      <w:rPr>
        <w:rStyle w:val="style41"/>
      </w:rPr>
    </w:pPr>
    <w:r>
      <w:rPr>
        <w:rStyle w:val="style41"/>
      </w:rPr>
      <w:fldChar w:fldCharType="begin"/>
    </w:r>
    <w:r>
      <w:rPr>
        <w:rStyle w:val="style41"/>
      </w:rPr>
      <w:instrText xml:space="preserve">PAGE  </w:instrText>
    </w:r>
    <w:r>
      <w:rPr>
        <w:rStyle w:val="style41"/>
      </w:rPr>
      <w:fldChar w:fldCharType="separate"/>
    </w:r>
    <w:r>
      <w:rPr>
        <w:rStyle w:val="style41"/>
        <w:noProof/>
      </w:rPr>
      <w:t>122</w:t>
    </w:r>
    <w:r>
      <w:rPr>
        <w:rStyle w:val="style41"/>
      </w:rPr>
      <w:fldChar w:fldCharType="end"/>
    </w:r>
  </w:p>
  <w:p>
    <w:pPr>
      <w:pStyle w:val="style31"/>
      <w:ind w:right="360"/>
      <w:rPr/>
    </w:pPr>
  </w:p>
  <w:p>
    <w:pPr>
      <w:pStyle w:val="style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381A9D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0000001"/>
    <w:multiLevelType w:val="hybridMultilevel"/>
    <w:tmpl w:val="BE1E1BDA"/>
    <w:lvl w:ilvl="0" w:tplc="A964DBD4">
      <w:start w:val="1"/>
      <w:numFmt w:val="bullet"/>
      <w:lvlText w:val="-"/>
      <w:lvlJc w:val="left"/>
      <w:pPr>
        <w:ind w:left="720" w:hanging="360"/>
      </w:pPr>
      <w:rPr>
        <w:rFonts w:ascii="Times New Roman" w:cs="Times New Roman" w:hAnsi="Times New Roman"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49FCE0C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cs="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cs="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cs="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0000003"/>
    <w:multiLevelType w:val="hybridMultilevel"/>
    <w:tmpl w:val="8A00C8E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cs="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cs="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cs="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0000004"/>
    <w:multiLevelType w:val="hybridMultilevel"/>
    <w:tmpl w:val="3FECC29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4308E0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061CCBD0"/>
    <w:lvl w:ilvl="0" w:tplc="CD1A0C5C">
      <w:start w:val="1"/>
      <w:numFmt w:val="bullet"/>
      <w:lvlText w:val="-"/>
      <w:lvlJc w:val="left"/>
      <w:pPr>
        <w:ind w:left="720" w:hanging="360"/>
      </w:pPr>
      <w:rPr>
        <w:rFonts w:ascii="Garamond" w:cs="Times New Roman" w:eastAsia="Calibri" w:hAnsi="Garamond" w:hint="default"/>
        <w:sz w:val="28"/>
      </w:rPr>
    </w:lvl>
    <w:lvl w:ilvl="1" w:tplc="7E18DF4E" w:tentative="1">
      <w:start w:val="1"/>
      <w:numFmt w:val="bullet"/>
      <w:lvlText w:val="o"/>
      <w:lvlJc w:val="left"/>
      <w:pPr>
        <w:ind w:left="1440" w:hanging="360"/>
      </w:pPr>
      <w:rPr>
        <w:rFonts w:ascii="Courier New" w:cs="Courier New" w:hAnsi="Courier New" w:hint="default"/>
      </w:rPr>
    </w:lvl>
    <w:lvl w:ilvl="2" w:tplc="38AEE97C" w:tentative="1">
      <w:start w:val="1"/>
      <w:numFmt w:val="bullet"/>
      <w:lvlText w:val=""/>
      <w:lvlJc w:val="left"/>
      <w:pPr>
        <w:ind w:left="2160" w:hanging="360"/>
      </w:pPr>
      <w:rPr>
        <w:rFonts w:ascii="Wingdings" w:hAnsi="Wingdings" w:hint="default"/>
      </w:rPr>
    </w:lvl>
    <w:lvl w:ilvl="3" w:tplc="EA6849FE" w:tentative="1">
      <w:start w:val="1"/>
      <w:numFmt w:val="bullet"/>
      <w:lvlText w:val=""/>
      <w:lvlJc w:val="left"/>
      <w:pPr>
        <w:ind w:left="2880" w:hanging="360"/>
      </w:pPr>
      <w:rPr>
        <w:rFonts w:ascii="Symbol" w:hAnsi="Symbol" w:hint="default"/>
      </w:rPr>
    </w:lvl>
    <w:lvl w:ilvl="4" w:tplc="0C42C22C" w:tentative="1">
      <w:start w:val="1"/>
      <w:numFmt w:val="bullet"/>
      <w:lvlText w:val="o"/>
      <w:lvlJc w:val="left"/>
      <w:pPr>
        <w:ind w:left="3600" w:hanging="360"/>
      </w:pPr>
      <w:rPr>
        <w:rFonts w:ascii="Courier New" w:cs="Courier New" w:hAnsi="Courier New" w:hint="default"/>
      </w:rPr>
    </w:lvl>
    <w:lvl w:ilvl="5" w:tplc="959028D4" w:tentative="1">
      <w:start w:val="1"/>
      <w:numFmt w:val="bullet"/>
      <w:lvlText w:val=""/>
      <w:lvlJc w:val="left"/>
      <w:pPr>
        <w:ind w:left="4320" w:hanging="360"/>
      </w:pPr>
      <w:rPr>
        <w:rFonts w:ascii="Wingdings" w:hAnsi="Wingdings" w:hint="default"/>
      </w:rPr>
    </w:lvl>
    <w:lvl w:ilvl="6" w:tplc="BF64E87C" w:tentative="1">
      <w:start w:val="1"/>
      <w:numFmt w:val="bullet"/>
      <w:lvlText w:val=""/>
      <w:lvlJc w:val="left"/>
      <w:pPr>
        <w:ind w:left="5040" w:hanging="360"/>
      </w:pPr>
      <w:rPr>
        <w:rFonts w:ascii="Symbol" w:hAnsi="Symbol" w:hint="default"/>
      </w:rPr>
    </w:lvl>
    <w:lvl w:ilvl="7" w:tplc="94D66CD4" w:tentative="1">
      <w:start w:val="1"/>
      <w:numFmt w:val="bullet"/>
      <w:lvlText w:val="o"/>
      <w:lvlJc w:val="left"/>
      <w:pPr>
        <w:ind w:left="5760" w:hanging="360"/>
      </w:pPr>
      <w:rPr>
        <w:rFonts w:ascii="Courier New" w:cs="Courier New" w:hAnsi="Courier New" w:hint="default"/>
      </w:rPr>
    </w:lvl>
    <w:lvl w:ilvl="8" w:tplc="69AECBDC"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63425014"/>
    <w:lvl w:ilvl="0" w:tplc="0ADA9980">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cs="Courier New" w:hAnsi="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cs="Courier New" w:hAnsi="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cs="Courier New" w:hAnsi="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8">
    <w:nsid w:val="00000008"/>
    <w:multiLevelType w:val="hybridMultilevel"/>
    <w:tmpl w:val="1112619A"/>
    <w:lvl w:ilvl="0" w:tplc="CE484C36">
      <w:start w:val="1"/>
      <w:numFmt w:val="bullet"/>
      <w:lvlText w:val="-"/>
      <w:lvlJc w:val="left"/>
      <w:pPr>
        <w:ind w:left="720" w:hanging="360"/>
      </w:pPr>
      <w:rPr>
        <w:rFonts w:ascii="Times New Roman" w:cs="Times New Roman" w:eastAsia="Calibri" w:hAnsi="Times New Roman"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75BC2C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CBA632FE"/>
    <w:lvl w:ilvl="0" w:tplc="040C000D">
      <w:start w:val="7"/>
      <w:numFmt w:val="bullet"/>
      <w:lvlText w:val="-"/>
      <w:lvlJc w:val="left"/>
      <w:pPr>
        <w:tabs>
          <w:tab w:val="left" w:leader="none" w:pos="720"/>
        </w:tabs>
        <w:ind w:left="720" w:hanging="360"/>
      </w:pPr>
      <w:rPr>
        <w:rFonts w:ascii="Times New Roman" w:cs="Times New Roman" w:eastAsia="Times New Roman" w:hAnsi="Times New Roman" w:hint="default"/>
      </w:rPr>
    </w:lvl>
    <w:lvl w:ilvl="1" w:tplc="040C0003" w:tentative="1">
      <w:start w:val="1"/>
      <w:numFmt w:val="bullet"/>
      <w:lvlText w:val="o"/>
      <w:lvlJc w:val="left"/>
      <w:pPr>
        <w:tabs>
          <w:tab w:val="left" w:leader="none" w:pos="1440"/>
        </w:tabs>
        <w:ind w:left="1440" w:hanging="360"/>
      </w:pPr>
      <w:rPr>
        <w:rFonts w:ascii="Courier New" w:cs="Courier New" w:hAnsi="Courier New"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11">
    <w:nsid w:val="0000000B"/>
    <w:multiLevelType w:val="multilevel"/>
    <w:tmpl w:val="92540DCE"/>
    <w:lvl w:ilvl="0">
      <w:start w:val="5"/>
      <w:numFmt w:val="decimal"/>
      <w:lvlText w:val="%1."/>
      <w:lvlJc w:val="left"/>
      <w:pPr>
        <w:ind w:left="860" w:hanging="860"/>
      </w:pPr>
      <w:rPr>
        <w:rFonts w:hint="default"/>
      </w:rPr>
    </w:lvl>
    <w:lvl w:ilvl="1">
      <w:start w:val="2"/>
      <w:numFmt w:val="decimal"/>
      <w:pStyle w:val="style2"/>
      <w:lvlText w:val="%1.%2."/>
      <w:lvlJc w:val="left"/>
      <w:pPr>
        <w:ind w:left="860" w:hanging="860"/>
      </w:pPr>
      <w:rPr>
        <w:rFonts w:hint="default"/>
      </w:rPr>
    </w:lvl>
    <w:lvl w:ilvl="2">
      <w:start w:val="2"/>
      <w:numFmt w:val="decimal"/>
      <w:lvlText w:val="%1.%2.%3."/>
      <w:lvlJc w:val="left"/>
      <w:pPr>
        <w:ind w:left="860" w:hanging="860"/>
      </w:pPr>
      <w:rPr>
        <w:rFonts w:hint="default"/>
      </w:rPr>
    </w:lvl>
    <w:lvl w:ilvl="3">
      <w:start w:val="2"/>
      <w:numFmt w:val="decimal"/>
      <w:pStyle w:val="style4"/>
      <w:lvlText w:val="%1.%2.%3.%4."/>
      <w:lvlJc w:val="left"/>
      <w:pPr>
        <w:ind w:left="860" w:hanging="86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000000C"/>
    <w:multiLevelType w:val="hybridMultilevel"/>
    <w:tmpl w:val="A522BC88"/>
    <w:lvl w:ilvl="0" w:tplc="04090005">
      <w:start w:val="1"/>
      <w:numFmt w:val="bullet"/>
      <w:lvlText w:val=""/>
      <w:lvlJc w:val="left"/>
      <w:pPr>
        <w:tabs>
          <w:tab w:val="left" w:leader="none" w:pos="720"/>
        </w:tabs>
        <w:ind w:left="720" w:hanging="360"/>
      </w:pPr>
      <w:rPr>
        <w:rFonts w:ascii="Symbol" w:hAnsi="Symbol" w:hint="default"/>
      </w:rPr>
    </w:lvl>
    <w:lvl w:ilvl="1" w:tplc="040C0003">
      <w:start w:val="1"/>
      <w:numFmt w:val="bullet"/>
      <w:lvlText w:val=""/>
      <w:lvlJc w:val="left"/>
      <w:pPr>
        <w:tabs>
          <w:tab w:val="left" w:leader="none" w:pos="1440"/>
        </w:tabs>
        <w:ind w:left="1440" w:hanging="360"/>
      </w:pPr>
      <w:rPr>
        <w:rFonts w:ascii="Wingdings" w:hAnsi="Wingdings"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13">
    <w:nsid w:val="0000000D"/>
    <w:multiLevelType w:val="hybridMultilevel"/>
    <w:tmpl w:val="EBC4846E"/>
    <w:lvl w:ilvl="0">
      <w:start w:val="1"/>
      <w:numFmt w:val="bullet"/>
      <w:lvlText w:val="-"/>
      <w:lvlJc w:val="left"/>
      <w:pPr>
        <w:ind w:left="720" w:hanging="360"/>
      </w:pPr>
      <w:rPr>
        <w:rFonts w:ascii="Times New Roman" w:cs="Times New Roman" w:eastAsia="Times New Roman"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B00A1B7E"/>
    <w:lvl w:ilvl="0" w:tplc="040C000D">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cs="Courier New" w:hAnsi="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cs="Courier New" w:hAnsi="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cs="Courier New" w:hAnsi="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5">
    <w:nsid w:val="0000000F"/>
    <w:multiLevelType w:val="hybridMultilevel"/>
    <w:tmpl w:val="DF148CF4"/>
    <w:lvl w:ilvl="0" w:tplc="B2CCCC12">
      <w:start w:val="1"/>
      <w:numFmt w:val="bullet"/>
      <w:lvlText w:val="-"/>
      <w:lvlJc w:val="center"/>
      <w:pPr>
        <w:ind w:left="719" w:hanging="360"/>
      </w:pPr>
      <w:rPr>
        <w:rFonts w:ascii="Times New Roman" w:cs="Times New Roman" w:hAnsi="Times New Roman" w:hint="default"/>
      </w:rPr>
    </w:lvl>
    <w:lvl w:ilvl="1" w:tplc="040C0003" w:tentative="1">
      <w:start w:val="1"/>
      <w:numFmt w:val="bullet"/>
      <w:lvlText w:val="o"/>
      <w:lvlJc w:val="left"/>
      <w:pPr>
        <w:ind w:left="1439" w:hanging="360"/>
      </w:pPr>
      <w:rPr>
        <w:rFonts w:ascii="Courier New" w:cs="Courier New" w:hAnsi="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cs="Courier New" w:hAnsi="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cs="Courier New" w:hAnsi="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6">
    <w:nsid w:val="00000010"/>
    <w:multiLevelType w:val="multilevel"/>
    <w:tmpl w:val="BE541958"/>
    <w:lvl w:ilvl="0">
      <w:start w:val="1"/>
      <w:numFmt w:val="upperLetter"/>
      <w:pStyle w:val="style4124"/>
      <w:lvlText w:val="%1."/>
      <w:lvlJc w:val="left"/>
      <w:pPr>
        <w:tabs>
          <w:tab w:val="left" w:leader="none" w:pos="360"/>
        </w:tabs>
        <w:ind w:left="360" w:hanging="360"/>
      </w:pPr>
      <w:rPr>
        <w:rFonts w:hint="default"/>
      </w:rPr>
    </w:lvl>
    <w:lvl w:ilvl="1">
      <w:start w:val="1"/>
      <w:numFmt w:val="decimal"/>
      <w:pStyle w:val="style4123"/>
      <w:lvlText w:val="%2."/>
      <w:lvlJc w:val="left"/>
      <w:pPr>
        <w:tabs>
          <w:tab w:val="left" w:leader="none" w:pos="360"/>
        </w:tabs>
        <w:ind w:left="0" w:firstLine="0"/>
      </w:pPr>
      <w:rPr>
        <w:rFonts w:hint="default"/>
      </w:rPr>
    </w:lvl>
    <w:lvl w:ilvl="2">
      <w:start w:val="1"/>
      <w:numFmt w:val="decimal"/>
      <w:lvlText w:val="%1.%2.%3."/>
      <w:lvlJc w:val="left"/>
      <w:pPr>
        <w:tabs>
          <w:tab w:val="left" w:leader="none" w:pos="1440"/>
        </w:tabs>
        <w:ind w:left="1224" w:hanging="504"/>
      </w:pPr>
      <w:rPr>
        <w:rFonts w:hint="default"/>
      </w:rPr>
    </w:lvl>
    <w:lvl w:ilvl="3">
      <w:start w:val="1"/>
      <w:numFmt w:val="decimal"/>
      <w:lvlText w:val="%1.%2.%3.%4."/>
      <w:lvlJc w:val="left"/>
      <w:pPr>
        <w:tabs>
          <w:tab w:val="left" w:leader="none" w:pos="1800"/>
        </w:tabs>
        <w:ind w:left="1728" w:hanging="648"/>
      </w:pPr>
      <w:rPr>
        <w:rFonts w:hint="default"/>
      </w:rPr>
    </w:lvl>
    <w:lvl w:ilvl="4">
      <w:start w:val="1"/>
      <w:numFmt w:val="decimal"/>
      <w:lvlText w:val="%1.%2.%3.%4.%5."/>
      <w:lvlJc w:val="left"/>
      <w:pPr>
        <w:tabs>
          <w:tab w:val="left" w:leader="none" w:pos="2520"/>
        </w:tabs>
        <w:ind w:left="2232" w:hanging="792"/>
      </w:pPr>
      <w:rPr>
        <w:rFonts w:hint="default"/>
      </w:rPr>
    </w:lvl>
    <w:lvl w:ilvl="5">
      <w:start w:val="1"/>
      <w:numFmt w:val="decimal"/>
      <w:lvlText w:val="%1.%2.%3.%4.%5.%6."/>
      <w:lvlJc w:val="left"/>
      <w:pPr>
        <w:tabs>
          <w:tab w:val="left" w:leader="none" w:pos="2880"/>
        </w:tabs>
        <w:ind w:left="2736" w:hanging="936"/>
      </w:pPr>
      <w:rPr>
        <w:rFonts w:hint="default"/>
      </w:rPr>
    </w:lvl>
    <w:lvl w:ilvl="6">
      <w:start w:val="1"/>
      <w:numFmt w:val="decimal"/>
      <w:lvlText w:val="%1.%2.%3.%4.%5.%6.%7."/>
      <w:lvlJc w:val="left"/>
      <w:pPr>
        <w:tabs>
          <w:tab w:val="left" w:leader="none" w:pos="3600"/>
        </w:tabs>
        <w:ind w:left="3240" w:hanging="1080"/>
      </w:pPr>
      <w:rPr>
        <w:rFonts w:hint="default"/>
      </w:rPr>
    </w:lvl>
    <w:lvl w:ilvl="7">
      <w:start w:val="1"/>
      <w:numFmt w:val="decimal"/>
      <w:lvlText w:val="%1.%2.%3.%4.%5.%6.%7.%8."/>
      <w:lvlJc w:val="left"/>
      <w:pPr>
        <w:tabs>
          <w:tab w:val="left" w:leader="none" w:pos="3960"/>
        </w:tabs>
        <w:ind w:left="3744" w:hanging="1224"/>
      </w:pPr>
      <w:rPr>
        <w:rFonts w:hint="default"/>
      </w:rPr>
    </w:lvl>
    <w:lvl w:ilvl="8">
      <w:start w:val="1"/>
      <w:numFmt w:val="decimal"/>
      <w:lvlText w:val="%1.%2.%3.%4.%5.%6.%7.%8.%9."/>
      <w:lvlJc w:val="left"/>
      <w:pPr>
        <w:tabs>
          <w:tab w:val="left" w:leader="none" w:pos="4680"/>
        </w:tabs>
        <w:ind w:left="4320" w:hanging="1440"/>
      </w:pPr>
      <w:rPr>
        <w:rFonts w:hint="default"/>
      </w:rPr>
    </w:lvl>
  </w:abstractNum>
  <w:abstractNum w:abstractNumId="17">
    <w:nsid w:val="00000011"/>
    <w:multiLevelType w:val="hybridMultilevel"/>
    <w:tmpl w:val="9A3C6A90"/>
    <w:lvl w:ilvl="0" w:tplc="23B41462">
      <w:start w:val="1"/>
      <w:numFmt w:val="bullet"/>
      <w:lvlText w:val=""/>
      <w:lvlJc w:val="left"/>
      <w:pPr>
        <w:ind w:left="720" w:hanging="360"/>
      </w:pPr>
      <w:rPr>
        <w:rFonts w:ascii="Wingdings" w:hAnsi="Wingdings" w:hint="default"/>
      </w:rPr>
    </w:lvl>
    <w:lvl w:ilvl="1" w:tplc="7038731C" w:tentative="1">
      <w:start w:val="1"/>
      <w:numFmt w:val="bullet"/>
      <w:lvlText w:val="o"/>
      <w:lvlJc w:val="left"/>
      <w:pPr>
        <w:ind w:left="1440" w:hanging="360"/>
      </w:pPr>
      <w:rPr>
        <w:rFonts w:ascii="Courier New" w:cs="Courier New" w:hAnsi="Courier New" w:hint="default"/>
      </w:rPr>
    </w:lvl>
    <w:lvl w:ilvl="2" w:tplc="54D01C58" w:tentative="1">
      <w:start w:val="1"/>
      <w:numFmt w:val="bullet"/>
      <w:lvlText w:val=""/>
      <w:lvlJc w:val="left"/>
      <w:pPr>
        <w:ind w:left="2160" w:hanging="360"/>
      </w:pPr>
      <w:rPr>
        <w:rFonts w:ascii="Wingdings" w:hAnsi="Wingdings" w:hint="default"/>
      </w:rPr>
    </w:lvl>
    <w:lvl w:ilvl="3" w:tplc="ACF00A80" w:tentative="1">
      <w:start w:val="1"/>
      <w:numFmt w:val="bullet"/>
      <w:lvlText w:val=""/>
      <w:lvlJc w:val="left"/>
      <w:pPr>
        <w:ind w:left="2880" w:hanging="360"/>
      </w:pPr>
      <w:rPr>
        <w:rFonts w:ascii="Symbol" w:hAnsi="Symbol" w:hint="default"/>
      </w:rPr>
    </w:lvl>
    <w:lvl w:ilvl="4" w:tplc="480C6A32" w:tentative="1">
      <w:start w:val="1"/>
      <w:numFmt w:val="bullet"/>
      <w:lvlText w:val="o"/>
      <w:lvlJc w:val="left"/>
      <w:pPr>
        <w:ind w:left="3600" w:hanging="360"/>
      </w:pPr>
      <w:rPr>
        <w:rFonts w:ascii="Courier New" w:cs="Courier New" w:hAnsi="Courier New" w:hint="default"/>
      </w:rPr>
    </w:lvl>
    <w:lvl w:ilvl="5" w:tplc="A0FEDCAC" w:tentative="1">
      <w:start w:val="1"/>
      <w:numFmt w:val="bullet"/>
      <w:lvlText w:val=""/>
      <w:lvlJc w:val="left"/>
      <w:pPr>
        <w:ind w:left="4320" w:hanging="360"/>
      </w:pPr>
      <w:rPr>
        <w:rFonts w:ascii="Wingdings" w:hAnsi="Wingdings" w:hint="default"/>
      </w:rPr>
    </w:lvl>
    <w:lvl w:ilvl="6" w:tplc="6F301F54" w:tentative="1">
      <w:start w:val="1"/>
      <w:numFmt w:val="bullet"/>
      <w:lvlText w:val=""/>
      <w:lvlJc w:val="left"/>
      <w:pPr>
        <w:ind w:left="5040" w:hanging="360"/>
      </w:pPr>
      <w:rPr>
        <w:rFonts w:ascii="Symbol" w:hAnsi="Symbol" w:hint="default"/>
      </w:rPr>
    </w:lvl>
    <w:lvl w:ilvl="7" w:tplc="399806F0" w:tentative="1">
      <w:start w:val="1"/>
      <w:numFmt w:val="bullet"/>
      <w:lvlText w:val="o"/>
      <w:lvlJc w:val="left"/>
      <w:pPr>
        <w:ind w:left="5760" w:hanging="360"/>
      </w:pPr>
      <w:rPr>
        <w:rFonts w:ascii="Courier New" w:cs="Courier New" w:hAnsi="Courier New" w:hint="default"/>
      </w:rPr>
    </w:lvl>
    <w:lvl w:ilvl="8" w:tplc="6002894A" w:tentative="1">
      <w:start w:val="1"/>
      <w:numFmt w:val="bullet"/>
      <w:lvlText w:val=""/>
      <w:lvlJc w:val="left"/>
      <w:pPr>
        <w:ind w:left="6480" w:hanging="360"/>
      </w:pPr>
      <w:rPr>
        <w:rFonts w:ascii="Wingdings" w:hAnsi="Wingdings" w:hint="default"/>
      </w:rPr>
    </w:lvl>
  </w:abstractNum>
  <w:abstractNum w:abstractNumId="18">
    <w:nsid w:val="00000012"/>
    <w:multiLevelType w:val="multilevel"/>
    <w:tmpl w:val="415E1CBE"/>
    <w:lvl w:ilvl="0">
      <w:start w:val="1"/>
      <w:numFmt w:val="decimal"/>
      <w:lvlText w:val="%1."/>
      <w:lvlJc w:val="left"/>
      <w:pPr>
        <w:ind w:left="720" w:hanging="360"/>
      </w:pPr>
      <w:rPr>
        <w:rFonts w:hint="default"/>
        <w:b/>
        <w:sz w:val="22"/>
        <w:szCs w:val="22"/>
      </w:rPr>
    </w:lvl>
    <w:lvl w:ilvl="1">
      <w:start w:val="1"/>
      <w:numFmt w:val="decimal"/>
      <w:isLgl/>
      <w:lvlText w:val="%1.%2."/>
      <w:lvlJc w:val="left"/>
      <w:pPr>
        <w:ind w:left="720" w:hanging="360"/>
      </w:pPr>
      <w:rPr>
        <w:rFonts w:hint="default"/>
        <w:b/>
        <w:i w:val="false"/>
      </w:rPr>
    </w:lvl>
    <w:lvl w:ilvl="2">
      <w:start w:val="1"/>
      <w:numFmt w:val="decimal"/>
      <w:isLgl/>
      <w:lvlText w:val="%1.%2.%3."/>
      <w:lvlJc w:val="left"/>
      <w:pPr>
        <w:ind w:left="1080" w:hanging="720"/>
      </w:pPr>
      <w:rPr>
        <w:rFonts w:ascii="Times New Roman" w:cs="Times New Roman" w:hAnsi="Times New Roman" w:hint="default"/>
        <w:b w:val="false"/>
        <w:i w:val="false"/>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00000013"/>
    <w:multiLevelType w:val="hybridMultilevel"/>
    <w:tmpl w:val="C8C22D68"/>
    <w:lvl w:ilvl="0" w:tplc="040C000D">
      <w:start w:val="1"/>
      <w:numFmt w:val="bullet"/>
      <w:lvlText w:val=""/>
      <w:lvlJc w:val="left"/>
      <w:pPr>
        <w:ind w:left="700" w:hanging="360"/>
      </w:pPr>
      <w:rPr>
        <w:rFonts w:ascii="Wingdings" w:hAnsi="Wingdings" w:hint="default"/>
      </w:rPr>
    </w:lvl>
    <w:lvl w:ilvl="1" w:tplc="040C0003" w:tentative="1">
      <w:start w:val="1"/>
      <w:numFmt w:val="bullet"/>
      <w:lvlText w:val="o"/>
      <w:lvlJc w:val="left"/>
      <w:pPr>
        <w:ind w:left="1420" w:hanging="360"/>
      </w:pPr>
      <w:rPr>
        <w:rFonts w:ascii="Courier New" w:cs="Courier New" w:hAnsi="Courier New" w:hint="default"/>
      </w:rPr>
    </w:lvl>
    <w:lvl w:ilvl="2" w:tplc="040C0005" w:tentative="1">
      <w:start w:val="1"/>
      <w:numFmt w:val="bullet"/>
      <w:lvlText w:val=""/>
      <w:lvlJc w:val="left"/>
      <w:pPr>
        <w:ind w:left="2140" w:hanging="360"/>
      </w:pPr>
      <w:rPr>
        <w:rFonts w:ascii="Wingdings" w:hAnsi="Wingdings" w:hint="default"/>
      </w:rPr>
    </w:lvl>
    <w:lvl w:ilvl="3" w:tplc="040C0001" w:tentative="1">
      <w:start w:val="1"/>
      <w:numFmt w:val="bullet"/>
      <w:lvlText w:val=""/>
      <w:lvlJc w:val="left"/>
      <w:pPr>
        <w:ind w:left="2860" w:hanging="360"/>
      </w:pPr>
      <w:rPr>
        <w:rFonts w:ascii="Symbol" w:hAnsi="Symbol" w:hint="default"/>
      </w:rPr>
    </w:lvl>
    <w:lvl w:ilvl="4" w:tplc="040C0003" w:tentative="1">
      <w:start w:val="1"/>
      <w:numFmt w:val="bullet"/>
      <w:lvlText w:val="o"/>
      <w:lvlJc w:val="left"/>
      <w:pPr>
        <w:ind w:left="3580" w:hanging="360"/>
      </w:pPr>
      <w:rPr>
        <w:rFonts w:ascii="Courier New" w:cs="Courier New" w:hAnsi="Courier New" w:hint="default"/>
      </w:rPr>
    </w:lvl>
    <w:lvl w:ilvl="5" w:tplc="040C0005" w:tentative="1">
      <w:start w:val="1"/>
      <w:numFmt w:val="bullet"/>
      <w:lvlText w:val=""/>
      <w:lvlJc w:val="left"/>
      <w:pPr>
        <w:ind w:left="4300" w:hanging="360"/>
      </w:pPr>
      <w:rPr>
        <w:rFonts w:ascii="Wingdings" w:hAnsi="Wingdings" w:hint="default"/>
      </w:rPr>
    </w:lvl>
    <w:lvl w:ilvl="6" w:tplc="040C0001" w:tentative="1">
      <w:start w:val="1"/>
      <w:numFmt w:val="bullet"/>
      <w:lvlText w:val=""/>
      <w:lvlJc w:val="left"/>
      <w:pPr>
        <w:ind w:left="5020" w:hanging="360"/>
      </w:pPr>
      <w:rPr>
        <w:rFonts w:ascii="Symbol" w:hAnsi="Symbol" w:hint="default"/>
      </w:rPr>
    </w:lvl>
    <w:lvl w:ilvl="7" w:tplc="040C0003" w:tentative="1">
      <w:start w:val="1"/>
      <w:numFmt w:val="bullet"/>
      <w:lvlText w:val="o"/>
      <w:lvlJc w:val="left"/>
      <w:pPr>
        <w:ind w:left="5740" w:hanging="360"/>
      </w:pPr>
      <w:rPr>
        <w:rFonts w:ascii="Courier New" w:cs="Courier New" w:hAnsi="Courier New" w:hint="default"/>
      </w:rPr>
    </w:lvl>
    <w:lvl w:ilvl="8" w:tplc="040C0005" w:tentative="1">
      <w:start w:val="1"/>
      <w:numFmt w:val="bullet"/>
      <w:lvlText w:val=""/>
      <w:lvlJc w:val="left"/>
      <w:pPr>
        <w:ind w:left="6460" w:hanging="360"/>
      </w:pPr>
      <w:rPr>
        <w:rFonts w:ascii="Wingdings" w:hAnsi="Wingdings" w:hint="default"/>
      </w:rPr>
    </w:lvl>
  </w:abstractNum>
  <w:abstractNum w:abstractNumId="20">
    <w:nsid w:val="00000014"/>
    <w:multiLevelType w:val="multilevel"/>
    <w:tmpl w:val="D16479FA"/>
    <w:lvl w:ilvl="0">
      <w:start w:val="1"/>
      <w:numFmt w:val="upperRoman"/>
      <w:pStyle w:val="style4118"/>
      <w:lvlText w:val="%1."/>
      <w:lvlJc w:val="right"/>
      <w:pPr>
        <w:tabs>
          <w:tab w:val="left" w:leader="none" w:pos="432"/>
        </w:tabs>
        <w:ind w:left="432" w:hanging="432"/>
      </w:pPr>
    </w:lvl>
    <w:lvl w:ilvl="1">
      <w:start w:val="1"/>
      <w:numFmt w:val="upperLetter"/>
      <w:pStyle w:val="style4119"/>
      <w:lvlText w:val="%2."/>
      <w:lvlJc w:val="left"/>
      <w:pPr>
        <w:tabs>
          <w:tab w:val="left" w:leader="none" w:pos="1152"/>
        </w:tabs>
        <w:ind w:left="1152" w:hanging="576"/>
      </w:pPr>
    </w:lvl>
    <w:lvl w:ilvl="2">
      <w:start w:val="1"/>
      <w:numFmt w:val="decimal"/>
      <w:pStyle w:val="style4120"/>
      <w:lvlText w:val="%3."/>
      <w:lvlJc w:val="left"/>
      <w:pPr>
        <w:tabs>
          <w:tab w:val="left" w:leader="none" w:pos="1728"/>
        </w:tabs>
        <w:ind w:left="1728" w:hanging="432"/>
      </w:pPr>
    </w:lvl>
    <w:lvl w:ilvl="3">
      <w:start w:val="1"/>
      <w:numFmt w:val="lowerLetter"/>
      <w:pStyle w:val="style4121"/>
      <w:lvlText w:val="%4)"/>
      <w:lvlJc w:val="left"/>
      <w:pPr>
        <w:tabs>
          <w:tab w:val="left" w:leader="none" w:pos="2304"/>
        </w:tabs>
        <w:ind w:left="2304" w:hanging="576"/>
      </w:pPr>
    </w:lvl>
    <w:lvl w:ilvl="4">
      <w:start w:val="1"/>
      <w:numFmt w:val="decimal"/>
      <w:lvlText w:val="(%5)"/>
      <w:lvlJc w:val="left"/>
      <w:pPr>
        <w:tabs>
          <w:tab w:val="left" w:leader="none" w:pos="3240"/>
        </w:tabs>
        <w:ind w:left="2880" w:firstLine="0"/>
      </w:pPr>
    </w:lvl>
    <w:lvl w:ilvl="5">
      <w:start w:val="1"/>
      <w:numFmt w:val="lowerLetter"/>
      <w:lvlText w:val="(%6)"/>
      <w:lvlJc w:val="left"/>
      <w:pPr>
        <w:tabs>
          <w:tab w:val="left" w:leader="none" w:pos="3960"/>
        </w:tabs>
        <w:ind w:left="3600" w:firstLine="0"/>
      </w:pPr>
    </w:lvl>
    <w:lvl w:ilvl="6">
      <w:start w:val="1"/>
      <w:numFmt w:val="lowerRoman"/>
      <w:lvlText w:val="(%7)"/>
      <w:lvlJc w:val="left"/>
      <w:pPr>
        <w:tabs>
          <w:tab w:val="left" w:leader="none" w:pos="4680"/>
        </w:tabs>
        <w:ind w:left="4320" w:firstLine="0"/>
      </w:pPr>
    </w:lvl>
    <w:lvl w:ilvl="7">
      <w:start w:val="1"/>
      <w:numFmt w:val="lowerLetter"/>
      <w:lvlText w:val="(%8)"/>
      <w:lvlJc w:val="left"/>
      <w:pPr>
        <w:tabs>
          <w:tab w:val="left" w:leader="none" w:pos="5400"/>
        </w:tabs>
        <w:ind w:left="5040" w:firstLine="0"/>
      </w:pPr>
    </w:lvl>
    <w:lvl w:ilvl="8">
      <w:start w:val="1"/>
      <w:numFmt w:val="lowerRoman"/>
      <w:lvlText w:val="(%9)"/>
      <w:lvlJc w:val="left"/>
      <w:pPr>
        <w:tabs>
          <w:tab w:val="left" w:leader="none" w:pos="6120"/>
        </w:tabs>
        <w:ind w:left="5760" w:firstLine="0"/>
      </w:pPr>
    </w:lvl>
  </w:abstractNum>
  <w:abstractNum w:abstractNumId="21">
    <w:nsid w:val="00000015"/>
    <w:multiLevelType w:val="hybridMultilevel"/>
    <w:tmpl w:val="8D7EA18E"/>
    <w:lvl w:ilvl="0" w:tplc="04090001">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cs="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cs="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cs="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nsid w:val="00000016"/>
    <w:multiLevelType w:val="hybridMultilevel"/>
    <w:tmpl w:val="BD2607E6"/>
    <w:lvl w:ilvl="0" w:tplc="1EDC22D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EF1E144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00000018"/>
    <w:multiLevelType w:val="hybridMultilevel"/>
    <w:tmpl w:val="A3707464"/>
    <w:lvl w:ilvl="0" w:tplc="040C0001">
      <w:start w:val="1"/>
      <w:numFmt w:val="bullet"/>
      <w:lvlText w:val=""/>
      <w:lvlJc w:val="left"/>
      <w:pPr>
        <w:tabs>
          <w:tab w:val="left" w:leader="none" w:pos="720"/>
        </w:tabs>
        <w:ind w:left="720" w:hanging="360"/>
      </w:pPr>
      <w:rPr>
        <w:rFonts w:ascii="Symbol" w:hAnsi="Symbol" w:hint="default"/>
      </w:rPr>
    </w:lvl>
    <w:lvl w:ilvl="1" w:tplc="040C0003">
      <w:start w:val="1"/>
      <w:numFmt w:val="bullet"/>
      <w:lvlText w:val="-"/>
      <w:lvlJc w:val="left"/>
      <w:pPr>
        <w:tabs>
          <w:tab w:val="left" w:leader="none" w:pos="1440"/>
        </w:tabs>
        <w:ind w:left="1440" w:hanging="360"/>
      </w:pPr>
      <w:rPr>
        <w:rFonts w:ascii="Arial" w:cs="Arial" w:eastAsia="SimSun" w:hAnsi="Arial"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25">
    <w:nsid w:val="00000019"/>
    <w:multiLevelType w:val="multilevel"/>
    <w:tmpl w:val="2708CE5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0000001A"/>
    <w:multiLevelType w:val="hybridMultilevel"/>
    <w:tmpl w:val="0042437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0000001B"/>
    <w:multiLevelType w:val="hybridMultilevel"/>
    <w:tmpl w:val="3E3CC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601A1A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1E1C8A4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0000001E"/>
    <w:multiLevelType w:val="singleLevel"/>
    <w:tmpl w:val="A7EEDD90"/>
    <w:lvl w:ilvl="0">
      <w:start w:val="1"/>
      <w:numFmt w:val="bullet"/>
      <w:pStyle w:val="style4108"/>
      <w:lvlText w:val=""/>
      <w:lvlJc w:val="left"/>
      <w:pPr>
        <w:tabs>
          <w:tab w:val="left" w:leader="none" w:pos="360"/>
        </w:tabs>
        <w:ind w:left="360" w:hanging="360"/>
      </w:pPr>
      <w:rPr>
        <w:rFonts w:ascii="Wingdings" w:hAnsi="Wingdings" w:hint="default"/>
      </w:rPr>
    </w:lvl>
  </w:abstractNum>
  <w:abstractNum w:abstractNumId="31">
    <w:nsid w:val="0000001F"/>
    <w:multiLevelType w:val="multilevel"/>
    <w:tmpl w:val="A07661DE"/>
    <w:lvl w:ilvl="0">
      <w:start w:val="1"/>
      <w:numFmt w:val="decimal"/>
      <w:pStyle w:val="style1"/>
      <w:lvlText w:val="%1."/>
      <w:lvlJc w:val="left"/>
      <w:pPr>
        <w:tabs>
          <w:tab w:val="left" w:leader="none" w:pos="1080"/>
        </w:tabs>
        <w:ind w:left="720" w:firstLine="0"/>
      </w:pPr>
      <w:rPr>
        <w:rFonts w:hint="default"/>
        <w:sz w:val="28"/>
      </w:rPr>
    </w:lvl>
    <w:lvl w:ilvl="1">
      <w:start w:val="1"/>
      <w:numFmt w:val="upperLetter"/>
      <w:lvlText w:val="%2."/>
      <w:lvlJc w:val="left"/>
      <w:pPr>
        <w:tabs>
          <w:tab w:val="left" w:leader="none" w:pos="1800"/>
        </w:tabs>
        <w:ind w:left="1440" w:firstLine="0"/>
      </w:pPr>
      <w:rPr>
        <w:rFonts w:hint="default"/>
      </w:rPr>
    </w:lvl>
    <w:lvl w:ilvl="2">
      <w:start w:val="1"/>
      <w:numFmt w:val="decimal"/>
      <w:lvlText w:val="%3."/>
      <w:lvlJc w:val="left"/>
      <w:pPr>
        <w:tabs>
          <w:tab w:val="left" w:leader="none" w:pos="2520"/>
        </w:tabs>
        <w:ind w:left="2160" w:firstLine="0"/>
      </w:pPr>
      <w:rPr>
        <w:rFonts w:hint="default"/>
      </w:rPr>
    </w:lvl>
    <w:lvl w:ilvl="3">
      <w:start w:val="1"/>
      <w:numFmt w:val="lowerLetter"/>
      <w:lvlText w:val="%4)"/>
      <w:lvlJc w:val="left"/>
      <w:pPr>
        <w:tabs>
          <w:tab w:val="left" w:leader="none" w:pos="3240"/>
        </w:tabs>
        <w:ind w:left="2880" w:firstLine="0"/>
      </w:pPr>
      <w:rPr>
        <w:rFonts w:hint="default"/>
      </w:rPr>
    </w:lvl>
    <w:lvl w:ilvl="4">
      <w:start w:val="1"/>
      <w:numFmt w:val="decimal"/>
      <w:pStyle w:val="style5"/>
      <w:lvlText w:val="(%5)"/>
      <w:lvlJc w:val="left"/>
      <w:pPr>
        <w:tabs>
          <w:tab w:val="left" w:leader="none" w:pos="3960"/>
        </w:tabs>
        <w:ind w:left="3600" w:firstLine="0"/>
      </w:pPr>
      <w:rPr>
        <w:rFonts w:hint="default"/>
      </w:rPr>
    </w:lvl>
    <w:lvl w:ilvl="5">
      <w:start w:val="1"/>
      <w:numFmt w:val="lowerLetter"/>
      <w:pStyle w:val="style6"/>
      <w:lvlText w:val="(%6)"/>
      <w:lvlJc w:val="left"/>
      <w:pPr>
        <w:tabs>
          <w:tab w:val="left" w:leader="none" w:pos="4680"/>
        </w:tabs>
        <w:ind w:left="4320" w:firstLine="0"/>
      </w:pPr>
      <w:rPr>
        <w:rFonts w:hint="default"/>
      </w:rPr>
    </w:lvl>
    <w:lvl w:ilvl="6">
      <w:start w:val="1"/>
      <w:numFmt w:val="lowerRoman"/>
      <w:pStyle w:val="style7"/>
      <w:lvlText w:val="(%7)"/>
      <w:lvlJc w:val="left"/>
      <w:pPr>
        <w:tabs>
          <w:tab w:val="left" w:leader="none" w:pos="5400"/>
        </w:tabs>
        <w:ind w:left="5040" w:firstLine="0"/>
      </w:pPr>
      <w:rPr>
        <w:rFonts w:hint="default"/>
      </w:rPr>
    </w:lvl>
    <w:lvl w:ilvl="7">
      <w:start w:val="1"/>
      <w:numFmt w:val="lowerLetter"/>
      <w:pStyle w:val="style8"/>
      <w:lvlText w:val="(%8)"/>
      <w:lvlJc w:val="left"/>
      <w:pPr>
        <w:tabs>
          <w:tab w:val="left" w:leader="none" w:pos="6120"/>
        </w:tabs>
        <w:ind w:left="5760" w:firstLine="0"/>
      </w:pPr>
      <w:rPr>
        <w:rFonts w:hint="default"/>
      </w:rPr>
    </w:lvl>
    <w:lvl w:ilvl="8">
      <w:start w:val="1"/>
      <w:numFmt w:val="lowerRoman"/>
      <w:pStyle w:val="style9"/>
      <w:lvlText w:val="(%9)"/>
      <w:lvlJc w:val="left"/>
      <w:pPr>
        <w:tabs>
          <w:tab w:val="left" w:leader="none" w:pos="6840"/>
        </w:tabs>
        <w:ind w:left="6480" w:firstLine="0"/>
      </w:pPr>
      <w:rPr>
        <w:rFonts w:hint="default"/>
      </w:rPr>
    </w:lvl>
  </w:abstractNum>
  <w:abstractNum w:abstractNumId="32">
    <w:nsid w:val="00000020"/>
    <w:multiLevelType w:val="hybridMultilevel"/>
    <w:tmpl w:val="31D8B1D6"/>
    <w:lvl w:ilvl="0" w:tplc="1AD60D56">
      <w:start w:val="1"/>
      <w:numFmt w:val="bullet"/>
      <w:lvlText w:val="-"/>
      <w:lvlJc w:val="left"/>
      <w:pPr>
        <w:ind w:left="360" w:hanging="360"/>
      </w:pPr>
      <w:rPr>
        <w:rFonts w:ascii="Calibri" w:cs="Times New Roman" w:eastAsia="Calibri" w:hAnsi="Calibri" w:hint="default"/>
        <w:b/>
        <w:color w:val="auto"/>
      </w:rPr>
    </w:lvl>
    <w:lvl w:ilvl="1" w:tplc="040C0003" w:tentative="1">
      <w:start w:val="1"/>
      <w:numFmt w:val="bullet"/>
      <w:lvlText w:val="o"/>
      <w:lvlJc w:val="left"/>
      <w:pPr>
        <w:ind w:left="1080" w:hanging="360"/>
      </w:pPr>
      <w:rPr>
        <w:rFonts w:ascii="Courier New" w:cs="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cs="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cs="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00000021"/>
    <w:multiLevelType w:val="hybridMultilevel"/>
    <w:tmpl w:val="0D4C8294"/>
    <w:lvl w:ilvl="0">
      <w:start w:val="1"/>
      <w:numFmt w:val="decimal"/>
      <w:pStyle w:val="style4195"/>
      <w:lvlText w:val="Tableau n° %1 :"/>
      <w:lvlJc w:val="left"/>
      <w:pPr>
        <w:tabs>
          <w:tab w:val="left" w:leader="none" w:pos="800"/>
        </w:tabs>
        <w:ind w:left="800" w:hanging="360"/>
      </w:pPr>
      <w:rPr>
        <w:rFonts w:ascii="Arial Gras" w:hAnsi="Arial Gras" w:hint="default"/>
        <w:b/>
        <w:i w:val="false"/>
        <w:sz w:val="20"/>
        <w:szCs w:val="20"/>
        <w:u w:val="single"/>
      </w:rPr>
    </w:lvl>
    <w:lvl w:ilvl="1">
      <w:start w:val="1"/>
      <w:numFmt w:val="bullet"/>
      <w:lvlText w:val=""/>
      <w:lvlJc w:val="left"/>
      <w:pPr>
        <w:tabs>
          <w:tab w:val="left" w:leader="none" w:pos="1440"/>
        </w:tabs>
        <w:ind w:left="1440" w:hanging="360"/>
      </w:pPr>
      <w:rPr>
        <w:rFonts w:ascii="Symbol" w:hAnsi="Symbol" w:hint="default"/>
        <w:b w:val="false"/>
        <w:i w:val="false"/>
        <w:sz w:val="20"/>
      </w:rPr>
    </w:lvl>
    <w:lvl w:ilvl="2" w:tentative="1">
      <w:start w:val="1"/>
      <w:numFmt w:val="lowerRoman"/>
      <w:lvlText w:val="%3."/>
      <w:lvlJc w:val="right"/>
      <w:pPr>
        <w:tabs>
          <w:tab w:val="left" w:leader="none" w:pos="2160"/>
        </w:tabs>
        <w:ind w:left="2160" w:hanging="180"/>
      </w:pPr>
    </w:lvl>
    <w:lvl w:ilvl="3" w:tentative="1">
      <w:start w:val="1"/>
      <w:numFmt w:val="decimal"/>
      <w:lvlText w:val="%4."/>
      <w:lvlJc w:val="left"/>
      <w:pPr>
        <w:tabs>
          <w:tab w:val="left" w:leader="none" w:pos="2880"/>
        </w:tabs>
        <w:ind w:left="2880" w:hanging="360"/>
      </w:pPr>
    </w:lvl>
    <w:lvl w:ilvl="4" w:tentative="1">
      <w:start w:val="1"/>
      <w:numFmt w:val="lowerLetter"/>
      <w:lvlText w:val="%5."/>
      <w:lvlJc w:val="left"/>
      <w:pPr>
        <w:tabs>
          <w:tab w:val="left" w:leader="none" w:pos="3600"/>
        </w:tabs>
        <w:ind w:left="3600" w:hanging="360"/>
      </w:pPr>
    </w:lvl>
    <w:lvl w:ilvl="5" w:tentative="1">
      <w:start w:val="1"/>
      <w:numFmt w:val="lowerRoman"/>
      <w:lvlText w:val="%6."/>
      <w:lvlJc w:val="right"/>
      <w:pPr>
        <w:tabs>
          <w:tab w:val="left" w:leader="none" w:pos="4320"/>
        </w:tabs>
        <w:ind w:left="4320" w:hanging="180"/>
      </w:pPr>
    </w:lvl>
    <w:lvl w:ilvl="6" w:tentative="1">
      <w:start w:val="1"/>
      <w:numFmt w:val="decimal"/>
      <w:lvlText w:val="%7."/>
      <w:lvlJc w:val="left"/>
      <w:pPr>
        <w:tabs>
          <w:tab w:val="left" w:leader="none" w:pos="5040"/>
        </w:tabs>
        <w:ind w:left="5040" w:hanging="360"/>
      </w:pPr>
    </w:lvl>
    <w:lvl w:ilvl="7" w:tentative="1">
      <w:start w:val="1"/>
      <w:numFmt w:val="lowerLetter"/>
      <w:lvlText w:val="%8."/>
      <w:lvlJc w:val="left"/>
      <w:pPr>
        <w:tabs>
          <w:tab w:val="left" w:leader="none" w:pos="5760"/>
        </w:tabs>
        <w:ind w:left="5760" w:hanging="360"/>
      </w:pPr>
    </w:lvl>
    <w:lvl w:ilvl="8" w:tentative="1">
      <w:start w:val="1"/>
      <w:numFmt w:val="lowerRoman"/>
      <w:lvlText w:val="%9."/>
      <w:lvlJc w:val="right"/>
      <w:pPr>
        <w:tabs>
          <w:tab w:val="left" w:leader="none" w:pos="6480"/>
        </w:tabs>
        <w:ind w:left="6480" w:hanging="180"/>
      </w:pPr>
    </w:lvl>
  </w:abstractNum>
  <w:abstractNum w:abstractNumId="34">
    <w:nsid w:val="00000022"/>
    <w:multiLevelType w:val="hybridMultilevel"/>
    <w:tmpl w:val="1CCE51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00000023"/>
    <w:multiLevelType w:val="singleLevel"/>
    <w:tmpl w:val="2408C6A2"/>
    <w:lvl w:ilvl="0">
      <w:start w:val="1"/>
      <w:numFmt w:val="bullet"/>
      <w:pStyle w:val="style54"/>
      <w:lvlText w:val=""/>
      <w:lvlJc w:val="left"/>
      <w:pPr>
        <w:tabs>
          <w:tab w:val="left" w:leader="none" w:pos="643"/>
        </w:tabs>
        <w:ind w:left="643" w:hanging="360"/>
      </w:pPr>
      <w:rPr>
        <w:rFonts w:ascii="Symbol" w:hAnsi="Symbol" w:hint="default"/>
      </w:rPr>
    </w:lvl>
  </w:abstractNum>
  <w:abstractNum w:abstractNumId="36">
    <w:nsid w:val="00000024"/>
    <w:multiLevelType w:val="hybridMultilevel"/>
    <w:tmpl w:val="787455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F22E55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cs="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cs="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cs="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00000026"/>
    <w:multiLevelType w:val="hybridMultilevel"/>
    <w:tmpl w:val="76D42876"/>
    <w:lvl w:ilvl="0" w:tplc="D02A7522">
      <w:start w:val="2"/>
      <w:numFmt w:val="bullet"/>
      <w:pStyle w:val="style4139"/>
      <w:lvlText w:val="-"/>
      <w:lvlJc w:val="left"/>
      <w:pPr>
        <w:ind w:left="1080" w:hanging="360"/>
      </w:pPr>
      <w:rPr>
        <w:rFonts w:ascii="Times New Roman" w:cs="Times New Roman" w:eastAsia="Times New Roman" w:hAnsi="Times New Roman" w:hint="default"/>
      </w:rPr>
    </w:lvl>
    <w:lvl w:ilvl="1" w:tplc="040C0019" w:tentative="1">
      <w:start w:val="1"/>
      <w:numFmt w:val="bullet"/>
      <w:pStyle w:val="style4140"/>
      <w:lvlText w:val="o"/>
      <w:lvlJc w:val="left"/>
      <w:pPr>
        <w:ind w:left="1800" w:hanging="360"/>
      </w:pPr>
      <w:rPr>
        <w:rFonts w:ascii="Courier New" w:cs="Symbol" w:hAnsi="Courier New" w:hint="default"/>
      </w:rPr>
    </w:lvl>
    <w:lvl w:ilvl="2" w:tplc="040C001B" w:tentative="1">
      <w:start w:val="1"/>
      <w:numFmt w:val="bullet"/>
      <w:pStyle w:val="style4141"/>
      <w:lvlText w:val=""/>
      <w:lvlJc w:val="left"/>
      <w:pPr>
        <w:ind w:left="2520" w:hanging="360"/>
      </w:pPr>
      <w:rPr>
        <w:rFonts w:ascii="Wingdings" w:hAnsi="Wingdings" w:hint="default"/>
      </w:rPr>
    </w:lvl>
    <w:lvl w:ilvl="3" w:tplc="040C000F" w:tentative="1">
      <w:start w:val="1"/>
      <w:numFmt w:val="bullet"/>
      <w:pStyle w:val="style4142"/>
      <w:lvlText w:val=""/>
      <w:lvlJc w:val="left"/>
      <w:pPr>
        <w:ind w:left="3240" w:hanging="360"/>
      </w:pPr>
      <w:rPr>
        <w:rFonts w:ascii="Symbol" w:hAnsi="Symbol" w:hint="default"/>
      </w:rPr>
    </w:lvl>
    <w:lvl w:ilvl="4" w:tplc="040C0019" w:tentative="1">
      <w:start w:val="1"/>
      <w:numFmt w:val="bullet"/>
      <w:pStyle w:val="style4143"/>
      <w:lvlText w:val="o"/>
      <w:lvlJc w:val="left"/>
      <w:pPr>
        <w:ind w:left="3960" w:hanging="360"/>
      </w:pPr>
      <w:rPr>
        <w:rFonts w:ascii="Courier New" w:cs="Symbol" w:hAnsi="Courier New" w:hint="default"/>
      </w:rPr>
    </w:lvl>
    <w:lvl w:ilvl="5" w:tplc="040C001B" w:tentative="1">
      <w:start w:val="1"/>
      <w:numFmt w:val="bullet"/>
      <w:lvlText w:val=""/>
      <w:lvlJc w:val="left"/>
      <w:pPr>
        <w:ind w:left="4680" w:hanging="360"/>
      </w:pPr>
      <w:rPr>
        <w:rFonts w:ascii="Wingdings" w:hAnsi="Wingdings" w:hint="default"/>
      </w:rPr>
    </w:lvl>
    <w:lvl w:ilvl="6" w:tplc="040C000F" w:tentative="1">
      <w:start w:val="1"/>
      <w:numFmt w:val="bullet"/>
      <w:lvlText w:val=""/>
      <w:lvlJc w:val="left"/>
      <w:pPr>
        <w:ind w:left="5400" w:hanging="360"/>
      </w:pPr>
      <w:rPr>
        <w:rFonts w:ascii="Symbol" w:hAnsi="Symbol" w:hint="default"/>
      </w:rPr>
    </w:lvl>
    <w:lvl w:ilvl="7" w:tplc="040C0019" w:tentative="1">
      <w:start w:val="1"/>
      <w:numFmt w:val="bullet"/>
      <w:lvlText w:val="o"/>
      <w:lvlJc w:val="left"/>
      <w:pPr>
        <w:ind w:left="6120" w:hanging="360"/>
      </w:pPr>
      <w:rPr>
        <w:rFonts w:ascii="Courier New" w:cs="Symbol" w:hAnsi="Courier New" w:hint="default"/>
      </w:rPr>
    </w:lvl>
    <w:lvl w:ilvl="8" w:tplc="040C001B" w:tentative="1">
      <w:start w:val="1"/>
      <w:numFmt w:val="bullet"/>
      <w:lvlText w:val=""/>
      <w:lvlJc w:val="left"/>
      <w:pPr>
        <w:ind w:left="6840" w:hanging="360"/>
      </w:pPr>
      <w:rPr>
        <w:rFonts w:ascii="Wingdings" w:hAnsi="Wingdings" w:hint="default"/>
      </w:rPr>
    </w:lvl>
  </w:abstractNum>
  <w:abstractNum w:abstractNumId="39">
    <w:nsid w:val="00000027"/>
    <w:multiLevelType w:val="hybridMultilevel"/>
    <w:tmpl w:val="716A5A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00000028"/>
    <w:multiLevelType w:val="hybridMultilevel"/>
    <w:tmpl w:val="385C9F36"/>
    <w:lvl w:ilvl="0">
      <w:start w:val="1"/>
      <w:numFmt w:val="bullet"/>
      <w:lvlText w:val="-"/>
      <w:lvlJc w:val="left"/>
      <w:pPr>
        <w:tabs>
          <w:tab w:val="left" w:leader="none" w:pos="786"/>
        </w:tabs>
        <w:ind w:left="786" w:hanging="360"/>
      </w:pPr>
      <w:rPr>
        <w:rFonts w:ascii="Times New Roman" w:cs="Times New Roman" w:eastAsia="Times New Roman" w:hAnsi="Times New Roman" w:hint="default"/>
      </w:rPr>
    </w:lvl>
    <w:lvl w:ilvl="1" w:tplc="040C0003">
      <w:start w:val="1"/>
      <w:numFmt w:val="decimal"/>
      <w:lvlText w:val="%2."/>
      <w:lvlJc w:val="left"/>
      <w:pPr>
        <w:tabs>
          <w:tab w:val="left" w:leader="none" w:pos="1440"/>
        </w:tabs>
        <w:ind w:left="1440" w:hanging="360"/>
      </w:pPr>
    </w:lvl>
    <w:lvl w:ilvl="2" w:tplc="040C0005">
      <w:start w:val="1"/>
      <w:numFmt w:val="decimal"/>
      <w:lvlText w:val="%3."/>
      <w:lvlJc w:val="left"/>
      <w:pPr>
        <w:tabs>
          <w:tab w:val="left" w:leader="none" w:pos="2160"/>
        </w:tabs>
        <w:ind w:left="2160" w:hanging="360"/>
      </w:pPr>
    </w:lvl>
    <w:lvl w:ilvl="3" w:tplc="040C0001">
      <w:start w:val="1"/>
      <w:numFmt w:val="decimal"/>
      <w:lvlText w:val="%4."/>
      <w:lvlJc w:val="left"/>
      <w:pPr>
        <w:tabs>
          <w:tab w:val="left" w:leader="none" w:pos="2880"/>
        </w:tabs>
        <w:ind w:left="2880" w:hanging="360"/>
      </w:pPr>
    </w:lvl>
    <w:lvl w:ilvl="4" w:tplc="040C0003">
      <w:start w:val="1"/>
      <w:numFmt w:val="decimal"/>
      <w:lvlText w:val="%5."/>
      <w:lvlJc w:val="left"/>
      <w:pPr>
        <w:tabs>
          <w:tab w:val="left" w:leader="none" w:pos="3600"/>
        </w:tabs>
        <w:ind w:left="3600" w:hanging="360"/>
      </w:pPr>
    </w:lvl>
    <w:lvl w:ilvl="5" w:tplc="040C0005">
      <w:start w:val="1"/>
      <w:numFmt w:val="decimal"/>
      <w:lvlText w:val="%6."/>
      <w:lvlJc w:val="left"/>
      <w:pPr>
        <w:tabs>
          <w:tab w:val="left" w:leader="none" w:pos="4320"/>
        </w:tabs>
        <w:ind w:left="4320" w:hanging="360"/>
      </w:pPr>
    </w:lvl>
    <w:lvl w:ilvl="6" w:tplc="040C0001">
      <w:start w:val="1"/>
      <w:numFmt w:val="decimal"/>
      <w:lvlText w:val="%7."/>
      <w:lvlJc w:val="left"/>
      <w:pPr>
        <w:tabs>
          <w:tab w:val="left" w:leader="none" w:pos="5040"/>
        </w:tabs>
        <w:ind w:left="5040" w:hanging="360"/>
      </w:pPr>
    </w:lvl>
    <w:lvl w:ilvl="7" w:tplc="040C0003">
      <w:start w:val="1"/>
      <w:numFmt w:val="decimal"/>
      <w:lvlText w:val="%8."/>
      <w:lvlJc w:val="left"/>
      <w:pPr>
        <w:tabs>
          <w:tab w:val="left" w:leader="none" w:pos="5760"/>
        </w:tabs>
        <w:ind w:left="5760" w:hanging="360"/>
      </w:pPr>
    </w:lvl>
    <w:lvl w:ilvl="8" w:tplc="040C0005">
      <w:start w:val="1"/>
      <w:numFmt w:val="decimal"/>
      <w:lvlText w:val="%9."/>
      <w:lvlJc w:val="left"/>
      <w:pPr>
        <w:tabs>
          <w:tab w:val="left" w:leader="none" w:pos="6480"/>
        </w:tabs>
        <w:ind w:left="6480" w:hanging="360"/>
      </w:pPr>
    </w:lvl>
  </w:abstractNum>
  <w:abstractNum w:abstractNumId="41">
    <w:nsid w:val="00000029"/>
    <w:multiLevelType w:val="multilevel"/>
    <w:tmpl w:val="91C6FE64"/>
    <w:styleLink w:val="style4174"/>
    <w:lvl w:ilvl="0">
      <w:start w:val="1"/>
      <w:numFmt w:val="decimal"/>
      <w:lvlText w:val="%1."/>
      <w:lvlJc w:val="left"/>
      <w:pPr>
        <w:ind w:left="567" w:hanging="567"/>
      </w:pPr>
      <w:rPr>
        <w:b w:val="false"/>
        <w:bCs w:val="false"/>
        <w:i w:val="false"/>
        <w:iCs w:val="false"/>
        <w:caps w:val="false"/>
        <w:smallCaps w:val="false"/>
        <w:vanish w:val="false"/>
        <w:color w:val="000000"/>
        <w:spacing w:val="0"/>
        <w:kern w:val="0"/>
        <w:position w:val="0"/>
        <w:u w:val="none"/>
        <w:vertAlign w:val="baseline"/>
        <w:em w:val="none"/>
      </w:rPr>
    </w:lvl>
    <w:lvl w:ilvl="1">
      <w:start w:val="1"/>
      <w:numFmt w:val="lowerLetter"/>
      <w:lvlText w:val="(%2)"/>
      <w:lvlJc w:val="left"/>
      <w:pPr>
        <w:ind w:left="1844" w:hanging="567"/>
      </w:pPr>
      <w:rPr>
        <w:b w:val="false"/>
        <w:bCs w:val="false"/>
        <w:i w:val="false"/>
        <w:iCs w:val="false"/>
        <w:caps w:val="false"/>
        <w:smallCaps w:val="false"/>
        <w:vanish w:val="false"/>
        <w:color w:val="000000"/>
        <w:spacing w:val="0"/>
        <w:kern w:val="0"/>
        <w:position w:val="0"/>
        <w:u w:val="none"/>
        <w:vertAlign w:val="baseline"/>
        <w:em w:val="none"/>
      </w:rPr>
    </w:lvl>
    <w:lvl w:ilvl="2">
      <w:start w:val="1"/>
      <w:numFmt w:val="lowerRoman"/>
      <w:lvlText w:val="(%3)"/>
      <w:lvlJc w:val="left"/>
      <w:pPr>
        <w:ind w:left="2411" w:hanging="567"/>
      </w:pPr>
      <w:rPr>
        <w:b w:val="false"/>
        <w:bCs w:val="false"/>
        <w:i w:val="false"/>
        <w:iCs w:val="false"/>
        <w:caps w:val="false"/>
        <w:smallCaps w:val="false"/>
        <w:vanish w:val="false"/>
        <w:color w:val="000000"/>
        <w:spacing w:val="0"/>
        <w:kern w:val="0"/>
        <w:position w:val="0"/>
        <w:u w:val="none"/>
        <w:vertAlign w:val="baseline"/>
        <w:em w:val="none"/>
      </w:rPr>
    </w:lvl>
    <w:lvl w:ilvl="3">
      <w:start w:val="1"/>
      <w:numFmt w:val="bullet"/>
      <w:lvlText w:val="-"/>
      <w:lvlJc w:val="left"/>
      <w:pPr>
        <w:ind w:left="2695" w:hanging="284"/>
      </w:pPr>
      <w:rPr>
        <w:b w:val="false"/>
        <w:bCs w:val="false"/>
        <w:i w:val="false"/>
        <w:iCs w:val="false"/>
        <w:caps w:val="false"/>
        <w:smallCaps w:val="false"/>
        <w:vanish w:val="false"/>
        <w:color w:val="000000"/>
        <w:spacing w:val="0"/>
        <w:kern w:val="0"/>
        <w:position w:val="0"/>
        <w:u w:val="none"/>
        <w:vertAlign w:val="baseline"/>
        <w:em w:val="none"/>
      </w:rPr>
    </w:lvl>
    <w:lvl w:ilvl="4">
      <w:start w:val="1"/>
      <w:numFmt w:val="lowerLetter"/>
      <w:lvlText w:val="(%5)"/>
      <w:lvlJc w:val="left"/>
      <w:pPr>
        <w:ind w:left="2510" w:hanging="360"/>
      </w:pPr>
    </w:lvl>
    <w:lvl w:ilvl="5">
      <w:start w:val="1"/>
      <w:numFmt w:val="lowerRoman"/>
      <w:lvlText w:val="(%6)"/>
      <w:lvlJc w:val="left"/>
      <w:pPr>
        <w:ind w:left="2870" w:hanging="360"/>
      </w:pPr>
    </w:lvl>
    <w:lvl w:ilvl="6">
      <w:start w:val="1"/>
      <w:numFmt w:val="decimal"/>
      <w:lvlText w:val="%7."/>
      <w:lvlJc w:val="left"/>
      <w:pPr>
        <w:ind w:left="3230" w:hanging="360"/>
      </w:pPr>
    </w:lvl>
    <w:lvl w:ilvl="7">
      <w:start w:val="1"/>
      <w:numFmt w:val="lowerLetter"/>
      <w:lvlText w:val="%8."/>
      <w:lvlJc w:val="left"/>
      <w:pPr>
        <w:ind w:left="3590" w:hanging="360"/>
      </w:pPr>
    </w:lvl>
    <w:lvl w:ilvl="8">
      <w:start w:val="1"/>
      <w:numFmt w:val="lowerRoman"/>
      <w:lvlText w:val="%9."/>
      <w:lvlJc w:val="left"/>
      <w:pPr>
        <w:ind w:left="3950" w:hanging="360"/>
      </w:pPr>
    </w:lvl>
  </w:abstractNum>
  <w:abstractNum w:abstractNumId="42">
    <w:nsid w:val="0000002A"/>
    <w:multiLevelType w:val="hybridMultilevel"/>
    <w:tmpl w:val="23AE2EF4"/>
    <w:lvl w:ilvl="0" w:tplc="040C0009">
      <w:start w:val="1"/>
      <w:numFmt w:val="bullet"/>
      <w:lvlText w:val="-"/>
      <w:lvlJc w:val="left"/>
      <w:pPr>
        <w:ind w:left="360" w:hanging="360"/>
      </w:pPr>
      <w:rPr>
        <w:rFonts w:ascii="Arial" w:cs="Arial" w:eastAsia="SimSun" w:hAnsi="Arial" w:hint="default"/>
      </w:rPr>
    </w:lvl>
    <w:lvl w:ilvl="1" w:tplc="040C0003" w:tentative="1">
      <w:start w:val="1"/>
      <w:numFmt w:val="bullet"/>
      <w:lvlText w:val="o"/>
      <w:lvlJc w:val="left"/>
      <w:pPr>
        <w:ind w:left="1080" w:hanging="360"/>
      </w:pPr>
      <w:rPr>
        <w:rFonts w:ascii="Courier New" w:cs="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cs="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cs="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nsid w:val="0000002B"/>
    <w:multiLevelType w:val="hybridMultilevel"/>
    <w:tmpl w:val="5F1E65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0000002C"/>
    <w:multiLevelType w:val="multilevel"/>
    <w:tmpl w:val="EA72A68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0000002D"/>
    <w:multiLevelType w:val="hybridMultilevel"/>
    <w:tmpl w:val="CE9CF66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0000002E"/>
    <w:multiLevelType w:val="multilevel"/>
    <w:tmpl w:val="B12C64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0000002F"/>
    <w:multiLevelType w:val="singleLevel"/>
    <w:tmpl w:val="C84E015A"/>
    <w:lvl w:ilvl="0">
      <w:start w:val="1"/>
      <w:numFmt w:val="bullet"/>
      <w:pStyle w:val="style4097"/>
      <w:lvlText w:val=""/>
      <w:lvlJc w:val="left"/>
      <w:pPr>
        <w:tabs>
          <w:tab w:val="left" w:leader="none" w:pos="360"/>
        </w:tabs>
        <w:ind w:left="360" w:hanging="360"/>
      </w:pPr>
      <w:rPr>
        <w:rFonts w:ascii="Symbol" w:cs="Times New Roman" w:hAnsi="Symbol" w:hint="default"/>
        <w:sz w:val="18"/>
        <w:szCs w:val="18"/>
      </w:rPr>
    </w:lvl>
  </w:abstractNum>
  <w:abstractNum w:abstractNumId="48">
    <w:nsid w:val="00000030"/>
    <w:multiLevelType w:val="hybridMultilevel"/>
    <w:tmpl w:val="8A322DD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00000031"/>
    <w:multiLevelType w:val="hybridMultilevel"/>
    <w:tmpl w:val="3E584A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00000032"/>
    <w:multiLevelType w:val="hybridMultilevel"/>
    <w:tmpl w:val="E9E6DF18"/>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cs="Courier New" w:hAnsi="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cs="Courier New" w:hAnsi="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cs="Courier New" w:hAnsi="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51">
    <w:nsid w:val="00000033"/>
    <w:multiLevelType w:val="hybridMultilevel"/>
    <w:tmpl w:val="5A68B7D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00000034"/>
    <w:multiLevelType w:val="hybridMultilevel"/>
    <w:tmpl w:val="0CAC8C42"/>
    <w:lvl w:ilvl="0" w:tplc="6010BC9E">
      <w:start w:val="1"/>
      <w:numFmt w:val="bullet"/>
      <w:lvlText w:val="-"/>
      <w:lvlJc w:val="center"/>
      <w:pPr>
        <w:ind w:left="890" w:hanging="360"/>
      </w:pPr>
      <w:rPr>
        <w:rFonts w:ascii="Times New Roman" w:cs="Times New Roman" w:eastAsia="Calibri" w:hAnsi="Times New Roman" w:hint="default"/>
      </w:rPr>
    </w:lvl>
    <w:lvl w:ilvl="1" w:tplc="040C0003" w:tentative="1">
      <w:start w:val="1"/>
      <w:numFmt w:val="bullet"/>
      <w:lvlText w:val="o"/>
      <w:lvlJc w:val="left"/>
      <w:pPr>
        <w:ind w:left="1610" w:hanging="360"/>
      </w:pPr>
      <w:rPr>
        <w:rFonts w:ascii="Courier New" w:cs="Courier New" w:hAnsi="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cs="Courier New" w:hAnsi="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cs="Courier New" w:hAnsi="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53">
    <w:nsid w:val="00000035"/>
    <w:multiLevelType w:val="hybridMultilevel"/>
    <w:tmpl w:val="F446E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00000036"/>
    <w:multiLevelType w:val="hybridMultilevel"/>
    <w:tmpl w:val="98126B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5">
    <w:nsid w:val="00000037"/>
    <w:multiLevelType w:val="hybridMultilevel"/>
    <w:tmpl w:val="9D822406"/>
    <w:lvl w:ilvl="0" w:tplc="040C000F">
      <w:start w:val="1"/>
      <w:numFmt w:val="bullet"/>
      <w:lvlText w:val="-"/>
      <w:lvlJc w:val="left"/>
      <w:pPr>
        <w:ind w:left="720" w:hanging="360"/>
      </w:pPr>
      <w:rPr>
        <w:rFonts w:ascii="Garamond" w:cs="Times New Roman" w:eastAsia="Calibri" w:hAnsi="Garamond" w:hint="default"/>
        <w:sz w:val="28"/>
      </w:rPr>
    </w:lvl>
    <w:lvl w:ilvl="1" w:tplc="040C0019" w:tentative="1">
      <w:start w:val="1"/>
      <w:numFmt w:val="bullet"/>
      <w:lvlText w:val="o"/>
      <w:lvlJc w:val="left"/>
      <w:pPr>
        <w:ind w:left="1440" w:hanging="360"/>
      </w:pPr>
      <w:rPr>
        <w:rFonts w:ascii="Courier New" w:cs="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cs="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cs="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56">
    <w:nsid w:val="00000038"/>
    <w:multiLevelType w:val="hybridMultilevel"/>
    <w:tmpl w:val="63A0545A"/>
    <w:lvl w:ilvl="0" w:tplc="040C0001">
      <w:start w:val="1"/>
      <w:numFmt w:val="bullet"/>
      <w:lvlText w:val=""/>
      <w:lvlJc w:val="left"/>
      <w:pPr>
        <w:ind w:left="717" w:hanging="360"/>
      </w:pPr>
      <w:rPr>
        <w:rFonts w:ascii="Symbol" w:hAnsi="Symbol" w:hint="default"/>
      </w:rPr>
    </w:lvl>
    <w:lvl w:ilvl="1" w:tplc="040C0003" w:tentative="1">
      <w:start w:val="1"/>
      <w:numFmt w:val="bullet"/>
      <w:lvlText w:val="o"/>
      <w:lvlJc w:val="left"/>
      <w:pPr>
        <w:ind w:left="1437" w:hanging="360"/>
      </w:pPr>
      <w:rPr>
        <w:rFonts w:ascii="Courier New" w:cs="Courier New" w:hAnsi="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cs="Courier New" w:hAnsi="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cs="Courier New" w:hAnsi="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57">
    <w:nsid w:val="00000039"/>
    <w:multiLevelType w:val="hybridMultilevel"/>
    <w:tmpl w:val="6EA2AF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0000003A"/>
    <w:multiLevelType w:val="multilevel"/>
    <w:tmpl w:val="C2329048"/>
    <w:lvl w:ilvl="0">
      <w:start w:val="6"/>
      <w:numFmt w:val="decimal"/>
      <w:lvlText w:val="%1."/>
      <w:lvlJc w:val="left"/>
      <w:pPr>
        <w:ind w:left="660" w:hanging="660"/>
      </w:pPr>
      <w:rPr>
        <w:rFonts w:hint="default"/>
      </w:rPr>
    </w:lvl>
    <w:lvl w:ilvl="1">
      <w:start w:val="1"/>
      <w:numFmt w:val="decimal"/>
      <w:lvlText w:val="%1.%2."/>
      <w:lvlJc w:val="left"/>
      <w:pPr>
        <w:ind w:left="679" w:hanging="660"/>
      </w:pPr>
      <w:rPr>
        <w:rFonts w:hint="default"/>
      </w:rPr>
    </w:lvl>
    <w:lvl w:ilvl="2">
      <w:start w:val="1"/>
      <w:numFmt w:val="decimal"/>
      <w:lvlText w:val="%1.%2.%3."/>
      <w:lvlJc w:val="left"/>
      <w:pPr>
        <w:ind w:left="758" w:hanging="720"/>
      </w:pPr>
      <w:rPr>
        <w:rFonts w:hint="default"/>
      </w:rPr>
    </w:lvl>
    <w:lvl w:ilvl="3">
      <w:start w:val="1"/>
      <w:numFmt w:val="decimal"/>
      <w:lvlText w:val="%1.%2.%3.%4."/>
      <w:lvlJc w:val="left"/>
      <w:pPr>
        <w:ind w:left="777" w:hanging="720"/>
      </w:pPr>
      <w:rPr>
        <w:rFonts w:hint="default"/>
      </w:rPr>
    </w:lvl>
    <w:lvl w:ilvl="4">
      <w:start w:val="1"/>
      <w:numFmt w:val="decimal"/>
      <w:lvlText w:val="%1.%2.%3.%4.%5."/>
      <w:lvlJc w:val="left"/>
      <w:pPr>
        <w:ind w:left="1156" w:hanging="1080"/>
      </w:pPr>
      <w:rPr>
        <w:rFonts w:hint="default"/>
      </w:rPr>
    </w:lvl>
    <w:lvl w:ilvl="5">
      <w:start w:val="1"/>
      <w:numFmt w:val="decimal"/>
      <w:lvlText w:val="%1.%2.%3.%4.%5.%6."/>
      <w:lvlJc w:val="left"/>
      <w:pPr>
        <w:ind w:left="1175" w:hanging="1080"/>
      </w:pPr>
      <w:rPr>
        <w:rFonts w:hint="default"/>
      </w:rPr>
    </w:lvl>
    <w:lvl w:ilvl="6">
      <w:start w:val="1"/>
      <w:numFmt w:val="decimal"/>
      <w:lvlText w:val="%1.%2.%3.%4.%5.%6.%7."/>
      <w:lvlJc w:val="left"/>
      <w:pPr>
        <w:ind w:left="1554" w:hanging="1440"/>
      </w:pPr>
      <w:rPr>
        <w:rFonts w:hint="default"/>
      </w:rPr>
    </w:lvl>
    <w:lvl w:ilvl="7">
      <w:start w:val="1"/>
      <w:numFmt w:val="decimal"/>
      <w:lvlText w:val="%1.%2.%3.%4.%5.%6.%7.%8."/>
      <w:lvlJc w:val="left"/>
      <w:pPr>
        <w:ind w:left="1573" w:hanging="1440"/>
      </w:pPr>
      <w:rPr>
        <w:rFonts w:hint="default"/>
      </w:rPr>
    </w:lvl>
    <w:lvl w:ilvl="8">
      <w:start w:val="1"/>
      <w:numFmt w:val="decimal"/>
      <w:lvlText w:val="%1.%2.%3.%4.%5.%6.%7.%8.%9."/>
      <w:lvlJc w:val="left"/>
      <w:pPr>
        <w:ind w:left="1952" w:hanging="1800"/>
      </w:pPr>
      <w:rPr>
        <w:rFonts w:hint="default"/>
      </w:rPr>
    </w:lvl>
  </w:abstractNum>
  <w:abstractNum w:abstractNumId="59">
    <w:nsid w:val="0000003B"/>
    <w:multiLevelType w:val="hybridMultilevel"/>
    <w:tmpl w:val="395856F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cs="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cs="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cs="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nsid w:val="0000003C"/>
    <w:multiLevelType w:val="hybridMultilevel"/>
    <w:tmpl w:val="724C2B8C"/>
    <w:lvl w:ilvl="0" w:tplc="102A73E6">
      <w:start w:val="1"/>
      <w:numFmt w:val="bullet"/>
      <w:lvlText w:val=""/>
      <w:lvlJc w:val="left"/>
      <w:pPr>
        <w:ind w:left="720" w:hanging="360"/>
      </w:pPr>
      <w:rPr>
        <w:rFonts w:ascii="Wingdings" w:hAnsi="Wingdings" w:hint="default"/>
      </w:rPr>
    </w:lvl>
    <w:lvl w:ilvl="1" w:tplc="A6A6B9C8" w:tentative="1">
      <w:start w:val="1"/>
      <w:numFmt w:val="bullet"/>
      <w:lvlText w:val="o"/>
      <w:lvlJc w:val="left"/>
      <w:pPr>
        <w:ind w:left="1440" w:hanging="360"/>
      </w:pPr>
      <w:rPr>
        <w:rFonts w:ascii="Courier New" w:cs="Courier New" w:hAnsi="Courier New" w:hint="default"/>
      </w:rPr>
    </w:lvl>
    <w:lvl w:ilvl="2" w:tplc="AA948CE2" w:tentative="1">
      <w:start w:val="1"/>
      <w:numFmt w:val="bullet"/>
      <w:lvlText w:val=""/>
      <w:lvlJc w:val="left"/>
      <w:pPr>
        <w:ind w:left="2160" w:hanging="360"/>
      </w:pPr>
      <w:rPr>
        <w:rFonts w:ascii="Wingdings" w:hAnsi="Wingdings" w:hint="default"/>
      </w:rPr>
    </w:lvl>
    <w:lvl w:ilvl="3" w:tplc="2B7E07CC" w:tentative="1">
      <w:start w:val="1"/>
      <w:numFmt w:val="bullet"/>
      <w:lvlText w:val=""/>
      <w:lvlJc w:val="left"/>
      <w:pPr>
        <w:ind w:left="2880" w:hanging="360"/>
      </w:pPr>
      <w:rPr>
        <w:rFonts w:ascii="Symbol" w:hAnsi="Symbol" w:hint="default"/>
      </w:rPr>
    </w:lvl>
    <w:lvl w:ilvl="4" w:tplc="80641154" w:tentative="1">
      <w:start w:val="1"/>
      <w:numFmt w:val="bullet"/>
      <w:lvlText w:val="o"/>
      <w:lvlJc w:val="left"/>
      <w:pPr>
        <w:ind w:left="3600" w:hanging="360"/>
      </w:pPr>
      <w:rPr>
        <w:rFonts w:ascii="Courier New" w:cs="Courier New" w:hAnsi="Courier New" w:hint="default"/>
      </w:rPr>
    </w:lvl>
    <w:lvl w:ilvl="5" w:tplc="06D2217C" w:tentative="1">
      <w:start w:val="1"/>
      <w:numFmt w:val="bullet"/>
      <w:lvlText w:val=""/>
      <w:lvlJc w:val="left"/>
      <w:pPr>
        <w:ind w:left="4320" w:hanging="360"/>
      </w:pPr>
      <w:rPr>
        <w:rFonts w:ascii="Wingdings" w:hAnsi="Wingdings" w:hint="default"/>
      </w:rPr>
    </w:lvl>
    <w:lvl w:ilvl="6" w:tplc="14FAFEE0" w:tentative="1">
      <w:start w:val="1"/>
      <w:numFmt w:val="bullet"/>
      <w:lvlText w:val=""/>
      <w:lvlJc w:val="left"/>
      <w:pPr>
        <w:ind w:left="5040" w:hanging="360"/>
      </w:pPr>
      <w:rPr>
        <w:rFonts w:ascii="Symbol" w:hAnsi="Symbol" w:hint="default"/>
      </w:rPr>
    </w:lvl>
    <w:lvl w:ilvl="7" w:tplc="7F78AE84" w:tentative="1">
      <w:start w:val="1"/>
      <w:numFmt w:val="bullet"/>
      <w:lvlText w:val="o"/>
      <w:lvlJc w:val="left"/>
      <w:pPr>
        <w:ind w:left="5760" w:hanging="360"/>
      </w:pPr>
      <w:rPr>
        <w:rFonts w:ascii="Courier New" w:cs="Courier New" w:hAnsi="Courier New" w:hint="default"/>
      </w:rPr>
    </w:lvl>
    <w:lvl w:ilvl="8" w:tplc="7E70F84A" w:tentative="1">
      <w:start w:val="1"/>
      <w:numFmt w:val="bullet"/>
      <w:lvlText w:val=""/>
      <w:lvlJc w:val="left"/>
      <w:pPr>
        <w:ind w:left="6480" w:hanging="360"/>
      </w:pPr>
      <w:rPr>
        <w:rFonts w:ascii="Wingdings" w:hAnsi="Wingdings" w:hint="default"/>
      </w:rPr>
    </w:lvl>
  </w:abstractNum>
  <w:abstractNum w:abstractNumId="61">
    <w:nsid w:val="0000003D"/>
    <w:multiLevelType w:val="multilevel"/>
    <w:tmpl w:val="C7C6A5E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0000003E"/>
    <w:multiLevelType w:val="hybridMultilevel"/>
    <w:tmpl w:val="0920870E"/>
    <w:lvl w:ilvl="0" w:tplc="040C000D">
      <w:start w:val="1"/>
      <w:numFmt w:val="bullet"/>
      <w:lvlText w:val=""/>
      <w:lvlJc w:val="left"/>
      <w:pPr>
        <w:ind w:left="720" w:hanging="360"/>
      </w:pPr>
      <w:rPr>
        <w:rFonts w:ascii="Wingdings" w:hAnsi="Wingdings" w:hint="default"/>
      </w:rPr>
    </w:lvl>
    <w:lvl w:ilvl="1" w:tplc="040C0001" w:tentative="1">
      <w:start w:val="1"/>
      <w:numFmt w:val="bullet"/>
      <w:lvlText w:val="o"/>
      <w:lvlJc w:val="left"/>
      <w:pPr>
        <w:ind w:left="1440" w:hanging="360"/>
      </w:pPr>
      <w:rPr>
        <w:rFonts w:ascii="Courier New" w:cs="Courier New" w:hAnsi="Courier New" w:hint="default"/>
      </w:rPr>
    </w:lvl>
    <w:lvl w:ilvl="2" w:tplc="47A4ED2E" w:tentative="1">
      <w:start w:val="1"/>
      <w:numFmt w:val="bullet"/>
      <w:lvlText w:val=""/>
      <w:lvlJc w:val="left"/>
      <w:pPr>
        <w:ind w:left="2160" w:hanging="360"/>
      </w:pPr>
      <w:rPr>
        <w:rFonts w:ascii="Wingdings" w:hAnsi="Wingdings" w:hint="default"/>
      </w:rPr>
    </w:lvl>
    <w:lvl w:ilvl="3" w:tplc="040C000D"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3">
    <w:nsid w:val="0000003F"/>
    <w:multiLevelType w:val="hybridMultilevel"/>
    <w:tmpl w:val="6C16269A"/>
    <w:lvl w:ilvl="0" w:tplc="040C000D">
      <w:start w:val="1"/>
      <w:numFmt w:val="bullet"/>
      <w:pStyle w:val="style4133"/>
      <w:lvlText w:val="-"/>
      <w:lvlJc w:val="left"/>
      <w:pPr>
        <w:tabs>
          <w:tab w:val="left" w:leader="none" w:pos="530"/>
        </w:tabs>
        <w:ind w:left="530" w:hanging="360"/>
      </w:pPr>
      <w:rPr>
        <w:rFonts w:ascii="Times New Roman" w:hAnsi="Times New Roman" w:hint="default"/>
        <w:color w:val="auto"/>
      </w:rPr>
    </w:lvl>
    <w:lvl w:ilvl="1" w:tplc="040C0003" w:tentative="1">
      <w:start w:val="1"/>
      <w:numFmt w:val="bullet"/>
      <w:lvlText w:val="o"/>
      <w:lvlJc w:val="left"/>
      <w:pPr>
        <w:tabs>
          <w:tab w:val="left" w:leader="none" w:pos="1440"/>
        </w:tabs>
        <w:ind w:left="1440" w:hanging="360"/>
      </w:pPr>
      <w:rPr>
        <w:rFonts w:ascii="Courier New" w:cs="Courier New" w:hAnsi="Courier New"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64">
    <w:nsid w:val="00000040"/>
    <w:multiLevelType w:val="hybridMultilevel"/>
    <w:tmpl w:val="0CE4C76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00000041"/>
    <w:multiLevelType w:val="hybridMultilevel"/>
    <w:tmpl w:val="5EDE08FC"/>
    <w:lvl w:ilvl="0" w:tplc="04090001">
      <w:start w:val="1"/>
      <w:numFmt w:val="bullet"/>
      <w:lvlText w:val=""/>
      <w:lvlJc w:val="left"/>
      <w:pPr>
        <w:tabs>
          <w:tab w:val="left" w:leader="none" w:pos="360"/>
        </w:tabs>
        <w:ind w:left="360" w:hanging="360"/>
      </w:pPr>
      <w:rPr>
        <w:rFonts w:ascii="Wingdings" w:hAnsi="Wingdings" w:hint="default"/>
      </w:rPr>
    </w:lvl>
    <w:lvl w:ilvl="1" w:tplc="04090003" w:tentative="1">
      <w:start w:val="1"/>
      <w:numFmt w:val="bullet"/>
      <w:lvlText w:val="o"/>
      <w:lvlJc w:val="left"/>
      <w:pPr>
        <w:tabs>
          <w:tab w:val="left" w:leader="none" w:pos="1080"/>
        </w:tabs>
        <w:ind w:left="1080" w:hanging="360"/>
      </w:pPr>
      <w:rPr>
        <w:rFonts w:ascii="Courier New" w:cs="Courier New" w:hAnsi="Courier New" w:hint="default"/>
      </w:rPr>
    </w:lvl>
    <w:lvl w:ilvl="2" w:tplc="04090005">
      <w:start w:val="1"/>
      <w:numFmt w:val="bullet"/>
      <w:lvlText w:val=""/>
      <w:lvlJc w:val="left"/>
      <w:pPr>
        <w:tabs>
          <w:tab w:val="left" w:leader="none" w:pos="1800"/>
        </w:tabs>
        <w:ind w:left="1800" w:hanging="360"/>
      </w:pPr>
      <w:rPr>
        <w:rFonts w:ascii="Wingdings" w:hAnsi="Wingdings" w:hint="default"/>
      </w:rPr>
    </w:lvl>
    <w:lvl w:ilvl="3" w:tplc="04090001" w:tentative="1">
      <w:start w:val="1"/>
      <w:numFmt w:val="bullet"/>
      <w:lvlText w:val=""/>
      <w:lvlJc w:val="left"/>
      <w:pPr>
        <w:tabs>
          <w:tab w:val="left" w:leader="none" w:pos="2520"/>
        </w:tabs>
        <w:ind w:left="2520" w:hanging="360"/>
      </w:pPr>
      <w:rPr>
        <w:rFonts w:ascii="Symbol" w:hAnsi="Symbol" w:hint="default"/>
      </w:rPr>
    </w:lvl>
    <w:lvl w:ilvl="4" w:tplc="04090003" w:tentative="1">
      <w:start w:val="1"/>
      <w:numFmt w:val="bullet"/>
      <w:lvlText w:val="o"/>
      <w:lvlJc w:val="left"/>
      <w:pPr>
        <w:tabs>
          <w:tab w:val="left" w:leader="none" w:pos="3240"/>
        </w:tabs>
        <w:ind w:left="3240" w:hanging="360"/>
      </w:pPr>
      <w:rPr>
        <w:rFonts w:ascii="Courier New" w:cs="Courier New" w:hAnsi="Courier New" w:hint="default"/>
      </w:rPr>
    </w:lvl>
    <w:lvl w:ilvl="5" w:tplc="04090005" w:tentative="1">
      <w:start w:val="1"/>
      <w:numFmt w:val="bullet"/>
      <w:lvlText w:val=""/>
      <w:lvlJc w:val="left"/>
      <w:pPr>
        <w:tabs>
          <w:tab w:val="left" w:leader="none" w:pos="3960"/>
        </w:tabs>
        <w:ind w:left="3960" w:hanging="360"/>
      </w:pPr>
      <w:rPr>
        <w:rFonts w:ascii="Wingdings" w:hAnsi="Wingdings" w:hint="default"/>
      </w:rPr>
    </w:lvl>
    <w:lvl w:ilvl="6" w:tplc="04090001" w:tentative="1">
      <w:start w:val="1"/>
      <w:numFmt w:val="bullet"/>
      <w:lvlText w:val=""/>
      <w:lvlJc w:val="left"/>
      <w:pPr>
        <w:tabs>
          <w:tab w:val="left" w:leader="none" w:pos="4680"/>
        </w:tabs>
        <w:ind w:left="4680" w:hanging="360"/>
      </w:pPr>
      <w:rPr>
        <w:rFonts w:ascii="Symbol" w:hAnsi="Symbol" w:hint="default"/>
      </w:rPr>
    </w:lvl>
    <w:lvl w:ilvl="7" w:tplc="04090003" w:tentative="1">
      <w:start w:val="1"/>
      <w:numFmt w:val="bullet"/>
      <w:lvlText w:val="o"/>
      <w:lvlJc w:val="left"/>
      <w:pPr>
        <w:tabs>
          <w:tab w:val="left" w:leader="none" w:pos="5400"/>
        </w:tabs>
        <w:ind w:left="5400" w:hanging="360"/>
      </w:pPr>
      <w:rPr>
        <w:rFonts w:ascii="Courier New" w:cs="Courier New" w:hAnsi="Courier New" w:hint="default"/>
      </w:rPr>
    </w:lvl>
    <w:lvl w:ilvl="8" w:tplc="04090005" w:tentative="1">
      <w:start w:val="1"/>
      <w:numFmt w:val="bullet"/>
      <w:lvlText w:val=""/>
      <w:lvlJc w:val="left"/>
      <w:pPr>
        <w:tabs>
          <w:tab w:val="left" w:leader="none" w:pos="6120"/>
        </w:tabs>
        <w:ind w:left="6120" w:hanging="360"/>
      </w:pPr>
      <w:rPr>
        <w:rFonts w:ascii="Wingdings" w:hAnsi="Wingdings" w:hint="default"/>
      </w:rPr>
    </w:lvl>
  </w:abstractNum>
  <w:abstractNum w:abstractNumId="66">
    <w:nsid w:val="00000042"/>
    <w:multiLevelType w:val="hybridMultilevel"/>
    <w:tmpl w:val="9612CA3C"/>
    <w:lvl w:ilvl="0" w:tplc="04090001">
      <w:start w:val="1"/>
      <w:numFmt w:val="bullet"/>
      <w:lvlText w:val=""/>
      <w:lvlJc w:val="left"/>
      <w:pPr>
        <w:ind w:left="890" w:hanging="360"/>
      </w:pPr>
      <w:rPr>
        <w:rFonts w:ascii="Wingdings" w:hAnsi="Wingdings" w:hint="default"/>
      </w:rPr>
    </w:lvl>
    <w:lvl w:ilvl="1" w:tplc="04090003" w:tentative="1">
      <w:start w:val="1"/>
      <w:numFmt w:val="bullet"/>
      <w:lvlText w:val="o"/>
      <w:lvlJc w:val="left"/>
      <w:pPr>
        <w:ind w:left="1610" w:hanging="360"/>
      </w:pPr>
      <w:rPr>
        <w:rFonts w:ascii="Courier New" w:cs="Courier New" w:hAnsi="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cs="Courier New" w:hAnsi="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cs="Courier New" w:hAnsi="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67">
    <w:nsid w:val="00000043"/>
    <w:multiLevelType w:val="hybridMultilevel"/>
    <w:tmpl w:val="6D7CAF24"/>
    <w:lvl w:ilvl="0" w:tplc="9FF4CAB0">
      <w:start w:val="1"/>
      <w:numFmt w:val="bullet"/>
      <w:lvlText w:val="-"/>
      <w:lvlJc w:val="left"/>
      <w:pPr>
        <w:ind w:left="360" w:hanging="360"/>
      </w:pPr>
      <w:rPr>
        <w:rFonts w:ascii="Trebuchet MS" w:cs="Times New Roman" w:eastAsia="Times New Roman" w:hAnsi="Trebuchet MS" w:hint="default"/>
      </w:rPr>
    </w:lvl>
    <w:lvl w:ilvl="1" w:tplc="040C0003" w:tentative="1">
      <w:start w:val="1"/>
      <w:numFmt w:val="bullet"/>
      <w:lvlText w:val="o"/>
      <w:lvlJc w:val="left"/>
      <w:pPr>
        <w:ind w:left="1080" w:hanging="360"/>
      </w:pPr>
      <w:rPr>
        <w:rFonts w:ascii="Courier New" w:cs="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cs="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cs="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nsid w:val="00000044"/>
    <w:multiLevelType w:val="hybridMultilevel"/>
    <w:tmpl w:val="08F04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00000045"/>
    <w:multiLevelType w:val="hybridMultilevel"/>
    <w:tmpl w:val="26FABDB6"/>
    <w:lvl w:ilvl="0" w:tplc="44A82DCA">
      <w:start w:val="1"/>
      <w:numFmt w:val="bullet"/>
      <w:lvlText w:val="-"/>
      <w:lvlJc w:val="left"/>
      <w:pPr>
        <w:ind w:left="720" w:hanging="360"/>
      </w:pPr>
      <w:rPr>
        <w:rFonts w:ascii="Times New Roman" w:cs="Times New Roman" w:eastAsia="Calibri" w:hAnsi="Times New Roman"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00000046"/>
    <w:multiLevelType w:val="hybridMultilevel"/>
    <w:tmpl w:val="682E1D9C"/>
    <w:lvl w:ilvl="0" w:tplc="040C000D">
      <w:start w:val="1"/>
      <w:numFmt w:val="bullet"/>
      <w:pStyle w:val="style420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00000047"/>
    <w:multiLevelType w:val="hybridMultilevel"/>
    <w:tmpl w:val="BC36194A"/>
    <w:lvl w:ilvl="0" w:tplc="E4704D92">
      <w:start w:val="3"/>
      <w:numFmt w:val="bullet"/>
      <w:lvlText w:val="-"/>
      <w:lvlJc w:val="left"/>
      <w:pPr>
        <w:ind w:left="530" w:hanging="360"/>
      </w:pPr>
      <w:rPr>
        <w:rFonts w:ascii="Calibri" w:cs="Times New Roman" w:eastAsia="Calibri" w:hAnsi="Calibri" w:hint="default"/>
      </w:rPr>
    </w:lvl>
    <w:lvl w:ilvl="1" w:tplc="040C0003" w:tentative="1">
      <w:start w:val="1"/>
      <w:numFmt w:val="bullet"/>
      <w:lvlText w:val="o"/>
      <w:lvlJc w:val="left"/>
      <w:pPr>
        <w:ind w:left="1250" w:hanging="360"/>
      </w:pPr>
      <w:rPr>
        <w:rFonts w:ascii="Courier New" w:cs="Courier New" w:hAnsi="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cs="Courier New" w:hAnsi="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cs="Courier New" w:hAnsi="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72">
    <w:nsid w:val="00000048"/>
    <w:multiLevelType w:val="hybridMultilevel"/>
    <w:tmpl w:val="1820008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cs="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cs="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cs="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3">
    <w:nsid w:val="00000049"/>
    <w:multiLevelType w:val="multilevel"/>
    <w:tmpl w:val="3B463EF2"/>
    <w:lvl w:ilvl="0">
      <w:start w:val="5"/>
      <w:numFmt w:val="decimal"/>
      <w:lvlText w:val="%1."/>
      <w:lvlJc w:val="left"/>
      <w:pPr>
        <w:ind w:left="680" w:hanging="680"/>
      </w:pPr>
      <w:rPr>
        <w:rFonts w:hint="default"/>
        <w:w w:val="100"/>
        <w:sz w:val="23"/>
      </w:rPr>
    </w:lvl>
    <w:lvl w:ilvl="1">
      <w:start w:val="2"/>
      <w:numFmt w:val="decimal"/>
      <w:lvlText w:val="%1.%2."/>
      <w:lvlJc w:val="left"/>
      <w:pPr>
        <w:ind w:left="739" w:hanging="720"/>
      </w:pPr>
      <w:rPr>
        <w:rFonts w:hint="default"/>
        <w:w w:val="100"/>
        <w:sz w:val="23"/>
      </w:rPr>
    </w:lvl>
    <w:lvl w:ilvl="2">
      <w:start w:val="1"/>
      <w:numFmt w:val="decimal"/>
      <w:lvlText w:val="%1.%2.%3."/>
      <w:lvlJc w:val="left"/>
      <w:pPr>
        <w:ind w:left="758" w:hanging="720"/>
      </w:pPr>
      <w:rPr>
        <w:rFonts w:hint="default"/>
        <w:w w:val="100"/>
        <w:sz w:val="23"/>
      </w:rPr>
    </w:lvl>
    <w:lvl w:ilvl="3">
      <w:start w:val="2"/>
      <w:numFmt w:val="decimal"/>
      <w:lvlText w:val="%1.%2.%3.%4."/>
      <w:lvlJc w:val="left"/>
      <w:pPr>
        <w:ind w:left="1137" w:hanging="1080"/>
      </w:pPr>
      <w:rPr>
        <w:rFonts w:hint="default"/>
        <w:w w:val="100"/>
        <w:sz w:val="23"/>
      </w:rPr>
    </w:lvl>
    <w:lvl w:ilvl="4">
      <w:start w:val="1"/>
      <w:numFmt w:val="decimal"/>
      <w:lvlText w:val="%1.%2.%3.%4.%5."/>
      <w:lvlJc w:val="left"/>
      <w:pPr>
        <w:ind w:left="1156" w:hanging="1080"/>
      </w:pPr>
      <w:rPr>
        <w:rFonts w:hint="default"/>
        <w:w w:val="100"/>
        <w:sz w:val="23"/>
      </w:rPr>
    </w:lvl>
    <w:lvl w:ilvl="5">
      <w:start w:val="1"/>
      <w:numFmt w:val="decimal"/>
      <w:lvlText w:val="%1.%2.%3.%4.%5.%6."/>
      <w:lvlJc w:val="left"/>
      <w:pPr>
        <w:ind w:left="1535" w:hanging="1440"/>
      </w:pPr>
      <w:rPr>
        <w:rFonts w:hint="default"/>
        <w:w w:val="100"/>
        <w:sz w:val="23"/>
      </w:rPr>
    </w:lvl>
    <w:lvl w:ilvl="6">
      <w:start w:val="1"/>
      <w:numFmt w:val="decimal"/>
      <w:lvlText w:val="%1.%2.%3.%4.%5.%6.%7."/>
      <w:lvlJc w:val="left"/>
      <w:pPr>
        <w:ind w:left="1554" w:hanging="1440"/>
      </w:pPr>
      <w:rPr>
        <w:rFonts w:hint="default"/>
        <w:w w:val="100"/>
        <w:sz w:val="23"/>
      </w:rPr>
    </w:lvl>
    <w:lvl w:ilvl="7">
      <w:start w:val="1"/>
      <w:numFmt w:val="decimal"/>
      <w:lvlText w:val="%1.%2.%3.%4.%5.%6.%7.%8."/>
      <w:lvlJc w:val="left"/>
      <w:pPr>
        <w:ind w:left="1933" w:hanging="1800"/>
      </w:pPr>
      <w:rPr>
        <w:rFonts w:hint="default"/>
        <w:w w:val="100"/>
        <w:sz w:val="23"/>
      </w:rPr>
    </w:lvl>
    <w:lvl w:ilvl="8">
      <w:start w:val="1"/>
      <w:numFmt w:val="decimal"/>
      <w:lvlText w:val="%1.%2.%3.%4.%5.%6.%7.%8.%9."/>
      <w:lvlJc w:val="left"/>
      <w:pPr>
        <w:ind w:left="1952" w:hanging="1800"/>
      </w:pPr>
      <w:rPr>
        <w:rFonts w:hint="default"/>
        <w:w w:val="100"/>
        <w:sz w:val="23"/>
      </w:rPr>
    </w:lvl>
  </w:abstractNum>
  <w:abstractNum w:abstractNumId="74">
    <w:nsid w:val="0000004A"/>
    <w:multiLevelType w:val="hybridMultilevel"/>
    <w:tmpl w:val="894CC48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0000004B"/>
    <w:multiLevelType w:val="hybridMultilevel"/>
    <w:tmpl w:val="30EE7B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0000004C"/>
    <w:multiLevelType w:val="hybridMultilevel"/>
    <w:tmpl w:val="32E60634"/>
    <w:lvl w:ilvl="0" w:tplc="89AC040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0000004D"/>
    <w:multiLevelType w:val="hybridMultilevel"/>
    <w:tmpl w:val="75DC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0000004E"/>
    <w:multiLevelType w:val="hybridMultilevel"/>
    <w:tmpl w:val="BFEEA814"/>
    <w:lvl w:ilvl="0" w:tplc="040C000F">
      <w:start w:val="1"/>
      <w:numFmt w:val="bullet"/>
      <w:lvlText w:val=""/>
      <w:lvlJc w:val="left"/>
      <w:pPr>
        <w:ind w:left="360" w:hanging="360"/>
      </w:pPr>
      <w:rPr>
        <w:rFonts w:ascii="Wingdings 2" w:hAnsi="Wingdings 2" w:hint="default"/>
      </w:rPr>
    </w:lvl>
    <w:lvl w:ilvl="1" w:tplc="040C0003" w:tentative="1">
      <w:start w:val="1"/>
      <w:numFmt w:val="bullet"/>
      <w:lvlText w:val="o"/>
      <w:lvlJc w:val="left"/>
      <w:pPr>
        <w:ind w:left="1080" w:hanging="360"/>
      </w:pPr>
      <w:rPr>
        <w:rFonts w:ascii="Courier New" w:cs="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cs="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cs="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nsid w:val="0000004F"/>
    <w:multiLevelType w:val="hybridMultilevel"/>
    <w:tmpl w:val="A5C2A1E2"/>
    <w:lvl w:ilvl="0" w:tplc="0409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00000050"/>
    <w:multiLevelType w:val="hybridMultilevel"/>
    <w:tmpl w:val="5E660D18"/>
    <w:lvl w:ilvl="0" w:tplc="040C000D">
      <w:start w:val="1"/>
      <w:numFmt w:val="bullet"/>
      <w:lvlText w:val=""/>
      <w:lvlJc w:val="left"/>
      <w:pPr>
        <w:ind w:left="360" w:hanging="360"/>
      </w:pPr>
      <w:rPr>
        <w:rFonts w:ascii="Wingdings" w:hAnsi="Wingdings" w:hint="default"/>
      </w:rPr>
    </w:lvl>
    <w:lvl w:ilvl="1" w:tplc="A6A6B9C8" w:tentative="1">
      <w:start w:val="1"/>
      <w:numFmt w:val="bullet"/>
      <w:lvlText w:val="o"/>
      <w:lvlJc w:val="left"/>
      <w:pPr>
        <w:ind w:left="910" w:hanging="360"/>
      </w:pPr>
      <w:rPr>
        <w:rFonts w:ascii="Courier New" w:cs="Courier New" w:hAnsi="Courier New" w:hint="default"/>
      </w:rPr>
    </w:lvl>
    <w:lvl w:ilvl="2" w:tplc="AA948CE2" w:tentative="1">
      <w:start w:val="1"/>
      <w:numFmt w:val="bullet"/>
      <w:lvlText w:val=""/>
      <w:lvlJc w:val="left"/>
      <w:pPr>
        <w:ind w:left="1630" w:hanging="360"/>
      </w:pPr>
      <w:rPr>
        <w:rFonts w:ascii="Wingdings" w:hAnsi="Wingdings" w:hint="default"/>
      </w:rPr>
    </w:lvl>
    <w:lvl w:ilvl="3" w:tplc="2B7E07CC" w:tentative="1">
      <w:start w:val="1"/>
      <w:numFmt w:val="bullet"/>
      <w:lvlText w:val=""/>
      <w:lvlJc w:val="left"/>
      <w:pPr>
        <w:ind w:left="2350" w:hanging="360"/>
      </w:pPr>
      <w:rPr>
        <w:rFonts w:ascii="Symbol" w:hAnsi="Symbol" w:hint="default"/>
      </w:rPr>
    </w:lvl>
    <w:lvl w:ilvl="4" w:tplc="80641154" w:tentative="1">
      <w:start w:val="1"/>
      <w:numFmt w:val="bullet"/>
      <w:lvlText w:val="o"/>
      <w:lvlJc w:val="left"/>
      <w:pPr>
        <w:ind w:left="3070" w:hanging="360"/>
      </w:pPr>
      <w:rPr>
        <w:rFonts w:ascii="Courier New" w:cs="Courier New" w:hAnsi="Courier New" w:hint="default"/>
      </w:rPr>
    </w:lvl>
    <w:lvl w:ilvl="5" w:tplc="06D2217C" w:tentative="1">
      <w:start w:val="1"/>
      <w:numFmt w:val="bullet"/>
      <w:lvlText w:val=""/>
      <w:lvlJc w:val="left"/>
      <w:pPr>
        <w:ind w:left="3790" w:hanging="360"/>
      </w:pPr>
      <w:rPr>
        <w:rFonts w:ascii="Wingdings" w:hAnsi="Wingdings" w:hint="default"/>
      </w:rPr>
    </w:lvl>
    <w:lvl w:ilvl="6" w:tplc="14FAFEE0" w:tentative="1">
      <w:start w:val="1"/>
      <w:numFmt w:val="bullet"/>
      <w:lvlText w:val=""/>
      <w:lvlJc w:val="left"/>
      <w:pPr>
        <w:ind w:left="4510" w:hanging="360"/>
      </w:pPr>
      <w:rPr>
        <w:rFonts w:ascii="Symbol" w:hAnsi="Symbol" w:hint="default"/>
      </w:rPr>
    </w:lvl>
    <w:lvl w:ilvl="7" w:tplc="7F78AE84" w:tentative="1">
      <w:start w:val="1"/>
      <w:numFmt w:val="bullet"/>
      <w:lvlText w:val="o"/>
      <w:lvlJc w:val="left"/>
      <w:pPr>
        <w:ind w:left="5230" w:hanging="360"/>
      </w:pPr>
      <w:rPr>
        <w:rFonts w:ascii="Courier New" w:cs="Courier New" w:hAnsi="Courier New" w:hint="default"/>
      </w:rPr>
    </w:lvl>
    <w:lvl w:ilvl="8" w:tplc="7E70F84A" w:tentative="1">
      <w:start w:val="1"/>
      <w:numFmt w:val="bullet"/>
      <w:lvlText w:val=""/>
      <w:lvlJc w:val="left"/>
      <w:pPr>
        <w:ind w:left="5950" w:hanging="360"/>
      </w:pPr>
      <w:rPr>
        <w:rFonts w:ascii="Wingdings" w:hAnsi="Wingdings" w:hint="default"/>
      </w:rPr>
    </w:lvl>
  </w:abstractNum>
  <w:abstractNum w:abstractNumId="81">
    <w:nsid w:val="00000051"/>
    <w:multiLevelType w:val="hybridMultilevel"/>
    <w:tmpl w:val="C3D8AAE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00000052"/>
    <w:multiLevelType w:val="hybridMultilevel"/>
    <w:tmpl w:val="8EB8B4B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cs="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cs="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cs="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nsid w:val="00000053"/>
    <w:multiLevelType w:val="hybridMultilevel"/>
    <w:tmpl w:val="48DEFC66"/>
    <w:lvl w:ilvl="0" w:tplc="040C000D">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cs="Courier New" w:hAnsi="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cs="Courier New" w:hAnsi="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cs="Courier New" w:hAnsi="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84">
    <w:nsid w:val="00000054"/>
    <w:multiLevelType w:val="hybridMultilevel"/>
    <w:tmpl w:val="C26E87E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00000055"/>
    <w:multiLevelType w:val="hybridMultilevel"/>
    <w:tmpl w:val="00E831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00000056"/>
    <w:multiLevelType w:val="hybridMultilevel"/>
    <w:tmpl w:val="AE50AF80"/>
    <w:lvl w:ilvl="0" w:tplc="040C000D">
      <w:start w:val="1"/>
      <w:numFmt w:val="bullet"/>
      <w:lvlText w:val=""/>
      <w:lvlJc w:val="left"/>
      <w:pPr>
        <w:ind w:left="530" w:hanging="360"/>
      </w:pPr>
      <w:rPr>
        <w:rFonts w:ascii="Wingdings" w:hAnsi="Wingdings" w:hint="default"/>
      </w:rPr>
    </w:lvl>
    <w:lvl w:ilvl="1" w:tplc="040C0003" w:tentative="1">
      <w:start w:val="1"/>
      <w:numFmt w:val="bullet"/>
      <w:lvlText w:val="o"/>
      <w:lvlJc w:val="left"/>
      <w:pPr>
        <w:ind w:left="1250" w:hanging="360"/>
      </w:pPr>
      <w:rPr>
        <w:rFonts w:ascii="Courier New" w:cs="Courier New" w:hAnsi="Courier New" w:hint="default"/>
      </w:rPr>
    </w:lvl>
    <w:lvl w:ilvl="2" w:tplc="040C0005" w:tentative="1">
      <w:start w:val="1"/>
      <w:numFmt w:val="bullet"/>
      <w:lvlText w:val=""/>
      <w:lvlJc w:val="left"/>
      <w:pPr>
        <w:ind w:left="1970" w:hanging="360"/>
      </w:pPr>
      <w:rPr>
        <w:rFonts w:ascii="Wingdings" w:hAnsi="Wingdings" w:hint="default"/>
      </w:rPr>
    </w:lvl>
    <w:lvl w:ilvl="3" w:tplc="040C0001" w:tentative="1">
      <w:start w:val="1"/>
      <w:numFmt w:val="bullet"/>
      <w:lvlText w:val=""/>
      <w:lvlJc w:val="left"/>
      <w:pPr>
        <w:ind w:left="2690" w:hanging="360"/>
      </w:pPr>
      <w:rPr>
        <w:rFonts w:ascii="Symbol" w:hAnsi="Symbol" w:hint="default"/>
      </w:rPr>
    </w:lvl>
    <w:lvl w:ilvl="4" w:tplc="040C0003" w:tentative="1">
      <w:start w:val="1"/>
      <w:numFmt w:val="bullet"/>
      <w:lvlText w:val="o"/>
      <w:lvlJc w:val="left"/>
      <w:pPr>
        <w:ind w:left="3410" w:hanging="360"/>
      </w:pPr>
      <w:rPr>
        <w:rFonts w:ascii="Courier New" w:cs="Courier New" w:hAnsi="Courier New" w:hint="default"/>
      </w:rPr>
    </w:lvl>
    <w:lvl w:ilvl="5" w:tplc="040C0005" w:tentative="1">
      <w:start w:val="1"/>
      <w:numFmt w:val="bullet"/>
      <w:lvlText w:val=""/>
      <w:lvlJc w:val="left"/>
      <w:pPr>
        <w:ind w:left="4130" w:hanging="360"/>
      </w:pPr>
      <w:rPr>
        <w:rFonts w:ascii="Wingdings" w:hAnsi="Wingdings" w:hint="default"/>
      </w:rPr>
    </w:lvl>
    <w:lvl w:ilvl="6" w:tplc="040C0001" w:tentative="1">
      <w:start w:val="1"/>
      <w:numFmt w:val="bullet"/>
      <w:lvlText w:val=""/>
      <w:lvlJc w:val="left"/>
      <w:pPr>
        <w:ind w:left="4850" w:hanging="360"/>
      </w:pPr>
      <w:rPr>
        <w:rFonts w:ascii="Symbol" w:hAnsi="Symbol" w:hint="default"/>
      </w:rPr>
    </w:lvl>
    <w:lvl w:ilvl="7" w:tplc="040C0003" w:tentative="1">
      <w:start w:val="1"/>
      <w:numFmt w:val="bullet"/>
      <w:lvlText w:val="o"/>
      <w:lvlJc w:val="left"/>
      <w:pPr>
        <w:ind w:left="5570" w:hanging="360"/>
      </w:pPr>
      <w:rPr>
        <w:rFonts w:ascii="Courier New" w:cs="Courier New" w:hAnsi="Courier New" w:hint="default"/>
      </w:rPr>
    </w:lvl>
    <w:lvl w:ilvl="8" w:tplc="040C0005" w:tentative="1">
      <w:start w:val="1"/>
      <w:numFmt w:val="bullet"/>
      <w:lvlText w:val=""/>
      <w:lvlJc w:val="left"/>
      <w:pPr>
        <w:ind w:left="6290" w:hanging="360"/>
      </w:pPr>
      <w:rPr>
        <w:rFonts w:ascii="Wingdings" w:hAnsi="Wingdings" w:hint="default"/>
      </w:rPr>
    </w:lvl>
  </w:abstractNum>
  <w:abstractNum w:abstractNumId="87">
    <w:nsid w:val="00000057"/>
    <w:multiLevelType w:val="multilevel"/>
    <w:tmpl w:val="A810FA44"/>
    <w:lvl w:ilvl="0">
      <w:start w:val="1"/>
      <w:numFmt w:val="decimal"/>
      <w:pStyle w:val="style4226"/>
      <w:lvlText w:val="%1."/>
      <w:lvlJc w:val="left"/>
      <w:pPr>
        <w:tabs>
          <w:tab w:val="left" w:leader="none" w:pos="390"/>
        </w:tabs>
        <w:ind w:left="390" w:hanging="390"/>
      </w:pPr>
      <w:rPr>
        <w:rFonts w:hint="default"/>
      </w:rPr>
    </w:lvl>
    <w:lvl w:ilvl="1">
      <w:start w:val="1"/>
      <w:numFmt w:val="decimal"/>
      <w:pStyle w:val="style4226"/>
      <w:lvlText w:val="%1.%2."/>
      <w:lvlJc w:val="left"/>
      <w:pPr>
        <w:tabs>
          <w:tab w:val="left" w:leader="none" w:pos="5352"/>
        </w:tabs>
        <w:ind w:left="5352" w:hanging="390"/>
      </w:pPr>
      <w:rPr>
        <w:rFonts w:hint="default"/>
        <w:b w:val="false"/>
        <w:i w:val="false"/>
        <w:sz w:val="22"/>
        <w:szCs w:val="22"/>
      </w:rPr>
    </w:lvl>
    <w:lvl w:ilvl="2">
      <w:start w:val="1"/>
      <w:numFmt w:val="decimal"/>
      <w:lvlText w:val="%1.%2.%3."/>
      <w:lvlJc w:val="left"/>
      <w:pPr>
        <w:tabs>
          <w:tab w:val="left" w:leader="none" w:pos="720"/>
        </w:tabs>
        <w:ind w:left="720" w:hanging="720"/>
      </w:pPr>
      <w:rPr>
        <w:rFonts w:hint="default"/>
      </w:rPr>
    </w:lvl>
    <w:lvl w:ilvl="3">
      <w:start w:val="1"/>
      <w:numFmt w:val="decimal"/>
      <w:lvlText w:val="%1.%2.%3.%4."/>
      <w:lvlJc w:val="left"/>
      <w:pPr>
        <w:tabs>
          <w:tab w:val="left" w:leader="none" w:pos="720"/>
        </w:tabs>
        <w:ind w:left="720" w:hanging="720"/>
      </w:pPr>
      <w:rPr>
        <w:rFonts w:hint="default"/>
      </w:rPr>
    </w:lvl>
    <w:lvl w:ilvl="4">
      <w:start w:val="1"/>
      <w:numFmt w:val="decimal"/>
      <w:lvlText w:val="%1.%2.%3.%4.%5."/>
      <w:lvlJc w:val="left"/>
      <w:pPr>
        <w:tabs>
          <w:tab w:val="left" w:leader="none" w:pos="1080"/>
        </w:tabs>
        <w:ind w:left="1080" w:hanging="1080"/>
      </w:pPr>
      <w:rPr>
        <w:rFonts w:hint="default"/>
      </w:rPr>
    </w:lvl>
    <w:lvl w:ilvl="5">
      <w:start w:val="1"/>
      <w:numFmt w:val="decimal"/>
      <w:lvlText w:val="%1.%2.%3.%4.%5.%6."/>
      <w:lvlJc w:val="left"/>
      <w:pPr>
        <w:tabs>
          <w:tab w:val="left" w:leader="none" w:pos="1080"/>
        </w:tabs>
        <w:ind w:left="1080" w:hanging="1080"/>
      </w:pPr>
      <w:rPr>
        <w:rFonts w:hint="default"/>
      </w:rPr>
    </w:lvl>
    <w:lvl w:ilvl="6">
      <w:start w:val="1"/>
      <w:numFmt w:val="decimal"/>
      <w:lvlText w:val="%1.%2.%3.%4.%5.%6.%7."/>
      <w:lvlJc w:val="left"/>
      <w:pPr>
        <w:tabs>
          <w:tab w:val="left" w:leader="none" w:pos="1440"/>
        </w:tabs>
        <w:ind w:left="1440" w:hanging="1440"/>
      </w:pPr>
      <w:rPr>
        <w:rFonts w:hint="default"/>
      </w:rPr>
    </w:lvl>
    <w:lvl w:ilvl="7">
      <w:start w:val="1"/>
      <w:numFmt w:val="decimal"/>
      <w:lvlText w:val="%1.%2.%3.%4.%5.%6.%7.%8."/>
      <w:lvlJc w:val="left"/>
      <w:pPr>
        <w:tabs>
          <w:tab w:val="left" w:leader="none" w:pos="1440"/>
        </w:tabs>
        <w:ind w:left="1440" w:hanging="1440"/>
      </w:pPr>
      <w:rPr>
        <w:rFonts w:hint="default"/>
      </w:rPr>
    </w:lvl>
    <w:lvl w:ilvl="8">
      <w:start w:val="1"/>
      <w:numFmt w:val="decimal"/>
      <w:lvlText w:val="%1.%2.%3.%4.%5.%6.%7.%8.%9."/>
      <w:lvlJc w:val="left"/>
      <w:pPr>
        <w:tabs>
          <w:tab w:val="left" w:leader="none" w:pos="1800"/>
        </w:tabs>
        <w:ind w:left="1800" w:hanging="1800"/>
      </w:pPr>
      <w:rPr>
        <w:rFonts w:hint="default"/>
      </w:rPr>
    </w:lvl>
  </w:abstractNum>
  <w:abstractNum w:abstractNumId="88">
    <w:nsid w:val="00000058"/>
    <w:multiLevelType w:val="multilevel"/>
    <w:tmpl w:val="7F9862DA"/>
    <w:lvl w:ilvl="0">
      <w:start w:val="6"/>
      <w:numFmt w:val="decimal"/>
      <w:lvlText w:val="%1."/>
      <w:lvlJc w:val="left"/>
      <w:pPr>
        <w:ind w:left="700" w:hanging="700"/>
      </w:pPr>
      <w:rPr>
        <w:rFonts w:hint="default"/>
      </w:rPr>
    </w:lvl>
    <w:lvl w:ilvl="1">
      <w:start w:val="6"/>
      <w:numFmt w:val="decimal"/>
      <w:lvlText w:val="%1.%2."/>
      <w:lvlJc w:val="left"/>
      <w:pPr>
        <w:ind w:left="700" w:hanging="70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00000059"/>
    <w:multiLevelType w:val="hybridMultilevel"/>
    <w:tmpl w:val="0D167D68"/>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0000005A"/>
    <w:multiLevelType w:val="hybridMultilevel"/>
    <w:tmpl w:val="1F685E1C"/>
    <w:lvl w:ilvl="0" w:tplc="040C0001">
      <w:start w:val="1"/>
      <w:numFmt w:val="bullet"/>
      <w:lvlText w:val=""/>
      <w:lvlJc w:val="left"/>
      <w:pPr>
        <w:tabs>
          <w:tab w:val="left" w:leader="none" w:pos="720"/>
        </w:tabs>
        <w:ind w:left="720" w:hanging="360"/>
      </w:pPr>
      <w:rPr>
        <w:rFonts w:ascii="Symbol" w:hAnsi="Symbol" w:hint="default"/>
      </w:rPr>
    </w:lvl>
    <w:lvl w:ilvl="1" w:tplc="04090001">
      <w:start w:val="1"/>
      <w:numFmt w:val="bullet"/>
      <w:lvlText w:val=""/>
      <w:lvlJc w:val="left"/>
      <w:pPr>
        <w:tabs>
          <w:tab w:val="left" w:leader="none" w:pos="1440"/>
        </w:tabs>
        <w:ind w:left="1440" w:hanging="360"/>
      </w:pPr>
      <w:rPr>
        <w:rFonts w:ascii="Symbol" w:hAnsi="Symbol" w:hint="default"/>
      </w:rPr>
    </w:lvl>
    <w:lvl w:ilvl="2" w:tplc="040C0005" w:tentative="1">
      <w:start w:val="1"/>
      <w:numFmt w:val="bullet"/>
      <w:lvlText w:val=""/>
      <w:lvlJc w:val="left"/>
      <w:pPr>
        <w:tabs>
          <w:tab w:val="left" w:leader="none" w:pos="2160"/>
        </w:tabs>
        <w:ind w:left="2160" w:hanging="360"/>
      </w:pPr>
      <w:rPr>
        <w:rFonts w:ascii="Wingdings" w:hAnsi="Wingdings" w:hint="default"/>
      </w:rPr>
    </w:lvl>
    <w:lvl w:ilvl="3" w:tplc="040C0001" w:tentative="1">
      <w:start w:val="1"/>
      <w:numFmt w:val="bullet"/>
      <w:lvlText w:val=""/>
      <w:lvlJc w:val="left"/>
      <w:pPr>
        <w:tabs>
          <w:tab w:val="left" w:leader="none" w:pos="2880"/>
        </w:tabs>
        <w:ind w:left="2880" w:hanging="360"/>
      </w:pPr>
      <w:rPr>
        <w:rFonts w:ascii="Symbol" w:hAnsi="Symbol" w:hint="default"/>
      </w:rPr>
    </w:lvl>
    <w:lvl w:ilvl="4" w:tplc="040C0003" w:tentative="1">
      <w:start w:val="1"/>
      <w:numFmt w:val="bullet"/>
      <w:lvlText w:val="o"/>
      <w:lvlJc w:val="left"/>
      <w:pPr>
        <w:tabs>
          <w:tab w:val="left" w:leader="none" w:pos="3600"/>
        </w:tabs>
        <w:ind w:left="3600" w:hanging="360"/>
      </w:pPr>
      <w:rPr>
        <w:rFonts w:ascii="Courier New" w:cs="Courier New" w:hAnsi="Courier New" w:hint="default"/>
      </w:rPr>
    </w:lvl>
    <w:lvl w:ilvl="5" w:tplc="040C0005" w:tentative="1">
      <w:start w:val="1"/>
      <w:numFmt w:val="bullet"/>
      <w:lvlText w:val=""/>
      <w:lvlJc w:val="left"/>
      <w:pPr>
        <w:tabs>
          <w:tab w:val="left" w:leader="none" w:pos="4320"/>
        </w:tabs>
        <w:ind w:left="4320" w:hanging="360"/>
      </w:pPr>
      <w:rPr>
        <w:rFonts w:ascii="Wingdings" w:hAnsi="Wingdings" w:hint="default"/>
      </w:rPr>
    </w:lvl>
    <w:lvl w:ilvl="6" w:tplc="040C0001" w:tentative="1">
      <w:start w:val="1"/>
      <w:numFmt w:val="bullet"/>
      <w:lvlText w:val=""/>
      <w:lvlJc w:val="left"/>
      <w:pPr>
        <w:tabs>
          <w:tab w:val="left" w:leader="none" w:pos="5040"/>
        </w:tabs>
        <w:ind w:left="5040" w:hanging="360"/>
      </w:pPr>
      <w:rPr>
        <w:rFonts w:ascii="Symbol" w:hAnsi="Symbol" w:hint="default"/>
      </w:rPr>
    </w:lvl>
    <w:lvl w:ilvl="7" w:tplc="040C0003" w:tentative="1">
      <w:start w:val="1"/>
      <w:numFmt w:val="bullet"/>
      <w:lvlText w:val="o"/>
      <w:lvlJc w:val="left"/>
      <w:pPr>
        <w:tabs>
          <w:tab w:val="left" w:leader="none" w:pos="5760"/>
        </w:tabs>
        <w:ind w:left="5760" w:hanging="360"/>
      </w:pPr>
      <w:rPr>
        <w:rFonts w:ascii="Courier New" w:cs="Courier New" w:hAnsi="Courier New" w:hint="default"/>
      </w:rPr>
    </w:lvl>
    <w:lvl w:ilvl="8" w:tplc="040C0005" w:tentative="1">
      <w:start w:val="1"/>
      <w:numFmt w:val="bullet"/>
      <w:lvlText w:val=""/>
      <w:lvlJc w:val="left"/>
      <w:pPr>
        <w:tabs>
          <w:tab w:val="left" w:leader="none" w:pos="6480"/>
        </w:tabs>
        <w:ind w:left="6480" w:hanging="360"/>
      </w:pPr>
      <w:rPr>
        <w:rFonts w:ascii="Wingdings" w:hAnsi="Wingdings" w:hint="default"/>
      </w:rPr>
    </w:lvl>
  </w:abstractNum>
  <w:abstractNum w:abstractNumId="91">
    <w:nsid w:val="0000005B"/>
    <w:multiLevelType w:val="hybridMultilevel"/>
    <w:tmpl w:val="83E464BC"/>
    <w:lvl w:ilvl="0" w:tplc="040C000D">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cs="Courier New" w:hAnsi="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cs="Courier New" w:hAnsi="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cs="Courier New" w:hAnsi="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92">
    <w:nsid w:val="0000005C"/>
    <w:multiLevelType w:val="hybridMultilevel"/>
    <w:tmpl w:val="4F0AC032"/>
    <w:lvl w:ilvl="0" w:tplc="51A6B298">
      <w:start w:val="1"/>
      <w:numFmt w:val="bullet"/>
      <w:lvlText w:val="-"/>
      <w:lvlJc w:val="left"/>
      <w:pPr>
        <w:ind w:left="720" w:hanging="360"/>
      </w:pPr>
      <w:rPr>
        <w:rFonts w:ascii="Times New Roman" w:cs="Times New Roman" w:eastAsia="Times New Roman" w:hAnsi="Times New Roman"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0000005D"/>
    <w:multiLevelType w:val="hybridMultilevel"/>
    <w:tmpl w:val="43E0397C"/>
    <w:lvl w:ilvl="0" w:tplc="040C000D">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cs="Courier New" w:hAnsi="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cs="Courier New" w:hAnsi="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cs="Courier New" w:hAnsi="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94">
    <w:nsid w:val="0000005E"/>
    <w:multiLevelType w:val="hybridMultilevel"/>
    <w:tmpl w:val="B9E06418"/>
    <w:lvl w:ilvl="0" w:tplc="9FF4CAB0">
      <w:start w:val="1"/>
      <w:numFmt w:val="bullet"/>
      <w:lvlText w:val="-"/>
      <w:lvlJc w:val="left"/>
      <w:pPr>
        <w:ind w:left="890" w:hanging="360"/>
      </w:pPr>
      <w:rPr>
        <w:rFonts w:ascii="Trebuchet MS" w:cs="Times New Roman" w:eastAsia="Times New Roman" w:hAnsi="Trebuchet MS" w:hint="default"/>
      </w:rPr>
    </w:lvl>
    <w:lvl w:ilvl="1" w:tplc="0A86FE14" w:tentative="1">
      <w:start w:val="1"/>
      <w:numFmt w:val="bullet"/>
      <w:lvlText w:val="o"/>
      <w:lvlJc w:val="left"/>
      <w:pPr>
        <w:ind w:left="1610" w:hanging="360"/>
      </w:pPr>
      <w:rPr>
        <w:rFonts w:ascii="Courier New" w:cs="Courier New" w:hAnsi="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cs="Courier New" w:hAnsi="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cs="Courier New" w:hAnsi="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95">
    <w:nsid w:val="0000005F"/>
    <w:multiLevelType w:val="hybridMultilevel"/>
    <w:tmpl w:val="950C74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96">
    <w:nsid w:val="00000060"/>
    <w:multiLevelType w:val="hybridMultilevel"/>
    <w:tmpl w:val="E1D062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00000061"/>
    <w:multiLevelType w:val="hybridMultilevel"/>
    <w:tmpl w:val="37922366"/>
    <w:lvl w:ilvl="0" w:tplc="541E830A">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00000062"/>
    <w:multiLevelType w:val="hybridMultilevel"/>
    <w:tmpl w:val="B87AA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00000063"/>
    <w:multiLevelType w:val="multilevel"/>
    <w:tmpl w:val="921819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nsid w:val="00000064"/>
    <w:multiLevelType w:val="multilevel"/>
    <w:tmpl w:val="80EE884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nsid w:val="00000065"/>
    <w:multiLevelType w:val="hybridMultilevel"/>
    <w:tmpl w:val="F79806B6"/>
    <w:lvl w:ilvl="0" w:tplc="46DA8DFC">
      <w:start w:val="1"/>
      <w:numFmt w:val="bullet"/>
      <w:lvlText w:val="-"/>
      <w:lvlJc w:val="left"/>
      <w:pPr>
        <w:ind w:left="720" w:hanging="360"/>
      </w:pPr>
      <w:rPr>
        <w:rFonts w:ascii="Calibri" w:cs="Calibri" w:eastAsia="Calibri" w:hAnsi="Calibri" w:hint="default"/>
      </w:rPr>
    </w:lvl>
    <w:lvl w:ilvl="1" w:tplc="040C0003">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00000066"/>
    <w:multiLevelType w:val="multilevel"/>
    <w:tmpl w:val="38B042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00000067"/>
    <w:multiLevelType w:val="hybridMultilevel"/>
    <w:tmpl w:val="557CE234"/>
    <w:lvl w:ilvl="0" w:tplc="A44EC41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00000068"/>
    <w:multiLevelType w:val="hybridMultilevel"/>
    <w:tmpl w:val="59A0AC88"/>
    <w:lvl w:ilvl="0" w:tplc="040C000D">
      <w:start w:val="1"/>
      <w:numFmt w:val="bullet"/>
      <w:lvlText w:val=""/>
      <w:lvlJc w:val="left"/>
      <w:pPr>
        <w:ind w:left="360" w:hanging="360"/>
      </w:pPr>
      <w:rPr>
        <w:rFonts w:ascii="Wingdings" w:hAnsi="Wingdings" w:hint="default"/>
      </w:rPr>
    </w:lvl>
    <w:lvl w:ilvl="1" w:tplc="A6A6B9C8" w:tentative="1">
      <w:start w:val="1"/>
      <w:numFmt w:val="bullet"/>
      <w:lvlText w:val="o"/>
      <w:lvlJc w:val="left"/>
      <w:pPr>
        <w:ind w:left="1080" w:hanging="360"/>
      </w:pPr>
      <w:rPr>
        <w:rFonts w:ascii="Courier New" w:cs="Courier New" w:hAnsi="Courier New" w:hint="default"/>
      </w:rPr>
    </w:lvl>
    <w:lvl w:ilvl="2" w:tplc="AA948CE2" w:tentative="1">
      <w:start w:val="1"/>
      <w:numFmt w:val="bullet"/>
      <w:lvlText w:val=""/>
      <w:lvlJc w:val="left"/>
      <w:pPr>
        <w:ind w:left="1800" w:hanging="360"/>
      </w:pPr>
      <w:rPr>
        <w:rFonts w:ascii="Wingdings" w:hAnsi="Wingdings" w:hint="default"/>
      </w:rPr>
    </w:lvl>
    <w:lvl w:ilvl="3" w:tplc="2B7E07CC" w:tentative="1">
      <w:start w:val="1"/>
      <w:numFmt w:val="bullet"/>
      <w:lvlText w:val=""/>
      <w:lvlJc w:val="left"/>
      <w:pPr>
        <w:ind w:left="2520" w:hanging="360"/>
      </w:pPr>
      <w:rPr>
        <w:rFonts w:ascii="Symbol" w:hAnsi="Symbol" w:hint="default"/>
      </w:rPr>
    </w:lvl>
    <w:lvl w:ilvl="4" w:tplc="80641154" w:tentative="1">
      <w:start w:val="1"/>
      <w:numFmt w:val="bullet"/>
      <w:lvlText w:val="o"/>
      <w:lvlJc w:val="left"/>
      <w:pPr>
        <w:ind w:left="3240" w:hanging="360"/>
      </w:pPr>
      <w:rPr>
        <w:rFonts w:ascii="Courier New" w:cs="Courier New" w:hAnsi="Courier New" w:hint="default"/>
      </w:rPr>
    </w:lvl>
    <w:lvl w:ilvl="5" w:tplc="06D2217C" w:tentative="1">
      <w:start w:val="1"/>
      <w:numFmt w:val="bullet"/>
      <w:lvlText w:val=""/>
      <w:lvlJc w:val="left"/>
      <w:pPr>
        <w:ind w:left="3960" w:hanging="360"/>
      </w:pPr>
      <w:rPr>
        <w:rFonts w:ascii="Wingdings" w:hAnsi="Wingdings" w:hint="default"/>
      </w:rPr>
    </w:lvl>
    <w:lvl w:ilvl="6" w:tplc="14FAFEE0" w:tentative="1">
      <w:start w:val="1"/>
      <w:numFmt w:val="bullet"/>
      <w:lvlText w:val=""/>
      <w:lvlJc w:val="left"/>
      <w:pPr>
        <w:ind w:left="4680" w:hanging="360"/>
      </w:pPr>
      <w:rPr>
        <w:rFonts w:ascii="Symbol" w:hAnsi="Symbol" w:hint="default"/>
      </w:rPr>
    </w:lvl>
    <w:lvl w:ilvl="7" w:tplc="7F78AE84" w:tentative="1">
      <w:start w:val="1"/>
      <w:numFmt w:val="bullet"/>
      <w:lvlText w:val="o"/>
      <w:lvlJc w:val="left"/>
      <w:pPr>
        <w:ind w:left="5400" w:hanging="360"/>
      </w:pPr>
      <w:rPr>
        <w:rFonts w:ascii="Courier New" w:cs="Courier New" w:hAnsi="Courier New" w:hint="default"/>
      </w:rPr>
    </w:lvl>
    <w:lvl w:ilvl="8" w:tplc="7E70F84A" w:tentative="1">
      <w:start w:val="1"/>
      <w:numFmt w:val="bullet"/>
      <w:lvlText w:val=""/>
      <w:lvlJc w:val="left"/>
      <w:pPr>
        <w:ind w:left="6120" w:hanging="360"/>
      </w:pPr>
      <w:rPr>
        <w:rFonts w:ascii="Wingdings" w:hAnsi="Wingdings" w:hint="default"/>
      </w:rPr>
    </w:lvl>
  </w:abstractNum>
  <w:abstractNum w:abstractNumId="105">
    <w:nsid w:val="00000069"/>
    <w:multiLevelType w:val="hybridMultilevel"/>
    <w:tmpl w:val="550E67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0000006A"/>
    <w:multiLevelType w:val="hybridMultilevel"/>
    <w:tmpl w:val="2B329CF4"/>
    <w:lvl w:ilvl="0" w:tplc="040C000D">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cs="Courier New" w:hAnsi="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cs="Courier New" w:hAnsi="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cs="Courier New" w:hAnsi="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07">
    <w:nsid w:val="0000006B"/>
    <w:multiLevelType w:val="hybridMultilevel"/>
    <w:tmpl w:val="23BAF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0000006C"/>
    <w:multiLevelType w:val="hybridMultilevel"/>
    <w:tmpl w:val="E84E9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0000006D"/>
    <w:multiLevelType w:val="hybridMultilevel"/>
    <w:tmpl w:val="9A64640A"/>
    <w:lvl w:ilvl="0" w:tplc="040C0009">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cs="Courier New" w:hAnsi="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cs="Courier New" w:hAnsi="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cs="Courier New" w:hAnsi="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10">
    <w:nsid w:val="0000006E"/>
    <w:multiLevelType w:val="hybridMultilevel"/>
    <w:tmpl w:val="072EABCE"/>
    <w:lvl w:ilvl="0" w:tplc="5CE05F1A">
      <w:start w:val="1"/>
      <w:numFmt w:val="bullet"/>
      <w:lvlText w:val="-"/>
      <w:lvlJc w:val="left"/>
      <w:pPr>
        <w:ind w:left="720" w:hanging="360"/>
      </w:pPr>
      <w:rPr>
        <w:rFonts w:ascii="Century Gothic" w:cs="Century Gothic" w:eastAsia="Calibri" w:hAnsi="Century Gothic"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0000006F"/>
    <w:multiLevelType w:val="hybridMultilevel"/>
    <w:tmpl w:val="A664B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00000070"/>
    <w:multiLevelType w:val="hybridMultilevel"/>
    <w:tmpl w:val="67E09862"/>
    <w:lvl w:ilvl="0" w:tplc="C89A5D0A">
      <w:start w:val="15"/>
      <w:numFmt w:val="bullet"/>
      <w:lvlText w:val="-"/>
      <w:lvlJc w:val="left"/>
      <w:pPr>
        <w:ind w:left="720" w:hanging="360"/>
      </w:pPr>
      <w:rPr>
        <w:rFonts w:ascii="Times New Roman" w:cs="Times New Roman" w:eastAsia="Calibri" w:hAnsi="Times New Roman"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00000071"/>
    <w:multiLevelType w:val="hybridMultilevel"/>
    <w:tmpl w:val="C90691A6"/>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00000072"/>
    <w:multiLevelType w:val="multilevel"/>
    <w:tmpl w:val="DC460166"/>
    <w:lvl w:ilvl="0">
      <w:start w:val="1"/>
      <w:numFmt w:val="decimal"/>
      <w:pStyle w:val="style4169"/>
      <w:lvlText w:val="%1."/>
      <w:lvlJc w:val="left"/>
      <w:pPr>
        <w:tabs>
          <w:tab w:val="left" w:leader="none" w:pos="567"/>
        </w:tabs>
        <w:ind w:left="567" w:hanging="567"/>
      </w:pPr>
      <w:rPr>
        <w:b w:val="false"/>
        <w:bCs w:val="false"/>
        <w:i w:val="false"/>
        <w:iCs w:val="false"/>
        <w:caps w:val="false"/>
        <w:smallCaps w:val="false"/>
        <w:noProof w:val="false"/>
        <w:vanish w:val="false"/>
        <w:color w:val="000000"/>
        <w:spacing w:val="0"/>
        <w:kern w:val="0"/>
        <w:position w:val="0"/>
        <w:u w:val="none"/>
        <w:effect w:val="none"/>
        <w:vertAlign w:val="baseline"/>
        <w:em w:val="none"/>
        <w:specVanish w:val="false"/>
      </w:rPr>
    </w:lvl>
    <w:lvl w:ilvl="1">
      <w:start w:val="1"/>
      <w:numFmt w:val="lowerLetter"/>
      <w:pStyle w:val="style4170"/>
      <w:lvlText w:val="(%2)"/>
      <w:lvlJc w:val="left"/>
      <w:pPr>
        <w:tabs>
          <w:tab w:val="left" w:leader="none" w:pos="1134"/>
        </w:tabs>
        <w:ind w:left="1134" w:hanging="567"/>
      </w:pPr>
      <w:rPr>
        <w:b w:val="false"/>
        <w:bCs w:val="false"/>
        <w:i w:val="false"/>
        <w:iCs w:val="false"/>
        <w:caps w:val="false"/>
        <w:smallCaps w:val="false"/>
        <w:noProof w:val="false"/>
        <w:vanish w:val="false"/>
        <w:color w:val="000000"/>
        <w:spacing w:val="0"/>
        <w:kern w:val="0"/>
        <w:position w:val="0"/>
        <w:u w:val="none"/>
        <w:effect w:val="none"/>
        <w:vertAlign w:val="baseline"/>
        <w:em w:val="none"/>
        <w:specVanish w:val="false"/>
      </w:rPr>
    </w:lvl>
    <w:lvl w:ilvl="2">
      <w:start w:val="1"/>
      <w:numFmt w:val="lowerRoman"/>
      <w:pStyle w:val="style4171"/>
      <w:lvlText w:val="(%3)"/>
      <w:lvlJc w:val="left"/>
      <w:pPr>
        <w:tabs>
          <w:tab w:val="left" w:leader="none" w:pos="1701"/>
        </w:tabs>
        <w:ind w:left="1701" w:hanging="567"/>
      </w:pPr>
      <w:rPr>
        <w:b w:val="false"/>
        <w:bCs w:val="false"/>
        <w:i w:val="false"/>
        <w:iCs w:val="false"/>
        <w:caps w:val="false"/>
        <w:smallCaps w:val="false"/>
        <w:noProof w:val="false"/>
        <w:vanish w:val="false"/>
        <w:color w:val="000000"/>
        <w:spacing w:val="0"/>
        <w:kern w:val="0"/>
        <w:position w:val="0"/>
        <w:u w:val="none"/>
        <w:effect w:val="none"/>
        <w:vertAlign w:val="baseline"/>
        <w:em w:val="none"/>
        <w:specVanish w:val="false"/>
      </w:rPr>
    </w:lvl>
    <w:lvl w:ilvl="3">
      <w:start w:val="1"/>
      <w:numFmt w:val="bullet"/>
      <w:pStyle w:val="style4172"/>
      <w:lvlText w:val="-"/>
      <w:lvlJc w:val="left"/>
      <w:pPr>
        <w:tabs>
          <w:tab w:val="left" w:leader="none" w:pos="1985"/>
        </w:tabs>
        <w:ind w:left="1985" w:hanging="284"/>
      </w:pPr>
      <w:rPr>
        <w:b w:val="false"/>
        <w:bCs w:val="false"/>
        <w:i w:val="false"/>
        <w:iCs w:val="false"/>
        <w:caps w:val="false"/>
        <w:smallCaps w:val="false"/>
        <w:noProof w:val="false"/>
        <w:vanish w:val="false"/>
        <w:color w:val="000000"/>
        <w:spacing w:val="0"/>
        <w:kern w:val="0"/>
        <w:position w:val="0"/>
        <w:u w:val="none"/>
        <w:effect w:val="none"/>
        <w:vertAlign w:val="baseline"/>
        <w:em w:val="none"/>
        <w:specVanish w:val="false"/>
      </w:rPr>
    </w:lvl>
    <w:lvl w:ilvl="4">
      <w:start w:val="1"/>
      <w:numFmt w:val="lowerLetter"/>
      <w:lvlText w:val="(%5)"/>
      <w:lvlJc w:val="left"/>
      <w:pPr>
        <w:tabs>
          <w:tab w:val="left" w:leader="none" w:pos="1800"/>
        </w:tabs>
        <w:ind w:left="1800" w:hanging="360"/>
      </w:pPr>
      <w:rPr>
        <w:rFonts w:hint="default"/>
      </w:rPr>
    </w:lvl>
    <w:lvl w:ilvl="5">
      <w:start w:val="1"/>
      <w:numFmt w:val="lowerRoman"/>
      <w:lvlText w:val="(%6)"/>
      <w:lvlJc w:val="left"/>
      <w:pPr>
        <w:tabs>
          <w:tab w:val="left" w:leader="none" w:pos="2160"/>
        </w:tabs>
        <w:ind w:left="2160" w:hanging="360"/>
      </w:pPr>
      <w:rPr>
        <w:rFonts w:hint="default"/>
      </w:rPr>
    </w:lvl>
    <w:lvl w:ilvl="6">
      <w:start w:val="1"/>
      <w:numFmt w:val="decimal"/>
      <w:lvlText w:val="%7."/>
      <w:lvlJc w:val="left"/>
      <w:pPr>
        <w:tabs>
          <w:tab w:val="left" w:leader="none" w:pos="2520"/>
        </w:tabs>
        <w:ind w:left="2520" w:hanging="360"/>
      </w:pPr>
      <w:rPr>
        <w:rFonts w:hint="default"/>
      </w:rPr>
    </w:lvl>
    <w:lvl w:ilvl="7">
      <w:start w:val="1"/>
      <w:numFmt w:val="lowerLetter"/>
      <w:lvlText w:val="%8."/>
      <w:lvlJc w:val="left"/>
      <w:pPr>
        <w:tabs>
          <w:tab w:val="left" w:leader="none" w:pos="2880"/>
        </w:tabs>
        <w:ind w:left="2880" w:hanging="360"/>
      </w:pPr>
      <w:rPr>
        <w:rFonts w:hint="default"/>
      </w:rPr>
    </w:lvl>
    <w:lvl w:ilvl="8">
      <w:start w:val="1"/>
      <w:numFmt w:val="lowerRoman"/>
      <w:lvlText w:val="%9."/>
      <w:lvlJc w:val="left"/>
      <w:pPr>
        <w:tabs>
          <w:tab w:val="left" w:leader="none" w:pos="3240"/>
        </w:tabs>
        <w:ind w:left="3240" w:hanging="360"/>
      </w:pPr>
      <w:rPr>
        <w:rFonts w:hint="default"/>
      </w:rPr>
    </w:lvl>
  </w:abstractNum>
  <w:abstractNum w:abstractNumId="115">
    <w:nsid w:val="00000073"/>
    <w:multiLevelType w:val="hybridMultilevel"/>
    <w:tmpl w:val="B9521E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00000074"/>
    <w:multiLevelType w:val="hybridMultilevel"/>
    <w:tmpl w:val="0A001644"/>
    <w:lvl w:ilvl="0" w:tplc="2780D262">
      <w:start w:val="1"/>
      <w:numFmt w:val="bullet"/>
      <w:lvlText w:val=""/>
      <w:lvlJc w:val="left"/>
      <w:pPr>
        <w:ind w:left="890" w:hanging="360"/>
      </w:pPr>
      <w:rPr>
        <w:rFonts w:ascii="Wingdings" w:hAnsi="Wingdings" w:hint="default"/>
      </w:rPr>
    </w:lvl>
    <w:lvl w:ilvl="1" w:tplc="040C0019" w:tentative="1">
      <w:start w:val="1"/>
      <w:numFmt w:val="bullet"/>
      <w:lvlText w:val="o"/>
      <w:lvlJc w:val="left"/>
      <w:pPr>
        <w:ind w:left="1610" w:hanging="360"/>
      </w:pPr>
      <w:rPr>
        <w:rFonts w:ascii="Courier New" w:cs="Courier New" w:hAnsi="Courier New" w:hint="default"/>
      </w:rPr>
    </w:lvl>
    <w:lvl w:ilvl="2" w:tplc="040C001B" w:tentative="1">
      <w:start w:val="1"/>
      <w:numFmt w:val="bullet"/>
      <w:lvlText w:val=""/>
      <w:lvlJc w:val="left"/>
      <w:pPr>
        <w:ind w:left="2330" w:hanging="360"/>
      </w:pPr>
      <w:rPr>
        <w:rFonts w:ascii="Wingdings" w:hAnsi="Wingdings" w:hint="default"/>
      </w:rPr>
    </w:lvl>
    <w:lvl w:ilvl="3" w:tplc="040C000F" w:tentative="1">
      <w:start w:val="1"/>
      <w:numFmt w:val="bullet"/>
      <w:lvlText w:val=""/>
      <w:lvlJc w:val="left"/>
      <w:pPr>
        <w:ind w:left="3050" w:hanging="360"/>
      </w:pPr>
      <w:rPr>
        <w:rFonts w:ascii="Symbol" w:hAnsi="Symbol" w:hint="default"/>
      </w:rPr>
    </w:lvl>
    <w:lvl w:ilvl="4" w:tplc="040C0019" w:tentative="1">
      <w:start w:val="1"/>
      <w:numFmt w:val="bullet"/>
      <w:lvlText w:val="o"/>
      <w:lvlJc w:val="left"/>
      <w:pPr>
        <w:ind w:left="3770" w:hanging="360"/>
      </w:pPr>
      <w:rPr>
        <w:rFonts w:ascii="Courier New" w:cs="Courier New" w:hAnsi="Courier New" w:hint="default"/>
      </w:rPr>
    </w:lvl>
    <w:lvl w:ilvl="5" w:tplc="040C001B" w:tentative="1">
      <w:start w:val="1"/>
      <w:numFmt w:val="bullet"/>
      <w:lvlText w:val=""/>
      <w:lvlJc w:val="left"/>
      <w:pPr>
        <w:ind w:left="4490" w:hanging="360"/>
      </w:pPr>
      <w:rPr>
        <w:rFonts w:ascii="Wingdings" w:hAnsi="Wingdings" w:hint="default"/>
      </w:rPr>
    </w:lvl>
    <w:lvl w:ilvl="6" w:tplc="040C000F" w:tentative="1">
      <w:start w:val="1"/>
      <w:numFmt w:val="bullet"/>
      <w:lvlText w:val=""/>
      <w:lvlJc w:val="left"/>
      <w:pPr>
        <w:ind w:left="5210" w:hanging="360"/>
      </w:pPr>
      <w:rPr>
        <w:rFonts w:ascii="Symbol" w:hAnsi="Symbol" w:hint="default"/>
      </w:rPr>
    </w:lvl>
    <w:lvl w:ilvl="7" w:tplc="040C0019" w:tentative="1">
      <w:start w:val="1"/>
      <w:numFmt w:val="bullet"/>
      <w:lvlText w:val="o"/>
      <w:lvlJc w:val="left"/>
      <w:pPr>
        <w:ind w:left="5930" w:hanging="360"/>
      </w:pPr>
      <w:rPr>
        <w:rFonts w:ascii="Courier New" w:cs="Courier New" w:hAnsi="Courier New" w:hint="default"/>
      </w:rPr>
    </w:lvl>
    <w:lvl w:ilvl="8" w:tplc="040C001B" w:tentative="1">
      <w:start w:val="1"/>
      <w:numFmt w:val="bullet"/>
      <w:lvlText w:val=""/>
      <w:lvlJc w:val="left"/>
      <w:pPr>
        <w:ind w:left="6650" w:hanging="360"/>
      </w:pPr>
      <w:rPr>
        <w:rFonts w:ascii="Wingdings" w:hAnsi="Wingdings" w:hint="default"/>
      </w:rPr>
    </w:lvl>
  </w:abstractNum>
  <w:abstractNum w:abstractNumId="117">
    <w:nsid w:val="00000075"/>
    <w:multiLevelType w:val="hybridMultilevel"/>
    <w:tmpl w:val="ABC6533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00000076"/>
    <w:multiLevelType w:val="hybridMultilevel"/>
    <w:tmpl w:val="D2DAA4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nsid w:val="00000077"/>
    <w:multiLevelType w:val="hybridMultilevel"/>
    <w:tmpl w:val="788AC79A"/>
    <w:lvl w:ilvl="0" w:tplc="040C0015">
      <w:start w:val="7"/>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nsid w:val="00000078"/>
    <w:multiLevelType w:val="hybridMultilevel"/>
    <w:tmpl w:val="97FAE128"/>
    <w:lvl w:ilvl="0" w:tplc="05F6261E">
      <w:start w:val="1"/>
      <w:numFmt w:val="decimal"/>
      <w:pStyle w:val="style4158"/>
      <w:lvlText w:val="%1."/>
      <w:lvlJc w:val="left"/>
      <w:pPr>
        <w:tabs>
          <w:tab w:val="left" w:leader="none" w:pos="1260"/>
        </w:tabs>
        <w:ind w:left="1260" w:hanging="360"/>
      </w:pPr>
      <w:rPr>
        <w:rFonts w:ascii="Times New Roman" w:cs="Times New Roman" w:hAnsi="Times New Roman" w:hint="default"/>
        <w:b w:val="false"/>
        <w:i w:val="false"/>
        <w:color w:val="000000"/>
        <w:sz w:val="24"/>
        <w:szCs w:val="24"/>
      </w:rPr>
    </w:lvl>
    <w:lvl w:ilvl="1" w:tplc="EC58A2A8">
      <w:start w:val="1"/>
      <w:numFmt w:val="decimal"/>
      <w:lvlText w:val="(%2)"/>
      <w:lvlJc w:val="left"/>
      <w:pPr>
        <w:tabs>
          <w:tab w:val="left" w:leader="none" w:pos="2160"/>
        </w:tabs>
        <w:ind w:left="2160" w:hanging="360"/>
      </w:pPr>
      <w:rPr>
        <w:rFonts w:hint="default"/>
        <w:b w:val="false"/>
        <w:i w:val="false"/>
      </w:rPr>
    </w:lvl>
    <w:lvl w:ilvl="2" w:tplc="0409001B" w:tentative="1">
      <w:start w:val="1"/>
      <w:numFmt w:val="lowerRoman"/>
      <w:lvlText w:val="%3."/>
      <w:lvlJc w:val="right"/>
      <w:pPr>
        <w:tabs>
          <w:tab w:val="left" w:leader="none" w:pos="2880"/>
        </w:tabs>
        <w:ind w:left="2880" w:hanging="180"/>
      </w:pPr>
    </w:lvl>
    <w:lvl w:ilvl="3" w:tplc="0409000F">
      <w:start w:val="1"/>
      <w:numFmt w:val="decimal"/>
      <w:lvlText w:val="%4."/>
      <w:lvlJc w:val="left"/>
      <w:pPr>
        <w:tabs>
          <w:tab w:val="left" w:leader="none" w:pos="3600"/>
        </w:tabs>
        <w:ind w:left="3600" w:hanging="360"/>
      </w:pPr>
    </w:lvl>
    <w:lvl w:ilvl="4" w:tplc="04090019" w:tentative="1">
      <w:start w:val="1"/>
      <w:numFmt w:val="lowerLetter"/>
      <w:lvlText w:val="%5."/>
      <w:lvlJc w:val="left"/>
      <w:pPr>
        <w:tabs>
          <w:tab w:val="left" w:leader="none" w:pos="4320"/>
        </w:tabs>
        <w:ind w:left="4320" w:hanging="360"/>
      </w:pPr>
    </w:lvl>
    <w:lvl w:ilvl="5" w:tplc="0409001B" w:tentative="1">
      <w:start w:val="1"/>
      <w:numFmt w:val="lowerRoman"/>
      <w:lvlText w:val="%6."/>
      <w:lvlJc w:val="right"/>
      <w:pPr>
        <w:tabs>
          <w:tab w:val="left" w:leader="none" w:pos="5040"/>
        </w:tabs>
        <w:ind w:left="5040" w:hanging="180"/>
      </w:pPr>
    </w:lvl>
    <w:lvl w:ilvl="6" w:tplc="0409000F" w:tentative="1">
      <w:start w:val="1"/>
      <w:numFmt w:val="decimal"/>
      <w:lvlText w:val="%7."/>
      <w:lvlJc w:val="left"/>
      <w:pPr>
        <w:tabs>
          <w:tab w:val="left" w:leader="none" w:pos="5760"/>
        </w:tabs>
        <w:ind w:left="5760" w:hanging="360"/>
      </w:pPr>
    </w:lvl>
    <w:lvl w:ilvl="7" w:tplc="04090019" w:tentative="1">
      <w:start w:val="1"/>
      <w:numFmt w:val="lowerLetter"/>
      <w:lvlText w:val="%8."/>
      <w:lvlJc w:val="left"/>
      <w:pPr>
        <w:tabs>
          <w:tab w:val="left" w:leader="none" w:pos="6480"/>
        </w:tabs>
        <w:ind w:left="6480" w:hanging="360"/>
      </w:pPr>
    </w:lvl>
    <w:lvl w:ilvl="8" w:tplc="0409001B" w:tentative="1">
      <w:start w:val="1"/>
      <w:numFmt w:val="lowerRoman"/>
      <w:lvlText w:val="%9."/>
      <w:lvlJc w:val="right"/>
      <w:pPr>
        <w:tabs>
          <w:tab w:val="left" w:leader="none" w:pos="7200"/>
        </w:tabs>
        <w:ind w:left="7200" w:hanging="180"/>
      </w:pPr>
    </w:lvl>
  </w:abstractNum>
  <w:num w:numId="1">
    <w:abstractNumId w:val="75"/>
  </w:num>
  <w:num w:numId="2">
    <w:abstractNumId w:val="115"/>
  </w:num>
  <w:num w:numId="3">
    <w:abstractNumId w:val="3"/>
  </w:num>
  <w:num w:numId="4">
    <w:abstractNumId w:val="15"/>
  </w:num>
  <w:num w:numId="5">
    <w:abstractNumId w:val="57"/>
  </w:num>
  <w:num w:numId="6">
    <w:abstractNumId w:val="17"/>
  </w:num>
  <w:num w:numId="7">
    <w:abstractNumId w:val="62"/>
  </w:num>
  <w:num w:numId="8">
    <w:abstractNumId w:val="103"/>
  </w:num>
  <w:num w:numId="9">
    <w:abstractNumId w:val="23"/>
  </w:num>
  <w:num w:numId="10">
    <w:abstractNumId w:val="13"/>
  </w:num>
  <w:num w:numId="11">
    <w:abstractNumId w:val="78"/>
  </w:num>
  <w:num w:numId="12">
    <w:abstractNumId w:val="97"/>
  </w:num>
  <w:num w:numId="13">
    <w:abstractNumId w:val="106"/>
  </w:num>
  <w:num w:numId="14">
    <w:abstractNumId w:val="82"/>
  </w:num>
  <w:num w:numId="15">
    <w:abstractNumId w:val="98"/>
  </w:num>
  <w:num w:numId="16">
    <w:abstractNumId w:val="101"/>
  </w:num>
  <w:num w:numId="17">
    <w:abstractNumId w:val="47"/>
  </w:num>
  <w:num w:numId="18">
    <w:abstractNumId w:val="49"/>
  </w:num>
  <w:num w:numId="19">
    <w:abstractNumId w:val="73"/>
  </w:num>
  <w:num w:numId="20">
    <w:abstractNumId w:val="93"/>
  </w:num>
  <w:num w:numId="21">
    <w:abstractNumId w:val="44"/>
  </w:num>
  <w:num w:numId="22">
    <w:abstractNumId w:val="25"/>
  </w:num>
  <w:num w:numId="23">
    <w:abstractNumId w:val="79"/>
  </w:num>
  <w:num w:numId="24">
    <w:abstractNumId w:val="19"/>
  </w:num>
  <w:num w:numId="25">
    <w:abstractNumId w:val="38"/>
  </w:num>
  <w:num w:numId="26">
    <w:abstractNumId w:val="24"/>
  </w:num>
  <w:num w:numId="27">
    <w:abstractNumId w:val="51"/>
  </w:num>
  <w:num w:numId="28">
    <w:abstractNumId w:val="36"/>
  </w:num>
  <w:num w:numId="29">
    <w:abstractNumId w:val="9"/>
  </w:num>
  <w:num w:numId="30">
    <w:abstractNumId w:val="7"/>
  </w:num>
  <w:num w:numId="31">
    <w:abstractNumId w:val="59"/>
  </w:num>
  <w:num w:numId="32">
    <w:abstractNumId w:val="94"/>
  </w:num>
  <w:num w:numId="33">
    <w:abstractNumId w:val="0"/>
  </w:num>
  <w:num w:numId="34">
    <w:abstractNumId w:val="88"/>
  </w:num>
  <w:num w:numId="35">
    <w:abstractNumId w:val="81"/>
  </w:num>
  <w:num w:numId="36">
    <w:abstractNumId w:val="31"/>
  </w:num>
  <w:num w:numId="37">
    <w:abstractNumId w:val="87"/>
  </w:num>
  <w:num w:numId="38">
    <w:abstractNumId w:val="56"/>
  </w:num>
  <w:num w:numId="39">
    <w:abstractNumId w:val="85"/>
  </w:num>
  <w:num w:numId="40">
    <w:abstractNumId w:val="113"/>
  </w:num>
  <w:num w:numId="41">
    <w:abstractNumId w:val="55"/>
  </w:num>
  <w:num w:numId="42">
    <w:abstractNumId w:val="102"/>
  </w:num>
  <w:num w:numId="43">
    <w:abstractNumId w:val="12"/>
  </w:num>
  <w:num w:numId="44">
    <w:abstractNumId w:val="117"/>
  </w:num>
  <w:num w:numId="45">
    <w:abstractNumId w:val="91"/>
  </w:num>
  <w:num w:numId="46">
    <w:abstractNumId w:val="39"/>
  </w:num>
  <w:num w:numId="47">
    <w:abstractNumId w:val="70"/>
  </w:num>
  <w:num w:numId="48">
    <w:abstractNumId w:val="42"/>
  </w:num>
  <w:num w:numId="49">
    <w:abstractNumId w:val="60"/>
  </w:num>
  <w:num w:numId="50">
    <w:abstractNumId w:val="76"/>
  </w:num>
  <w:num w:numId="51">
    <w:abstractNumId w:val="20"/>
  </w:num>
  <w:num w:numId="52">
    <w:abstractNumId w:val="45"/>
  </w:num>
  <w:num w:numId="53">
    <w:abstractNumId w:val="30"/>
  </w:num>
  <w:num w:numId="54">
    <w:abstractNumId w:val="26"/>
  </w:num>
  <w:num w:numId="55">
    <w:abstractNumId w:val="18"/>
  </w:num>
  <w:num w:numId="56">
    <w:abstractNumId w:val="95"/>
  </w:num>
  <w:num w:numId="57">
    <w:abstractNumId w:val="1"/>
  </w:num>
  <w:num w:numId="58">
    <w:abstractNumId w:val="99"/>
  </w:num>
  <w:num w:numId="59">
    <w:abstractNumId w:val="46"/>
  </w:num>
  <w:num w:numId="60">
    <w:abstractNumId w:val="100"/>
  </w:num>
  <w:num w:numId="61">
    <w:abstractNumId w:val="114"/>
  </w:num>
  <w:num w:numId="62">
    <w:abstractNumId w:val="54"/>
  </w:num>
  <w:num w:numId="63">
    <w:abstractNumId w:val="104"/>
  </w:num>
  <w:num w:numId="64">
    <w:abstractNumId w:val="105"/>
  </w:num>
  <w:num w:numId="65">
    <w:abstractNumId w:val="6"/>
  </w:num>
  <w:num w:numId="66">
    <w:abstractNumId w:val="109"/>
  </w:num>
  <w:num w:numId="67">
    <w:abstractNumId w:val="74"/>
  </w:num>
  <w:num w:numId="68">
    <w:abstractNumId w:val="86"/>
  </w:num>
  <w:num w:numId="69">
    <w:abstractNumId w:val="53"/>
  </w:num>
  <w:num w:numId="70">
    <w:abstractNumId w:val="8"/>
  </w:num>
  <w:num w:numId="71">
    <w:abstractNumId w:val="21"/>
  </w:num>
  <w:num w:numId="72">
    <w:abstractNumId w:val="34"/>
  </w:num>
  <w:num w:numId="73">
    <w:abstractNumId w:val="65"/>
  </w:num>
  <w:num w:numId="74">
    <w:abstractNumId w:val="119"/>
  </w:num>
  <w:num w:numId="75">
    <w:abstractNumId w:val="35"/>
  </w:num>
  <w:num w:numId="76">
    <w:abstractNumId w:val="11"/>
  </w:num>
  <w:num w:numId="77">
    <w:abstractNumId w:val="33"/>
  </w:num>
  <w:num w:numId="78">
    <w:abstractNumId w:val="27"/>
  </w:num>
  <w:num w:numId="79">
    <w:abstractNumId w:val="37"/>
  </w:num>
  <w:num w:numId="80">
    <w:abstractNumId w:val="71"/>
  </w:num>
  <w:num w:numId="81">
    <w:abstractNumId w:val="83"/>
  </w:num>
  <w:num w:numId="82">
    <w:abstractNumId w:val="116"/>
  </w:num>
  <w:num w:numId="83">
    <w:abstractNumId w:val="5"/>
  </w:num>
  <w:num w:numId="84">
    <w:abstractNumId w:val="29"/>
  </w:num>
  <w:num w:numId="85">
    <w:abstractNumId w:val="58"/>
  </w:num>
  <w:num w:numId="86">
    <w:abstractNumId w:val="112"/>
  </w:num>
  <w:num w:numId="87">
    <w:abstractNumId w:val="89"/>
  </w:num>
  <w:num w:numId="88">
    <w:abstractNumId w:val="107"/>
  </w:num>
  <w:num w:numId="89">
    <w:abstractNumId w:val="68"/>
  </w:num>
  <w:num w:numId="90">
    <w:abstractNumId w:val="28"/>
  </w:num>
  <w:num w:numId="91">
    <w:abstractNumId w:val="41"/>
  </w:num>
  <w:num w:numId="92">
    <w:abstractNumId w:val="108"/>
  </w:num>
  <w:num w:numId="93">
    <w:abstractNumId w:val="32"/>
  </w:num>
  <w:num w:numId="94">
    <w:abstractNumId w:val="72"/>
  </w:num>
  <w:num w:numId="95">
    <w:abstractNumId w:val="64"/>
  </w:num>
  <w:num w:numId="96">
    <w:abstractNumId w:val="48"/>
  </w:num>
  <w:num w:numId="97">
    <w:abstractNumId w:val="77"/>
  </w:num>
  <w:num w:numId="98">
    <w:abstractNumId w:val="50"/>
  </w:num>
  <w:num w:numId="99">
    <w:abstractNumId w:val="84"/>
  </w:num>
  <w:num w:numId="100">
    <w:abstractNumId w:val="14"/>
  </w:num>
  <w:num w:numId="101">
    <w:abstractNumId w:val="10"/>
  </w:num>
  <w:num w:numId="102">
    <w:abstractNumId w:val="16"/>
  </w:num>
  <w:num w:numId="103">
    <w:abstractNumId w:val="4"/>
  </w:num>
  <w:num w:numId="104">
    <w:abstractNumId w:val="111"/>
  </w:num>
  <w:num w:numId="105">
    <w:abstractNumId w:val="118"/>
  </w:num>
  <w:num w:numId="106">
    <w:abstractNumId w:val="52"/>
  </w:num>
  <w:num w:numId="10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0"/>
  </w:num>
  <w:num w:numId="109">
    <w:abstractNumId w:val="63"/>
  </w:num>
  <w:num w:numId="110">
    <w:abstractNumId w:val="66"/>
  </w:num>
  <w:num w:numId="111">
    <w:abstractNumId w:val="96"/>
  </w:num>
  <w:num w:numId="112">
    <w:abstractNumId w:val="61"/>
  </w:num>
  <w:num w:numId="113">
    <w:abstractNumId w:val="67"/>
  </w:num>
  <w:num w:numId="114">
    <w:abstractNumId w:val="110"/>
  </w:num>
  <w:num w:numId="115">
    <w:abstractNumId w:val="92"/>
  </w:num>
  <w:num w:numId="116">
    <w:abstractNumId w:val="80"/>
  </w:num>
  <w:num w:numId="117">
    <w:abstractNumId w:val="69"/>
  </w:num>
  <w:num w:numId="118">
    <w:abstractNumId w:val="43"/>
  </w:num>
  <w:num w:numId="119">
    <w:abstractNumId w:val="22"/>
  </w:num>
  <w:num w:numId="120">
    <w:abstractNumId w:val="2"/>
  </w:num>
  <w:num w:numId="121">
    <w:abstractNumId w:val="12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1"/>
  <w:defaultTabStop w:val="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Times New Roman" w:hAnsi="Times New Roman"/>
        <w:lang w:val="fr-FR" w:bidi="ar-SA" w:eastAsia="fr-FR"/>
      </w:rPr>
    </w:rPrDefault>
    <w:pPrDefault>
      <w:pPr/>
    </w:pPrDefault>
  </w:docDefaults>
  <w:style w:type="paragraph" w:default="1" w:styleId="style0">
    <w:name w:val="Normal"/>
    <w:next w:val="style0"/>
    <w:qFormat/>
    <w:pPr>
      <w:spacing w:before="120"/>
      <w:jc w:val="both"/>
    </w:pPr>
    <w:rPr>
      <w:sz w:val="24"/>
      <w:szCs w:val="24"/>
      <w:lang w:eastAsia="en-US"/>
    </w:rPr>
  </w:style>
  <w:style w:type="paragraph" w:styleId="style1">
    <w:name w:val="heading 1"/>
    <w:basedOn w:val="style0"/>
    <w:next w:val="style0"/>
    <w:link w:val="style4177"/>
    <w:qFormat/>
    <w:pPr>
      <w:keepNext/>
      <w:numPr>
        <w:ilvl w:val="0"/>
        <w:numId w:val="36"/>
      </w:numPr>
      <w:tabs>
        <w:tab w:val="clear" w:pos="1080"/>
      </w:tabs>
      <w:suppressAutoHyphens/>
      <w:ind w:left="284"/>
      <w:outlineLvl w:val="0"/>
    </w:pPr>
    <w:rPr>
      <w:b/>
      <w:bCs/>
      <w:caps/>
      <w:sz w:val="28"/>
      <w:szCs w:val="28"/>
    </w:rPr>
  </w:style>
  <w:style w:type="paragraph" w:styleId="style2">
    <w:name w:val="heading 2"/>
    <w:basedOn w:val="style0"/>
    <w:next w:val="style0"/>
    <w:link w:val="style4111"/>
    <w:qFormat/>
    <w:uiPriority w:val="9"/>
    <w:pPr>
      <w:keepNext/>
      <w:numPr>
        <w:ilvl w:val="1"/>
        <w:numId w:val="76"/>
      </w:numPr>
      <w:spacing w:before="360" w:after="240"/>
      <w:ind w:left="284" w:hanging="284"/>
      <w:outlineLvl w:val="1"/>
    </w:pPr>
    <w:rPr>
      <w:rFonts w:ascii="Times New Roman Bold" w:hAnsi="Times New Roman Bold"/>
      <w:b/>
      <w:iCs/>
      <w:spacing w:val="-3"/>
      <w:sz w:val="23"/>
      <w:szCs w:val="23"/>
    </w:rPr>
  </w:style>
  <w:style w:type="paragraph" w:styleId="style3">
    <w:name w:val="heading 3"/>
    <w:basedOn w:val="style0"/>
    <w:next w:val="style0"/>
    <w:link w:val="style4178"/>
    <w:qFormat/>
    <w:uiPriority w:val="9"/>
    <w:pPr>
      <w:keepNext/>
      <w:adjustRightInd w:val="false"/>
      <w:spacing w:before="360" w:after="240" w:lineRule="auto" w:line="276"/>
      <w:ind w:left="644" w:hanging="360"/>
      <w:jc w:val="left"/>
      <w:outlineLvl w:val="2"/>
    </w:pPr>
    <w:rPr>
      <w:rFonts w:ascii="Times New Roman Bold" w:hAnsi="Times New Roman Bold"/>
      <w:b/>
      <w:spacing w:val="-3"/>
      <w:sz w:val="23"/>
      <w:szCs w:val="23"/>
    </w:rPr>
  </w:style>
  <w:style w:type="paragraph" w:styleId="style4">
    <w:name w:val="heading 4"/>
    <w:basedOn w:val="style0"/>
    <w:next w:val="style0"/>
    <w:link w:val="style4179"/>
    <w:qFormat/>
    <w:uiPriority w:val="9"/>
    <w:pPr>
      <w:keepNext/>
      <w:numPr>
        <w:ilvl w:val="3"/>
        <w:numId w:val="76"/>
      </w:numPr>
      <w:suppressAutoHyphens/>
      <w:spacing w:lineRule="auto" w:line="276"/>
      <w:ind w:left="862" w:hanging="862"/>
      <w:outlineLvl w:val="3"/>
    </w:pPr>
    <w:rPr>
      <w:b/>
      <w:bCs/>
      <w:sz w:val="23"/>
      <w:szCs w:val="23"/>
    </w:rPr>
  </w:style>
  <w:style w:type="paragraph" w:styleId="style5">
    <w:name w:val="heading 5"/>
    <w:basedOn w:val="style0"/>
    <w:next w:val="style0"/>
    <w:link w:val="style4180"/>
    <w:qFormat/>
    <w:uiPriority w:val="9"/>
    <w:pPr>
      <w:keepNext/>
      <w:numPr>
        <w:ilvl w:val="4"/>
        <w:numId w:val="36"/>
      </w:numPr>
      <w:tabs>
        <w:tab w:val="clear" w:pos="3960"/>
      </w:tabs>
      <w:spacing w:before="240"/>
      <w:ind w:left="170"/>
      <w:outlineLvl w:val="4"/>
    </w:pPr>
    <w:rPr>
      <w:b/>
      <w:bCs/>
      <w:szCs w:val="22"/>
    </w:rPr>
  </w:style>
  <w:style w:type="paragraph" w:styleId="style6">
    <w:name w:val="heading 6"/>
    <w:basedOn w:val="style0"/>
    <w:next w:val="style0"/>
    <w:link w:val="style4181"/>
    <w:qFormat/>
    <w:uiPriority w:val="9"/>
    <w:pPr>
      <w:keepNext/>
      <w:numPr>
        <w:ilvl w:val="5"/>
        <w:numId w:val="36"/>
      </w:numPr>
      <w:jc w:val="center"/>
      <w:outlineLvl w:val="5"/>
    </w:pPr>
    <w:rPr>
      <w:b/>
      <w:bCs/>
      <w:sz w:val="20"/>
      <w:szCs w:val="20"/>
    </w:rPr>
  </w:style>
  <w:style w:type="paragraph" w:styleId="style7">
    <w:name w:val="heading 7"/>
    <w:basedOn w:val="style0"/>
    <w:next w:val="style0"/>
    <w:link w:val="style4199"/>
    <w:qFormat/>
    <w:uiPriority w:val="9"/>
    <w:pPr>
      <w:keepNext/>
      <w:numPr>
        <w:ilvl w:val="6"/>
        <w:numId w:val="36"/>
      </w:numPr>
      <w:jc w:val="center"/>
      <w:outlineLvl w:val="6"/>
    </w:pPr>
    <w:rPr>
      <w:b/>
      <w:bCs/>
      <w:szCs w:val="22"/>
    </w:rPr>
  </w:style>
  <w:style w:type="paragraph" w:styleId="style8">
    <w:name w:val="heading 8"/>
    <w:basedOn w:val="style0"/>
    <w:next w:val="style0"/>
    <w:link w:val="style4182"/>
    <w:qFormat/>
    <w:uiPriority w:val="9"/>
    <w:pPr>
      <w:keepNext/>
      <w:widowControl w:val="false"/>
      <w:numPr>
        <w:ilvl w:val="7"/>
        <w:numId w:val="36"/>
      </w:numPr>
      <w:outlineLvl w:val="7"/>
    </w:pPr>
    <w:rPr>
      <w:rFonts w:ascii="Arial" w:cs="Arial" w:hAnsi="Arial"/>
      <w:color w:val="000000"/>
      <w:sz w:val="20"/>
      <w:szCs w:val="20"/>
      <w:u w:val="single"/>
      <w:lang w:eastAsia="fr-FR"/>
    </w:rPr>
  </w:style>
  <w:style w:type="paragraph" w:styleId="style9">
    <w:name w:val="heading 9"/>
    <w:basedOn w:val="style0"/>
    <w:next w:val="style0"/>
    <w:link w:val="style4166"/>
    <w:qFormat/>
    <w:uiPriority w:val="9"/>
    <w:pPr>
      <w:keepNext/>
      <w:numPr>
        <w:ilvl w:val="8"/>
        <w:numId w:val="36"/>
      </w:numPr>
      <w:outlineLvl w:val="8"/>
    </w:pPr>
    <w:rPr>
      <w:b/>
      <w:bCs/>
      <w:szCs w:val="22"/>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AM bullet"/>
    <w:basedOn w:val="style0"/>
    <w:next w:val="style4097"/>
    <w:pPr>
      <w:numPr>
        <w:ilvl w:val="0"/>
        <w:numId w:val="17"/>
      </w:numPr>
      <w:tabs>
        <w:tab w:val="left" w:leader="none" w:pos="720"/>
        <w:tab w:val="left" w:leader="none" w:pos="1440"/>
      </w:tabs>
      <w:ind w:right="14"/>
    </w:pPr>
    <w:rPr>
      <w:szCs w:val="22"/>
      <w:lang w:eastAsia="fr-FR"/>
    </w:rPr>
  </w:style>
  <w:style w:type="paragraph" w:styleId="style34">
    <w:name w:val="caption"/>
    <w:basedOn w:val="style0"/>
    <w:next w:val="style0"/>
    <w:link w:val="style4200"/>
    <w:qFormat/>
    <w:pPr>
      <w:spacing w:after="120"/>
    </w:pPr>
    <w:rPr>
      <w:b/>
      <w:bCs/>
    </w:rPr>
  </w:style>
  <w:style w:type="paragraph" w:styleId="style43">
    <w:name w:val="endnote text"/>
    <w:basedOn w:val="style0"/>
    <w:next w:val="style43"/>
    <w:pPr/>
  </w:style>
  <w:style w:type="paragraph" w:styleId="style47">
    <w:name w:val="List"/>
    <w:basedOn w:val="style0"/>
    <w:next w:val="style47"/>
    <w:pPr>
      <w:ind w:left="360" w:hanging="360"/>
    </w:pPr>
    <w:rPr>
      <w:szCs w:val="22"/>
    </w:rPr>
  </w:style>
  <w:style w:type="paragraph" w:customStyle="1" w:styleId="style4098">
    <w:name w:val="Block"/>
    <w:basedOn w:val="style0"/>
    <w:next w:val="style4098"/>
    <w:pPr>
      <w:widowControl w:val="false"/>
    </w:pPr>
    <w:rPr>
      <w:b/>
      <w:sz w:val="22"/>
      <w:szCs w:val="20"/>
    </w:rPr>
  </w:style>
  <w:style w:type="paragraph" w:styleId="style101">
    <w:name w:val="HTML Preformatted"/>
    <w:basedOn w:val="style0"/>
    <w:next w:val="style101"/>
    <w:link w:val="style411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pPr>
    <w:rPr>
      <w:rFonts w:ascii="Arial Unicode MS" w:eastAsia="Arial Unicode MS" w:hAnsi="Arial Unicode MS"/>
      <w:sz w:val="20"/>
      <w:szCs w:val="20"/>
    </w:rPr>
  </w:style>
  <w:style w:type="paragraph" w:customStyle="1" w:styleId="style4099">
    <w:name w:val="ModelDoubleNoIndent"/>
    <w:basedOn w:val="style0"/>
    <w:next w:val="style4099"/>
    <w:pPr>
      <w:spacing w:after="360" w:lineRule="auto" w:line="480"/>
    </w:pPr>
    <w:rPr>
      <w:sz w:val="22"/>
      <w:szCs w:val="20"/>
    </w:rPr>
  </w:style>
  <w:style w:type="paragraph" w:customStyle="1" w:styleId="style4100">
    <w:name w:val="Outline"/>
    <w:basedOn w:val="style0"/>
    <w:next w:val="style4100"/>
    <w:pPr>
      <w:spacing w:before="240"/>
    </w:pPr>
    <w:rPr>
      <w:kern w:val="28"/>
      <w:sz w:val="22"/>
      <w:szCs w:val="20"/>
    </w:rPr>
  </w:style>
  <w:style w:type="paragraph" w:styleId="style81">
    <w:name w:val="Body Text 3"/>
    <w:basedOn w:val="style0"/>
    <w:next w:val="style81"/>
    <w:link w:val="style4114"/>
    <w:pPr/>
    <w:rPr>
      <w:b/>
      <w:bCs/>
      <w:szCs w:val="22"/>
    </w:rPr>
  </w:style>
  <w:style w:type="paragraph" w:styleId="style67">
    <w:name w:val="Body Text Indent"/>
    <w:basedOn w:val="style0"/>
    <w:next w:val="style67"/>
    <w:link w:val="style4154"/>
    <w:pPr/>
  </w:style>
  <w:style w:type="paragraph" w:styleId="style66">
    <w:name w:val="Body Text"/>
    <w:basedOn w:val="style0"/>
    <w:next w:val="style66"/>
    <w:link w:val="style4115"/>
    <w:pPr>
      <w:spacing w:after="120" w:lineRule="atLeast" w:line="240"/>
    </w:pPr>
    <w:rPr>
      <w:szCs w:val="22"/>
    </w:rPr>
  </w:style>
  <w:style w:type="paragraph" w:customStyle="1" w:styleId="style4101">
    <w:name w:val="3"/>
    <w:basedOn w:val="style0"/>
    <w:next w:val="style4101"/>
    <w:pPr>
      <w:tabs>
        <w:tab w:val="left" w:leader="none" w:pos="340"/>
        <w:tab w:val="left" w:leader="none" w:pos="720"/>
        <w:tab w:val="left" w:leader="none" w:pos="1460"/>
        <w:tab w:val="right" w:leader="none" w:pos="9100"/>
      </w:tabs>
      <w:autoSpaceDE w:val="false"/>
      <w:autoSpaceDN w:val="false"/>
      <w:adjustRightInd w:val="false"/>
      <w:spacing w:after="120"/>
    </w:pPr>
    <w:rPr>
      <w:rFonts w:ascii="Arial" w:cs="Arial" w:hAnsi="Arial"/>
      <w:b/>
      <w:bCs/>
      <w:color w:val="ff0000"/>
      <w:lang w:eastAsia="fr-FR"/>
    </w:rPr>
  </w:style>
  <w:style w:type="table" w:styleId="style154">
    <w:name w:val="Table Grid"/>
    <w:basedOn w:val="style105"/>
    <w:next w:val="style154"/>
    <w:uiPriority w:val="59"/>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customStyle="1" w:styleId="style4102">
    <w:name w:val="RapEIS"/>
    <w:basedOn w:val="style19"/>
    <w:next w:val="style4102"/>
    <w:pPr/>
    <w:rPr>
      <w:sz w:val="22"/>
      <w:szCs w:val="20"/>
    </w:rPr>
  </w:style>
  <w:style w:type="paragraph" w:styleId="style19">
    <w:name w:val="toc 1"/>
    <w:basedOn w:val="style0"/>
    <w:next w:val="style0"/>
    <w:uiPriority w:val="39"/>
    <w:pPr>
      <w:tabs>
        <w:tab w:val="right" w:leader="dot" w:pos="9629"/>
      </w:tabs>
      <w:spacing w:after="120"/>
    </w:pPr>
    <w:rPr>
      <w:b/>
      <w:bCs/>
      <w:caps/>
      <w:noProof/>
      <w:sz w:val="18"/>
    </w:rPr>
  </w:style>
  <w:style w:type="paragraph" w:styleId="style80">
    <w:name w:val="Body Text 2"/>
    <w:basedOn w:val="style0"/>
    <w:next w:val="style80"/>
    <w:link w:val="style4185"/>
    <w:uiPriority w:val="99"/>
    <w:pPr>
      <w:spacing w:after="120" w:lineRule="auto" w:line="480"/>
    </w:pPr>
    <w:rPr/>
  </w:style>
  <w:style w:type="character" w:styleId="style85">
    <w:name w:val="Hyperlink"/>
    <w:next w:val="style85"/>
    <w:uiPriority w:val="99"/>
    <w:rPr>
      <w:color w:val="0000ff"/>
      <w:u w:val="single"/>
    </w:rPr>
  </w:style>
  <w:style w:type="character" w:customStyle="1" w:styleId="style4103">
    <w:name w:val="Hyperlink1"/>
    <w:next w:val="style4103"/>
    <w:rPr>
      <w:color w:val="0000ff"/>
      <w:u w:val="single"/>
    </w:rPr>
  </w:style>
  <w:style w:type="paragraph" w:styleId="style20">
    <w:name w:val="toc 2"/>
    <w:basedOn w:val="style0"/>
    <w:next w:val="style0"/>
    <w:uiPriority w:val="39"/>
    <w:pPr>
      <w:tabs>
        <w:tab w:val="left" w:leader="none" w:pos="960"/>
        <w:tab w:val="right" w:leader="dot" w:pos="9629"/>
      </w:tabs>
      <w:ind w:left="240"/>
    </w:pPr>
    <w:rPr>
      <w:b/>
      <w:iCs/>
      <w:smallCaps/>
      <w:noProof/>
      <w:sz w:val="20"/>
    </w:rPr>
  </w:style>
  <w:style w:type="paragraph" w:styleId="style21">
    <w:name w:val="toc 3"/>
    <w:basedOn w:val="style0"/>
    <w:next w:val="style0"/>
    <w:uiPriority w:val="39"/>
    <w:pPr>
      <w:tabs>
        <w:tab w:val="left" w:leader="none" w:pos="1200"/>
        <w:tab w:val="right" w:leader="dot" w:pos="9629"/>
      </w:tabs>
      <w:spacing w:before="0"/>
      <w:jc w:val="left"/>
      <w:contextualSpacing/>
    </w:pPr>
    <w:rPr>
      <w:i/>
      <w:iCs/>
      <w:sz w:val="20"/>
    </w:rPr>
  </w:style>
  <w:style w:type="paragraph" w:styleId="style32">
    <w:name w:val="footer"/>
    <w:basedOn w:val="style0"/>
    <w:next w:val="style32"/>
    <w:link w:val="style4161"/>
    <w:uiPriority w:val="99"/>
    <w:pPr>
      <w:tabs>
        <w:tab w:val="center" w:leader="none" w:pos="4536"/>
        <w:tab w:val="right" w:leader="none" w:pos="9072"/>
      </w:tabs>
    </w:pPr>
    <w:rPr/>
  </w:style>
  <w:style w:type="character" w:styleId="style41">
    <w:name w:val="page number"/>
    <w:basedOn w:val="style65"/>
    <w:next w:val="style41"/>
  </w:style>
  <w:style w:type="paragraph" w:styleId="style82">
    <w:name w:val="Body Text Indent 2"/>
    <w:basedOn w:val="style0"/>
    <w:next w:val="style82"/>
    <w:pPr>
      <w:spacing w:after="120" w:lineRule="auto" w:line="480"/>
      <w:ind w:left="283"/>
    </w:pPr>
    <w:rPr/>
  </w:style>
  <w:style w:type="paragraph" w:styleId="style83">
    <w:name w:val="Body Text Indent 3"/>
    <w:basedOn w:val="style0"/>
    <w:next w:val="style83"/>
    <w:link w:val="style4194"/>
    <w:pPr>
      <w:spacing w:after="120"/>
      <w:ind w:left="283"/>
    </w:pPr>
    <w:rPr>
      <w:sz w:val="16"/>
      <w:szCs w:val="16"/>
    </w:rPr>
  </w:style>
  <w:style w:type="paragraph" w:styleId="style62">
    <w:name w:val="Title"/>
    <w:basedOn w:val="style0"/>
    <w:next w:val="style62"/>
    <w:link w:val="style4116"/>
    <w:qFormat/>
    <w:pPr>
      <w:shd w:val="pct15" w:color="auto" w:fill="ffffff"/>
      <w:jc w:val="center"/>
    </w:pPr>
    <w:rPr>
      <w:rFonts w:ascii="Arial" w:hAnsi="Arial"/>
      <w:b/>
      <w:sz w:val="32"/>
      <w:szCs w:val="20"/>
    </w:rPr>
  </w:style>
  <w:style w:type="paragraph" w:styleId="style74">
    <w:name w:val="Subtitle"/>
    <w:basedOn w:val="style0"/>
    <w:next w:val="style74"/>
    <w:qFormat/>
    <w:pPr>
      <w:jc w:val="center"/>
    </w:pPr>
    <w:rPr>
      <w:b/>
      <w:i/>
      <w:sz w:val="26"/>
      <w:szCs w:val="20"/>
      <w:lang w:eastAsia="fr-FR"/>
    </w:rPr>
  </w:style>
  <w:style w:type="paragraph" w:styleId="style31">
    <w:name w:val="header"/>
    <w:basedOn w:val="style0"/>
    <w:next w:val="style31"/>
    <w:link w:val="style4130"/>
    <w:uiPriority w:val="99"/>
    <w:pPr>
      <w:tabs>
        <w:tab w:val="center" w:leader="none" w:pos="4536"/>
        <w:tab w:val="right" w:leader="none" w:pos="9072"/>
      </w:tabs>
    </w:pPr>
    <w:rPr/>
  </w:style>
  <w:style w:type="character" w:styleId="style38">
    <w:name w:val="footnote reference"/>
    <w:next w:val="style38"/>
    <w:link w:val="style4175"/>
    <w:qFormat/>
    <w:uiPriority w:val="99"/>
    <w:rPr>
      <w:sz w:val="24"/>
      <w:vertAlign w:val="superscript"/>
    </w:rPr>
  </w:style>
  <w:style w:type="paragraph" w:styleId="style29">
    <w:name w:val="footnote text"/>
    <w:basedOn w:val="style0"/>
    <w:next w:val="style29"/>
    <w:link w:val="style4125"/>
    <w:qFormat/>
    <w:uiPriority w:val="99"/>
    <w:pPr>
      <w:keepNext/>
      <w:keepLines/>
      <w:spacing w:after="120"/>
      <w:ind w:left="432" w:hanging="432"/>
    </w:pPr>
    <w:rPr>
      <w:sz w:val="20"/>
      <w:szCs w:val="20"/>
    </w:rPr>
  </w:style>
  <w:style w:type="character" w:styleId="style42">
    <w:name w:val="endnote reference"/>
    <w:next w:val="style42"/>
    <w:rPr>
      <w:vertAlign w:val="superscript"/>
    </w:rPr>
  </w:style>
  <w:style w:type="paragraph" w:customStyle="1" w:styleId="style4104">
    <w:name w:val="Body Text 22"/>
    <w:basedOn w:val="style0"/>
    <w:next w:val="style4104"/>
    <w:pPr/>
    <w:rPr>
      <w:szCs w:val="20"/>
      <w:lang w:val="en-CA" w:eastAsia="fr-FR"/>
    </w:rPr>
  </w:style>
  <w:style w:type="paragraph" w:styleId="style90">
    <w:name w:val="Plain Text"/>
    <w:basedOn w:val="style0"/>
    <w:next w:val="style90"/>
    <w:link w:val="style4168"/>
    <w:uiPriority w:val="99"/>
    <w:pPr/>
    <w:rPr>
      <w:rFonts w:ascii="Courier New" w:cs="Courier New" w:hAnsi="Courier New"/>
      <w:sz w:val="20"/>
      <w:szCs w:val="20"/>
      <w:lang w:eastAsia="fr-FR"/>
    </w:rPr>
  </w:style>
  <w:style w:type="paragraph" w:styleId="style22">
    <w:name w:val="toc 4"/>
    <w:basedOn w:val="style0"/>
    <w:next w:val="style0"/>
    <w:uiPriority w:val="39"/>
    <w:pPr>
      <w:ind w:left="720"/>
    </w:pPr>
    <w:rPr>
      <w:sz w:val="18"/>
      <w:szCs w:val="21"/>
    </w:rPr>
  </w:style>
  <w:style w:type="paragraph" w:styleId="style23">
    <w:name w:val="toc 5"/>
    <w:basedOn w:val="style0"/>
    <w:next w:val="style0"/>
    <w:uiPriority w:val="39"/>
    <w:pPr>
      <w:ind w:left="960"/>
    </w:pPr>
    <w:rPr>
      <w:sz w:val="18"/>
      <w:szCs w:val="21"/>
    </w:rPr>
  </w:style>
  <w:style w:type="paragraph" w:styleId="style24">
    <w:name w:val="toc 6"/>
    <w:basedOn w:val="style0"/>
    <w:next w:val="style0"/>
    <w:uiPriority w:val="39"/>
    <w:pPr>
      <w:ind w:left="1200"/>
    </w:pPr>
    <w:rPr>
      <w:sz w:val="18"/>
      <w:szCs w:val="21"/>
    </w:rPr>
  </w:style>
  <w:style w:type="paragraph" w:styleId="style25">
    <w:name w:val="toc 7"/>
    <w:basedOn w:val="style0"/>
    <w:next w:val="style0"/>
    <w:uiPriority w:val="39"/>
    <w:pPr>
      <w:ind w:left="1440"/>
    </w:pPr>
    <w:rPr>
      <w:sz w:val="18"/>
      <w:szCs w:val="21"/>
    </w:rPr>
  </w:style>
  <w:style w:type="paragraph" w:styleId="style26">
    <w:name w:val="toc 8"/>
    <w:basedOn w:val="style0"/>
    <w:next w:val="style0"/>
    <w:uiPriority w:val="39"/>
    <w:pPr>
      <w:ind w:left="1680"/>
    </w:pPr>
    <w:rPr>
      <w:sz w:val="18"/>
      <w:szCs w:val="21"/>
    </w:rPr>
  </w:style>
  <w:style w:type="paragraph" w:styleId="style27">
    <w:name w:val="toc 9"/>
    <w:basedOn w:val="style0"/>
    <w:next w:val="style0"/>
    <w:uiPriority w:val="39"/>
    <w:pPr>
      <w:ind w:left="1920"/>
    </w:pPr>
    <w:rPr>
      <w:sz w:val="18"/>
      <w:szCs w:val="21"/>
    </w:rPr>
  </w:style>
  <w:style w:type="paragraph" w:customStyle="1" w:styleId="style4105">
    <w:name w:val="Objectifs"/>
    <w:basedOn w:val="style0"/>
    <w:next w:val="style66"/>
    <w:pPr>
      <w:spacing w:before="220" w:after="220" w:lineRule="atLeast" w:line="220"/>
    </w:pPr>
    <w:rPr>
      <w:sz w:val="20"/>
      <w:szCs w:val="20"/>
      <w:lang w:eastAsia="fr-FR"/>
    </w:rPr>
  </w:style>
  <w:style w:type="paragraph" w:customStyle="1" w:styleId="style4106">
    <w:name w:val="Nom de société"/>
    <w:basedOn w:val="style0"/>
    <w:next w:val="style4107"/>
    <w:pPr>
      <w:tabs>
        <w:tab w:val="left" w:leader="none" w:pos="1440"/>
        <w:tab w:val="right" w:leader="none" w:pos="6480"/>
      </w:tabs>
      <w:spacing w:before="220" w:lineRule="atLeast" w:line="220"/>
    </w:pPr>
    <w:rPr>
      <w:rFonts w:ascii="Garamond" w:hAnsi="Garamond"/>
      <w:sz w:val="22"/>
      <w:szCs w:val="22"/>
    </w:rPr>
  </w:style>
  <w:style w:type="paragraph" w:customStyle="1" w:styleId="style4107">
    <w:name w:val="Intitulé du poste"/>
    <w:next w:val="style0"/>
    <w:pPr>
      <w:spacing w:before="40" w:after="40" w:lineRule="atLeast" w:line="220"/>
    </w:pPr>
    <w:rPr>
      <w:rFonts w:ascii="Garamond" w:hAnsi="Garamond"/>
      <w:i/>
      <w:iCs/>
      <w:spacing w:val="5"/>
      <w:sz w:val="23"/>
      <w:szCs w:val="23"/>
      <w:lang w:eastAsia="en-US"/>
    </w:rPr>
  </w:style>
  <w:style w:type="paragraph" w:styleId="style68">
    <w:name w:val="List Continue"/>
    <w:basedOn w:val="style0"/>
    <w:next w:val="style68"/>
    <w:pPr>
      <w:spacing w:after="120"/>
      <w:ind w:left="283"/>
    </w:pPr>
    <w:rPr/>
  </w:style>
  <w:style w:type="paragraph" w:customStyle="1" w:styleId="style4108">
    <w:name w:val="puce"/>
    <w:basedOn w:val="style0"/>
    <w:next w:val="style4108"/>
    <w:pPr>
      <w:numPr>
        <w:ilvl w:val="0"/>
        <w:numId w:val="53"/>
      </w:numPr>
      <w:tabs>
        <w:tab w:val="left" w:leader="none" w:pos="414"/>
        <w:tab w:val="left" w:leader="none" w:pos="1134"/>
        <w:tab w:val="left" w:leader="none" w:pos="1854"/>
        <w:tab w:val="left" w:leader="none" w:pos="2041"/>
        <w:tab w:val="left" w:leader="none" w:pos="2574"/>
        <w:tab w:val="left" w:leader="none" w:pos="3294"/>
        <w:tab w:val="left" w:leader="none" w:pos="4014"/>
        <w:tab w:val="left" w:leader="none" w:pos="4734"/>
        <w:tab w:val="left" w:leader="none" w:pos="5454"/>
        <w:tab w:val="left" w:leader="none" w:pos="6174"/>
        <w:tab w:val="left" w:leader="none" w:pos="6894"/>
        <w:tab w:val="left" w:leader="none" w:pos="7614"/>
        <w:tab w:val="left" w:leader="none" w:pos="8334"/>
        <w:tab w:val="left" w:leader="none" w:pos="9054"/>
      </w:tabs>
    </w:pPr>
    <w:rPr>
      <w:rFonts w:ascii="Century Schoolbook" w:hAnsi="Century Schoolbook"/>
      <w:sz w:val="22"/>
      <w:szCs w:val="20"/>
    </w:rPr>
  </w:style>
  <w:style w:type="paragraph" w:styleId="style153">
    <w:name w:val="Balloon Text"/>
    <w:basedOn w:val="style0"/>
    <w:next w:val="style153"/>
    <w:link w:val="style4184"/>
    <w:uiPriority w:val="99"/>
    <w:pPr/>
    <w:rPr>
      <w:rFonts w:ascii="Tahoma" w:cs="Tahoma" w:hAnsi="Tahoma"/>
      <w:sz w:val="16"/>
      <w:szCs w:val="16"/>
    </w:rPr>
  </w:style>
  <w:style w:type="paragraph" w:styleId="style30">
    <w:name w:val="annotation text"/>
    <w:basedOn w:val="style0"/>
    <w:next w:val="style30"/>
    <w:link w:val="style4109"/>
    <w:uiPriority w:val="99"/>
    <w:pPr/>
    <w:rPr>
      <w:sz w:val="20"/>
      <w:szCs w:val="20"/>
    </w:rPr>
  </w:style>
  <w:style w:type="character" w:customStyle="1" w:styleId="style4109">
    <w:name w:val="Commentaire Car"/>
    <w:next w:val="style4109"/>
    <w:link w:val="style30"/>
    <w:uiPriority w:val="99"/>
    <w:rPr>
      <w:lang w:val="en-US" w:eastAsia="en-US"/>
    </w:rPr>
  </w:style>
  <w:style w:type="paragraph" w:styleId="style106">
    <w:name w:val="annotation subject"/>
    <w:basedOn w:val="style30"/>
    <w:next w:val="style30"/>
    <w:link w:val="style4110"/>
    <w:uiPriority w:val="99"/>
    <w:pPr/>
    <w:rPr>
      <w:rFonts w:eastAsia="MS Mincho"/>
      <w:b/>
      <w:bCs/>
    </w:rPr>
  </w:style>
  <w:style w:type="character" w:customStyle="1" w:styleId="style4110">
    <w:name w:val="Objet du commentaire Car"/>
    <w:next w:val="style4110"/>
    <w:link w:val="style106"/>
    <w:uiPriority w:val="99"/>
    <w:rPr>
      <w:rFonts w:eastAsia="MS Mincho"/>
      <w:b/>
      <w:bCs/>
      <w:lang w:val="en-US" w:eastAsia="en-US"/>
    </w:rPr>
  </w:style>
  <w:style w:type="character" w:styleId="style39">
    <w:name w:val="annotation reference"/>
    <w:next w:val="style39"/>
    <w:uiPriority w:val="99"/>
    <w:rPr>
      <w:sz w:val="16"/>
      <w:szCs w:val="16"/>
    </w:rPr>
  </w:style>
  <w:style w:type="character" w:customStyle="1" w:styleId="style4111">
    <w:name w:val="Titre 2 Car"/>
    <w:next w:val="style4111"/>
    <w:link w:val="style2"/>
    <w:uiPriority w:val="9"/>
    <w:rPr>
      <w:rFonts w:ascii="Times New Roman Bold" w:hAnsi="Times New Roman Bold"/>
      <w:b/>
      <w:iCs/>
      <w:spacing w:val="-3"/>
      <w:sz w:val="23"/>
      <w:szCs w:val="23"/>
      <w:lang w:eastAsia="en-US"/>
    </w:rPr>
  </w:style>
  <w:style w:type="paragraph" w:customStyle="1" w:styleId="style4112">
    <w:name w:val="Liste couleur - Accent 12"/>
    <w:basedOn w:val="style0"/>
    <w:next w:val="style4112"/>
    <w:link w:val="style4157"/>
    <w:qFormat/>
    <w:uiPriority w:val="34"/>
    <w:pPr>
      <w:spacing w:after="200" w:lineRule="auto" w:line="276"/>
      <w:ind w:left="720"/>
      <w:contextualSpacing/>
    </w:pPr>
    <w:rPr>
      <w:rFonts w:ascii="Calibri" w:eastAsia="Calibri" w:hAnsi="Calibri"/>
      <w:sz w:val="22"/>
      <w:szCs w:val="22"/>
    </w:rPr>
  </w:style>
  <w:style w:type="paragraph" w:customStyle="1" w:styleId="style4113">
    <w:name w:val="En-tête de table des matières1"/>
    <w:basedOn w:val="style1"/>
    <w:next w:val="style0"/>
    <w:qFormat/>
    <w:uiPriority w:val="39"/>
    <w:pPr>
      <w:keepLines/>
      <w:numPr>
        <w:ilvl w:val="0"/>
        <w:numId w:val="0"/>
      </w:numPr>
      <w:suppressAutoHyphens w:val="false"/>
      <w:spacing w:before="480" w:lineRule="auto" w:line="276"/>
      <w:outlineLvl w:val="9"/>
    </w:pPr>
    <w:rPr>
      <w:rFonts w:ascii="Cambria" w:hAnsi="Cambria"/>
      <w:caps w:val="false"/>
      <w:color w:val="365f91"/>
    </w:rPr>
  </w:style>
  <w:style w:type="character" w:customStyle="1" w:styleId="style4114">
    <w:name w:val="Corps de texte 3 Car"/>
    <w:next w:val="style4114"/>
    <w:link w:val="style81"/>
    <w:rPr>
      <w:b/>
      <w:bCs/>
      <w:sz w:val="24"/>
      <w:szCs w:val="22"/>
      <w:lang w:eastAsia="en-US"/>
    </w:rPr>
  </w:style>
  <w:style w:type="character" w:customStyle="1" w:styleId="style4115">
    <w:name w:val="Corps de texte Car"/>
    <w:next w:val="style4115"/>
    <w:link w:val="style66"/>
    <w:rPr>
      <w:sz w:val="24"/>
      <w:szCs w:val="22"/>
      <w:lang w:eastAsia="en-US"/>
    </w:rPr>
  </w:style>
  <w:style w:type="character" w:customStyle="1" w:styleId="style4116">
    <w:name w:val="Titre Car"/>
    <w:next w:val="style4116"/>
    <w:link w:val="style62"/>
    <w:rPr>
      <w:rFonts w:ascii="Arial" w:hAnsi="Arial"/>
      <w:b/>
      <w:sz w:val="32"/>
      <w:shd w:val="pct15" w:color="auto" w:fill="ffffff"/>
    </w:rPr>
  </w:style>
  <w:style w:type="character" w:customStyle="1" w:styleId="style4117">
    <w:name w:val="Préformaté HTML Car"/>
    <w:next w:val="style4117"/>
    <w:link w:val="style101"/>
    <w:rPr>
      <w:rFonts w:ascii="Arial Unicode MS" w:cs="Arial Unicode MS" w:eastAsia="Arial Unicode MS" w:hAnsi="Arial Unicode MS"/>
      <w:lang w:eastAsia="en-US"/>
    </w:rPr>
  </w:style>
  <w:style w:type="paragraph" w:customStyle="1" w:styleId="style4118">
    <w:name w:val="Outline1"/>
    <w:basedOn w:val="style4100"/>
    <w:next w:val="style4119"/>
    <w:pPr>
      <w:keepNext/>
      <w:numPr>
        <w:ilvl w:val="0"/>
        <w:numId w:val="51"/>
      </w:numPr>
      <w:tabs>
        <w:tab w:val="clear" w:pos="432"/>
      </w:tabs>
      <w:ind w:left="360" w:hanging="360"/>
    </w:pPr>
    <w:rPr>
      <w:szCs w:val="22"/>
      <w:lang w:eastAsia="fr-FR"/>
    </w:rPr>
  </w:style>
  <w:style w:type="paragraph" w:customStyle="1" w:styleId="style4119">
    <w:name w:val="Outline2"/>
    <w:basedOn w:val="style0"/>
    <w:next w:val="style4119"/>
    <w:pPr>
      <w:numPr>
        <w:ilvl w:val="1"/>
        <w:numId w:val="51"/>
      </w:numPr>
      <w:tabs>
        <w:tab w:val="clear" w:pos="1152"/>
      </w:tabs>
      <w:spacing w:before="240"/>
      <w:ind w:left="864" w:hanging="504"/>
    </w:pPr>
    <w:rPr>
      <w:kern w:val="28"/>
      <w:sz w:val="22"/>
      <w:szCs w:val="22"/>
      <w:lang w:eastAsia="fr-FR"/>
    </w:rPr>
  </w:style>
  <w:style w:type="paragraph" w:customStyle="1" w:styleId="style4120">
    <w:name w:val="Outline3"/>
    <w:basedOn w:val="style0"/>
    <w:next w:val="style4120"/>
    <w:pPr>
      <w:numPr>
        <w:ilvl w:val="2"/>
        <w:numId w:val="51"/>
      </w:numPr>
      <w:tabs>
        <w:tab w:val="clear" w:pos="1728"/>
      </w:tabs>
      <w:spacing w:before="240"/>
      <w:ind w:left="1368" w:hanging="504"/>
    </w:pPr>
    <w:rPr>
      <w:kern w:val="28"/>
      <w:sz w:val="22"/>
      <w:szCs w:val="22"/>
      <w:lang w:eastAsia="fr-FR"/>
    </w:rPr>
  </w:style>
  <w:style w:type="paragraph" w:customStyle="1" w:styleId="style4121">
    <w:name w:val="Outline4"/>
    <w:basedOn w:val="style0"/>
    <w:next w:val="style4121"/>
    <w:pPr>
      <w:numPr>
        <w:ilvl w:val="3"/>
        <w:numId w:val="51"/>
      </w:numPr>
      <w:tabs>
        <w:tab w:val="clear" w:pos="2304"/>
      </w:tabs>
      <w:spacing w:before="240"/>
      <w:ind w:left="1872" w:hanging="504"/>
    </w:pPr>
    <w:rPr>
      <w:kern w:val="28"/>
      <w:sz w:val="22"/>
      <w:szCs w:val="22"/>
      <w:lang w:eastAsia="fr-FR"/>
    </w:rPr>
  </w:style>
  <w:style w:type="character" w:customStyle="1" w:styleId="style4122">
    <w:name w:val="Titre 1 Car Car Car Car Car Car Car Car Car Car Car Car Car Car Car Car Car Car Car"/>
    <w:next w:val="style4122"/>
    <w:rPr>
      <w:b/>
      <w:bCs/>
      <w:color w:val="000000"/>
      <w:sz w:val="24"/>
      <w:lang w:val="fr-FR" w:bidi="ar-SA" w:eastAsia="fr-FR"/>
    </w:rPr>
  </w:style>
  <w:style w:type="paragraph" w:customStyle="1" w:styleId="style4123">
    <w:name w:val="PDS Heading 2"/>
    <w:next w:val="style0"/>
    <w:pPr>
      <w:keepNext/>
      <w:numPr>
        <w:ilvl w:val="1"/>
        <w:numId w:val="102"/>
      </w:numPr>
    </w:pPr>
    <w:rPr>
      <w:b/>
      <w:sz w:val="24"/>
      <w:lang w:val="en-US" w:eastAsia="en-US"/>
    </w:rPr>
  </w:style>
  <w:style w:type="paragraph" w:customStyle="1" w:styleId="style4124">
    <w:name w:val="PDS Heading 1"/>
    <w:next w:val="style4123"/>
    <w:pPr>
      <w:keepNext/>
      <w:numPr>
        <w:ilvl w:val="0"/>
        <w:numId w:val="102"/>
      </w:numPr>
      <w:outlineLvl w:val="0"/>
    </w:pPr>
    <w:rPr>
      <w:b/>
      <w:caps/>
      <w:sz w:val="24"/>
      <w:lang w:val="en-US" w:eastAsia="en-US"/>
    </w:rPr>
  </w:style>
  <w:style w:type="character" w:customStyle="1" w:styleId="style4125">
    <w:name w:val="Note de bas de page Car"/>
    <w:next w:val="style4125"/>
    <w:link w:val="style29"/>
    <w:uiPriority w:val="99"/>
    <w:rPr>
      <w:lang w:val="en-US" w:eastAsia="en-US"/>
    </w:rPr>
  </w:style>
  <w:style w:type="paragraph" w:styleId="style54">
    <w:name w:val="List Bullet 2"/>
    <w:basedOn w:val="style0"/>
    <w:next w:val="style54"/>
    <w:pPr>
      <w:numPr>
        <w:ilvl w:val="0"/>
        <w:numId w:val="75"/>
      </w:numPr>
      <w:contextualSpacing/>
    </w:pPr>
    <w:rPr>
      <w:sz w:val="22"/>
      <w:szCs w:val="20"/>
    </w:rPr>
  </w:style>
  <w:style w:type="paragraph" w:customStyle="1" w:styleId="style4126">
    <w:name w:val="program description"/>
    <w:basedOn w:val="style0"/>
    <w:next w:val="style4126"/>
    <w:pPr>
      <w:spacing w:before="40" w:after="60"/>
      <w:ind w:left="29" w:right="29"/>
    </w:pPr>
    <w:rPr>
      <w:rFonts w:ascii="Arial" w:hAnsi="Arial"/>
      <w:sz w:val="17"/>
      <w:szCs w:val="20"/>
    </w:rPr>
  </w:style>
  <w:style w:type="paragraph" w:customStyle="1" w:styleId="style4127">
    <w:name w:val="Style"/>
    <w:next w:val="style4127"/>
    <w:pPr>
      <w:widowControl w:val="false"/>
      <w:autoSpaceDE w:val="false"/>
      <w:autoSpaceDN w:val="false"/>
      <w:adjustRightInd w:val="false"/>
    </w:pPr>
    <w:rPr>
      <w:sz w:val="24"/>
      <w:szCs w:val="24"/>
    </w:rPr>
  </w:style>
  <w:style w:type="paragraph" w:customStyle="1" w:styleId="style4128">
    <w:name w:val="Body Text 21"/>
    <w:basedOn w:val="style0"/>
    <w:next w:val="style4128"/>
    <w:pPr>
      <w:widowControl w:val="false"/>
      <w:autoSpaceDE w:val="false"/>
      <w:autoSpaceDN w:val="false"/>
    </w:pPr>
    <w:rPr>
      <w:rFonts w:ascii="Arial" w:cs="Arial" w:hAnsi="Arial"/>
      <w:sz w:val="22"/>
      <w:szCs w:val="22"/>
      <w:lang w:eastAsia="fr-FR"/>
    </w:rPr>
  </w:style>
  <w:style w:type="character" w:customStyle="1" w:styleId="style4129">
    <w:name w:val="spelle"/>
    <w:basedOn w:val="style65"/>
    <w:next w:val="style4129"/>
  </w:style>
  <w:style w:type="character" w:customStyle="1" w:styleId="style4130">
    <w:name w:val="En-tête Car"/>
    <w:next w:val="style4130"/>
    <w:link w:val="style31"/>
    <w:uiPriority w:val="99"/>
    <w:rPr>
      <w:sz w:val="24"/>
      <w:szCs w:val="24"/>
    </w:rPr>
  </w:style>
  <w:style w:type="paragraph" w:customStyle="1" w:styleId="style4131">
    <w:name w:val="font7"/>
    <w:basedOn w:val="style0"/>
    <w:next w:val="style4131"/>
    <w:pPr>
      <w:spacing w:before="100" w:beforeAutospacing="true" w:after="100" w:afterAutospacing="true"/>
    </w:pPr>
    <w:rPr>
      <w:rFonts w:eastAsia="Arial Unicode MS"/>
      <w:sz w:val="22"/>
      <w:szCs w:val="22"/>
    </w:rPr>
  </w:style>
  <w:style w:type="paragraph" w:customStyle="1" w:styleId="style4132">
    <w:name w:val="Style1"/>
    <w:basedOn w:val="style34"/>
    <w:next w:val="style4132"/>
    <w:pPr>
      <w:spacing w:lineRule="auto" w:line="360"/>
    </w:pPr>
    <w:rPr>
      <w:rFonts w:ascii="Arial" w:cs="Arial" w:hAnsi="Arial"/>
      <w:lang w:eastAsia="fr-FR"/>
    </w:rPr>
  </w:style>
  <w:style w:type="paragraph" w:customStyle="1" w:styleId="style4133">
    <w:name w:val="Normalpuces"/>
    <w:basedOn w:val="style0"/>
    <w:next w:val="style4133"/>
    <w:pPr>
      <w:numPr>
        <w:ilvl w:val="0"/>
        <w:numId w:val="109"/>
      </w:numPr>
      <w:spacing w:lineRule="auto" w:line="360"/>
    </w:pPr>
    <w:rPr>
      <w:lang w:eastAsia="fr-FR"/>
    </w:rPr>
  </w:style>
  <w:style w:type="paragraph" w:customStyle="1" w:styleId="style4134">
    <w:name w:val="Texte par défaut"/>
    <w:basedOn w:val="style0"/>
    <w:next w:val="style4134"/>
    <w:pPr>
      <w:widowControl w:val="false"/>
    </w:pPr>
    <w:rPr>
      <w:rFonts w:ascii="Arial" w:hAnsi="Arial"/>
      <w:lang w:eastAsia="fr-FR"/>
    </w:rPr>
  </w:style>
  <w:style w:type="paragraph" w:customStyle="1" w:styleId="style4135">
    <w:name w:val="Default"/>
    <w:next w:val="style4135"/>
    <w:link w:val="style4224"/>
    <w:pPr>
      <w:autoSpaceDE w:val="false"/>
      <w:autoSpaceDN w:val="false"/>
      <w:adjustRightInd w:val="false"/>
    </w:pPr>
    <w:rPr>
      <w:rFonts w:ascii="Arial" w:cs="Arial" w:hAnsi="Arial"/>
      <w:color w:val="000000"/>
      <w:sz w:val="24"/>
      <w:szCs w:val="24"/>
    </w:rPr>
  </w:style>
  <w:style w:type="paragraph" w:customStyle="1" w:styleId="style4136">
    <w:name w:val="Heading 21"/>
    <w:basedOn w:val="style4135"/>
    <w:next w:val="style4135"/>
    <w:uiPriority w:val="99"/>
    <w:pPr/>
    <w:rPr>
      <w:color w:val="auto"/>
    </w:rPr>
  </w:style>
  <w:style w:type="paragraph" w:customStyle="1" w:styleId="style4137">
    <w:name w:val="Heading 11"/>
    <w:basedOn w:val="style4135"/>
    <w:next w:val="style4135"/>
    <w:uiPriority w:val="99"/>
    <w:pPr/>
    <w:rPr>
      <w:color w:val="auto"/>
    </w:rPr>
  </w:style>
  <w:style w:type="paragraph" w:styleId="style94">
    <w:name w:val="Normal (Web)"/>
    <w:basedOn w:val="style0"/>
    <w:next w:val="style94"/>
    <w:uiPriority w:val="99"/>
    <w:pPr>
      <w:spacing w:before="100" w:beforeAutospacing="true" w:after="100" w:afterAutospacing="true"/>
    </w:pPr>
    <w:rPr>
      <w:rFonts w:ascii="Arial" w:cs="Arial" w:hAnsi="Arial"/>
      <w:color w:val="2d5537"/>
      <w:sz w:val="15"/>
      <w:szCs w:val="15"/>
      <w:lang w:eastAsia="fr-FR"/>
    </w:rPr>
  </w:style>
  <w:style w:type="character" w:styleId="style87">
    <w:name w:val="Strong"/>
    <w:next w:val="style87"/>
    <w:qFormat/>
    <w:uiPriority w:val="22"/>
    <w:rPr>
      <w:b/>
      <w:bCs/>
    </w:rPr>
  </w:style>
  <w:style w:type="character" w:customStyle="1" w:styleId="style4138">
    <w:name w:val="textemaj1"/>
    <w:next w:val="style4138"/>
    <w:rPr>
      <w:rFonts w:ascii="Arial" w:cs="Arial" w:hAnsi="Arial" w:hint="default"/>
      <w:b w:val="false"/>
      <w:bCs w:val="false"/>
      <w:smallCaps/>
      <w:sz w:val="16"/>
      <w:szCs w:val="16"/>
    </w:rPr>
  </w:style>
  <w:style w:type="paragraph" w:customStyle="1" w:styleId="style4139">
    <w:name w:val="Titre 1.Main Heading.Main Head.TCI 1.  Heading"/>
    <w:basedOn w:val="style0"/>
    <w:next w:val="style0"/>
    <w:qFormat/>
    <w:pPr>
      <w:keepNext/>
      <w:numPr>
        <w:ilvl w:val="0"/>
        <w:numId w:val="25"/>
      </w:numPr>
      <w:tabs>
        <w:tab w:val="left" w:leader="none" w:pos="1134"/>
      </w:tabs>
      <w:spacing w:after="480"/>
      <w:jc w:val="center"/>
      <w:outlineLvl w:val="0"/>
    </w:pPr>
    <w:rPr>
      <w:rFonts w:ascii="Univers (W1)" w:hAnsi="Univers (W1)"/>
      <w:b/>
      <w:caps/>
      <w:kern w:val="28"/>
      <w:sz w:val="28"/>
      <w:szCs w:val="20"/>
      <w:lang w:eastAsia="fr-FR"/>
    </w:rPr>
  </w:style>
  <w:style w:type="paragraph" w:customStyle="1" w:styleId="style4140">
    <w:name w:val="Titre 2.Paranum.alec2"/>
    <w:basedOn w:val="style0"/>
    <w:next w:val="style0"/>
    <w:pPr>
      <w:numPr>
        <w:ilvl w:val="1"/>
        <w:numId w:val="25"/>
      </w:numPr>
      <w:tabs>
        <w:tab w:val="left" w:leader="none" w:pos="1134"/>
      </w:tabs>
      <w:spacing w:after="240"/>
      <w:outlineLvl w:val="1"/>
    </w:pPr>
    <w:rPr>
      <w:sz w:val="22"/>
      <w:szCs w:val="20"/>
      <w:lang w:eastAsia="fr-FR"/>
    </w:rPr>
  </w:style>
  <w:style w:type="paragraph" w:customStyle="1" w:styleId="style4141">
    <w:name w:val="Titre 3.Centered.centered.alec3"/>
    <w:basedOn w:val="style0"/>
    <w:next w:val="style0"/>
    <w:pPr>
      <w:keepNext/>
      <w:numPr>
        <w:ilvl w:val="2"/>
        <w:numId w:val="25"/>
      </w:numPr>
      <w:tabs>
        <w:tab w:val="left" w:leader="none" w:pos="1134"/>
      </w:tabs>
      <w:spacing w:after="240"/>
      <w:jc w:val="center"/>
      <w:outlineLvl w:val="2"/>
    </w:pPr>
    <w:rPr>
      <w:b/>
      <w:sz w:val="22"/>
      <w:szCs w:val="20"/>
      <w:lang w:eastAsia="fr-FR"/>
    </w:rPr>
  </w:style>
  <w:style w:type="paragraph" w:customStyle="1" w:styleId="style4142">
    <w:name w:val="Titre 4.Centred.Cen."/>
    <w:basedOn w:val="style0"/>
    <w:next w:val="style0"/>
    <w:pPr>
      <w:keepNext/>
      <w:numPr>
        <w:ilvl w:val="3"/>
        <w:numId w:val="25"/>
      </w:numPr>
      <w:tabs>
        <w:tab w:val="left" w:leader="none" w:pos="1134"/>
      </w:tabs>
      <w:spacing w:after="240"/>
      <w:jc w:val="center"/>
      <w:outlineLvl w:val="3"/>
    </w:pPr>
    <w:rPr>
      <w:b/>
      <w:sz w:val="22"/>
      <w:szCs w:val="20"/>
      <w:lang w:eastAsia="fr-FR"/>
    </w:rPr>
  </w:style>
  <w:style w:type="paragraph" w:customStyle="1" w:styleId="style4143">
    <w:name w:val="Titre 5.Side"/>
    <w:basedOn w:val="style0"/>
    <w:next w:val="style0"/>
    <w:pPr>
      <w:numPr>
        <w:ilvl w:val="4"/>
        <w:numId w:val="25"/>
      </w:numPr>
      <w:tabs>
        <w:tab w:val="left" w:leader="none" w:pos="1134"/>
      </w:tabs>
      <w:spacing w:after="240"/>
      <w:outlineLvl w:val="4"/>
    </w:pPr>
    <w:rPr>
      <w:rFonts w:ascii="Times New Roman Bold" w:hAnsi="Times New Roman Bold"/>
      <w:b/>
      <w:sz w:val="22"/>
      <w:szCs w:val="20"/>
      <w:lang w:eastAsia="fr-FR"/>
    </w:rPr>
  </w:style>
  <w:style w:type="paragraph" w:customStyle="1" w:styleId="style4144">
    <w:name w:val="Titre 9.Heading 9-paranum.Heading 9-"/>
    <w:basedOn w:val="style0"/>
    <w:next w:val="style0"/>
    <w:pPr>
      <w:tabs>
        <w:tab w:val="left" w:leader="none" w:pos="1134"/>
      </w:tabs>
      <w:spacing w:before="240" w:after="60"/>
      <w:ind w:left="1134"/>
      <w:outlineLvl w:val="8"/>
    </w:pPr>
    <w:rPr>
      <w:rFonts w:ascii="Arial" w:hAnsi="Arial"/>
      <w:i/>
      <w:sz w:val="18"/>
      <w:szCs w:val="20"/>
      <w:lang w:eastAsia="fr-FR"/>
    </w:rPr>
  </w:style>
  <w:style w:type="paragraph" w:customStyle="1" w:styleId="style4145">
    <w:name w:val="Space between numbered paras"/>
    <w:basedOn w:val="style0"/>
    <w:next w:val="style1"/>
    <w:pPr>
      <w:overflowPunct w:val="false"/>
      <w:autoSpaceDE w:val="false"/>
      <w:autoSpaceDN w:val="false"/>
      <w:adjustRightInd w:val="false"/>
      <w:textAlignment w:val="baseline"/>
    </w:pPr>
    <w:rPr>
      <w:sz w:val="22"/>
      <w:szCs w:val="20"/>
    </w:rPr>
  </w:style>
  <w:style w:type="character" w:styleId="style88">
    <w:name w:val="Emphasis"/>
    <w:next w:val="style88"/>
    <w:qFormat/>
    <w:uiPriority w:val="20"/>
    <w:rPr>
      <w:b/>
      <w:bCs/>
      <w:i w:val="false"/>
      <w:iCs w:val="false"/>
    </w:rPr>
  </w:style>
  <w:style w:type="character" w:customStyle="1" w:styleId="style4146">
    <w:name w:val="ft"/>
    <w:basedOn w:val="style65"/>
    <w:next w:val="style4146"/>
  </w:style>
  <w:style w:type="character" w:customStyle="1" w:styleId="style4147">
    <w:name w:val="goog_qs-tidbit1"/>
    <w:next w:val="style4147"/>
    <w:rPr>
      <w:vanish w:val="false"/>
      <w:webHidden w:val="false"/>
      <w:specVanish w:val="false"/>
    </w:rPr>
  </w:style>
  <w:style w:type="paragraph" w:styleId="style89">
    <w:name w:val="Document Map"/>
    <w:basedOn w:val="style0"/>
    <w:next w:val="style89"/>
    <w:link w:val="style4148"/>
    <w:uiPriority w:val="99"/>
    <w:pPr/>
    <w:rPr>
      <w:rFonts w:ascii="Tahoma" w:hAnsi="Tahoma"/>
      <w:sz w:val="16"/>
      <w:szCs w:val="16"/>
    </w:rPr>
  </w:style>
  <w:style w:type="character" w:customStyle="1" w:styleId="style4148">
    <w:name w:val="Explorateur de documents Car"/>
    <w:next w:val="style4148"/>
    <w:link w:val="style89"/>
    <w:uiPriority w:val="99"/>
    <w:rPr>
      <w:rFonts w:ascii="Tahoma" w:cs="Tahoma" w:hAnsi="Tahoma"/>
      <w:sz w:val="16"/>
      <w:szCs w:val="16"/>
      <w:lang w:val="en-US" w:eastAsia="en-US"/>
    </w:rPr>
  </w:style>
  <w:style w:type="character" w:customStyle="1" w:styleId="style4149">
    <w:name w:val="HTML Markup"/>
    <w:next w:val="style4149"/>
    <w:rPr>
      <w:vanish/>
      <w:color w:val="ff0000"/>
    </w:rPr>
  </w:style>
  <w:style w:type="paragraph" w:customStyle="1" w:styleId="style4150">
    <w:name w:val="_"/>
    <w:basedOn w:val="style0"/>
    <w:next w:val="style4150"/>
    <w:pPr>
      <w:widowControl w:val="false"/>
      <w:ind w:left="720" w:hanging="745"/>
    </w:pPr>
    <w:rPr>
      <w:rFonts w:ascii="Arial" w:hAnsi="Arial"/>
      <w:snapToGrid w:val="false"/>
      <w:szCs w:val="20"/>
      <w:lang w:eastAsia="fr-FR"/>
    </w:rPr>
  </w:style>
  <w:style w:type="character" w:customStyle="1" w:styleId="style4151">
    <w:name w:val="appel de note"/>
    <w:next w:val="style4151"/>
    <w:rPr>
      <w:vertAlign w:val="superscript"/>
    </w:rPr>
  </w:style>
  <w:style w:type="paragraph" w:customStyle="1" w:styleId="style4152">
    <w:name w:val="Body Text 31"/>
    <w:basedOn w:val="style0"/>
    <w:next w:val="style4152"/>
    <w:pPr/>
    <w:rPr>
      <w:i/>
      <w:szCs w:val="20"/>
      <w:lang w:eastAsia="fr-FR"/>
    </w:rPr>
  </w:style>
  <w:style w:type="paragraph" w:styleId="style69">
    <w:name w:val="List Continue 2"/>
    <w:basedOn w:val="style0"/>
    <w:next w:val="style69"/>
    <w:pPr>
      <w:spacing w:after="120"/>
      <w:ind w:left="566"/>
      <w:contextualSpacing/>
    </w:pPr>
    <w:rPr/>
  </w:style>
  <w:style w:type="paragraph" w:customStyle="1" w:styleId="style4153">
    <w:name w:val="Liste couleur - Accent 11"/>
    <w:basedOn w:val="style0"/>
    <w:next w:val="style4153"/>
    <w:qFormat/>
    <w:uiPriority w:val="34"/>
    <w:pPr>
      <w:ind w:left="720"/>
      <w:contextualSpacing/>
    </w:pPr>
    <w:rPr/>
  </w:style>
  <w:style w:type="character" w:customStyle="1" w:styleId="style4154">
    <w:name w:val="Retrait corps de texte Car"/>
    <w:next w:val="style4154"/>
    <w:link w:val="style67"/>
    <w:rPr>
      <w:sz w:val="24"/>
      <w:szCs w:val="24"/>
      <w:lang w:eastAsia="en-US"/>
    </w:rPr>
  </w:style>
  <w:style w:type="paragraph" w:styleId="style35">
    <w:name w:val="table of figures"/>
    <w:basedOn w:val="style0"/>
    <w:next w:val="style0"/>
    <w:uiPriority w:val="99"/>
    <w:pPr/>
  </w:style>
  <w:style w:type="paragraph" w:customStyle="1" w:styleId="style4155">
    <w:name w:val="Trame couleur - Accent 11"/>
    <w:next w:val="style4155"/>
    <w:uiPriority w:val="99"/>
    <w:pPr/>
    <w:rPr>
      <w:sz w:val="24"/>
      <w:szCs w:val="24"/>
      <w:lang w:val="en-US" w:eastAsia="en-US"/>
    </w:rPr>
  </w:style>
  <w:style w:type="paragraph" w:customStyle="1" w:styleId="style4156">
    <w:name w:val="[Normal]"/>
    <w:next w:val="style4156"/>
    <w:pPr/>
    <w:rPr>
      <w:rFonts w:ascii="Arial" w:cs="Arial" w:hAnsi="Arial"/>
      <w:sz w:val="24"/>
      <w:szCs w:val="24"/>
      <w:lang w:val="ru-RU" w:eastAsia="ru-RU"/>
    </w:rPr>
  </w:style>
  <w:style w:type="character" w:customStyle="1" w:styleId="style4157">
    <w:name w:val="Liste couleur - Accent 1 Car"/>
    <w:next w:val="style4157"/>
    <w:link w:val="style4112"/>
    <w:uiPriority w:val="34"/>
    <w:rPr>
      <w:rFonts w:ascii="Calibri" w:eastAsia="Calibri" w:hAnsi="Calibri"/>
      <w:sz w:val="22"/>
      <w:szCs w:val="22"/>
      <w:lang w:eastAsia="en-US"/>
    </w:rPr>
  </w:style>
  <w:style w:type="paragraph" w:customStyle="1" w:styleId="style4158">
    <w:name w:val="Numbered paragraph"/>
    <w:basedOn w:val="style0"/>
    <w:next w:val="style4158"/>
    <w:link w:val="style4159"/>
    <w:qFormat/>
    <w:pPr>
      <w:numPr>
        <w:ilvl w:val="0"/>
        <w:numId w:val="121"/>
      </w:numPr>
      <w:spacing w:after="240"/>
    </w:pPr>
    <w:rPr/>
  </w:style>
  <w:style w:type="character" w:customStyle="1" w:styleId="style4159">
    <w:name w:val="Numbered paragraph Char"/>
    <w:next w:val="style4159"/>
    <w:link w:val="style4158"/>
    <w:rPr>
      <w:sz w:val="24"/>
      <w:szCs w:val="24"/>
      <w:lang w:eastAsia="en-US"/>
    </w:rPr>
  </w:style>
  <w:style w:type="paragraph" w:customStyle="1" w:styleId="style4160">
    <w:name w:val="loumb2"/>
    <w:basedOn w:val="style0"/>
    <w:next w:val="style4160"/>
    <w:pPr/>
    <w:rPr>
      <w:b/>
      <w:szCs w:val="20"/>
      <w:lang w:eastAsia="fr-FR"/>
    </w:rPr>
  </w:style>
  <w:style w:type="character" w:customStyle="1" w:styleId="style4161">
    <w:name w:val="Pied de page Car"/>
    <w:next w:val="style4161"/>
    <w:link w:val="style32"/>
    <w:uiPriority w:val="99"/>
    <w:rPr>
      <w:sz w:val="24"/>
      <w:szCs w:val="24"/>
      <w:lang w:val="en-US" w:eastAsia="en-US"/>
    </w:rPr>
  </w:style>
  <w:style w:type="character" w:customStyle="1" w:styleId="style4162">
    <w:name w:val="fullarticletexte"/>
    <w:next w:val="style4162"/>
  </w:style>
  <w:style w:type="paragraph" w:customStyle="1" w:styleId="style4163">
    <w:name w:val="Normal.TCI-Normal"/>
    <w:next w:val="style4163"/>
    <w:pPr>
      <w:tabs>
        <w:tab w:val="left" w:leader="none" w:pos="1134"/>
      </w:tabs>
      <w:jc w:val="both"/>
    </w:pPr>
    <w:rPr>
      <w:sz w:val="22"/>
    </w:rPr>
  </w:style>
  <w:style w:type="paragraph" w:styleId="style178">
    <w:name w:val="Revision"/>
    <w:next w:val="style178"/>
    <w:uiPriority w:val="99"/>
    <w:pPr/>
    <w:rPr>
      <w:sz w:val="24"/>
      <w:szCs w:val="24"/>
      <w:lang w:val="en-US" w:eastAsia="en-US"/>
    </w:rPr>
  </w:style>
  <w:style w:type="paragraph" w:customStyle="1" w:styleId="style4164">
    <w:name w:val="Paragraphe de liste1"/>
    <w:basedOn w:val="style0"/>
    <w:next w:val="style4164"/>
    <w:link w:val="style4165"/>
    <w:qFormat/>
    <w:pPr>
      <w:ind w:left="708"/>
    </w:pPr>
    <w:rPr/>
  </w:style>
  <w:style w:type="character" w:customStyle="1" w:styleId="style4165">
    <w:name w:val="Paragraphe de liste Car"/>
    <w:next w:val="style4165"/>
    <w:link w:val="style4164"/>
    <w:qFormat/>
    <w:uiPriority w:val="34"/>
    <w:rPr>
      <w:sz w:val="24"/>
      <w:szCs w:val="24"/>
    </w:rPr>
  </w:style>
  <w:style w:type="character" w:customStyle="1" w:styleId="style4166">
    <w:name w:val="Titre 9 Car"/>
    <w:next w:val="style4166"/>
    <w:link w:val="style9"/>
    <w:uiPriority w:val="9"/>
    <w:rPr>
      <w:b/>
      <w:bCs/>
      <w:sz w:val="24"/>
      <w:szCs w:val="22"/>
      <w:lang w:eastAsia="en-US"/>
    </w:rPr>
  </w:style>
  <w:style w:type="table" w:customStyle="1" w:styleId="style4167">
    <w:name w:val="Grille du tableau1"/>
    <w:basedOn w:val="style105"/>
    <w:next w:val="style154"/>
    <w:uiPriority w:val="39"/>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179">
    <w:name w:val="List Paragraph"/>
    <w:basedOn w:val="style0"/>
    <w:next w:val="style179"/>
    <w:qFormat/>
    <w:uiPriority w:val="34"/>
    <w:pPr>
      <w:ind w:left="720"/>
    </w:pPr>
    <w:rPr/>
  </w:style>
  <w:style w:type="character" w:customStyle="1" w:styleId="style4168">
    <w:name w:val="Texte brut Car"/>
    <w:next w:val="style4168"/>
    <w:link w:val="style90"/>
    <w:uiPriority w:val="99"/>
    <w:rPr>
      <w:rFonts w:ascii="Courier New" w:cs="Courier New" w:hAnsi="Courier New"/>
    </w:rPr>
  </w:style>
  <w:style w:type="paragraph" w:customStyle="1" w:styleId="style4169">
    <w:name w:val="IFAD paragraph numbering"/>
    <w:basedOn w:val="style0"/>
    <w:next w:val="style4169"/>
    <w:link w:val="style4173"/>
    <w:qFormat/>
    <w:pPr>
      <w:numPr>
        <w:ilvl w:val="0"/>
        <w:numId w:val="61"/>
      </w:numPr>
      <w:tabs>
        <w:tab w:val="left" w:leader="none" w:pos="1134"/>
      </w:tabs>
      <w:suppressAutoHyphens/>
      <w:spacing w:after="120" w:lineRule="auto" w:line="264"/>
    </w:pPr>
    <w:rPr>
      <w:rFonts w:ascii="Arial" w:eastAsia="MS Mincho" w:hAnsi="Arial"/>
      <w:kern w:val="2"/>
      <w:sz w:val="20"/>
      <w:szCs w:val="20"/>
      <w:lang w:eastAsia="en-GB"/>
    </w:rPr>
  </w:style>
  <w:style w:type="paragraph" w:customStyle="1" w:styleId="style4170">
    <w:name w:val="IFAD paragraph no. 2nd level"/>
    <w:basedOn w:val="style0"/>
    <w:next w:val="style4170"/>
    <w:pPr>
      <w:numPr>
        <w:ilvl w:val="1"/>
        <w:numId w:val="61"/>
      </w:numPr>
      <w:spacing w:after="120" w:lineRule="auto" w:line="264"/>
    </w:pPr>
    <w:rPr>
      <w:rFonts w:ascii="Arial" w:cs="Arial" w:hAnsi="Arial"/>
      <w:sz w:val="20"/>
      <w:szCs w:val="20"/>
      <w:lang w:eastAsia="en-GB"/>
    </w:rPr>
  </w:style>
  <w:style w:type="paragraph" w:customStyle="1" w:styleId="style4171">
    <w:name w:val="IFAD paragraph no. 3rd level"/>
    <w:basedOn w:val="style0"/>
    <w:next w:val="style4171"/>
    <w:pPr>
      <w:numPr>
        <w:ilvl w:val="2"/>
        <w:numId w:val="61"/>
      </w:numPr>
      <w:spacing w:after="120" w:lineRule="auto" w:line="264"/>
    </w:pPr>
    <w:rPr>
      <w:rFonts w:ascii="Arial" w:cs="Arial" w:hAnsi="Arial"/>
      <w:sz w:val="20"/>
      <w:szCs w:val="20"/>
      <w:lang w:eastAsia="en-GB"/>
    </w:rPr>
  </w:style>
  <w:style w:type="paragraph" w:customStyle="1" w:styleId="style4172">
    <w:name w:val="IFAD paragraph no. 4th level"/>
    <w:basedOn w:val="style0"/>
    <w:next w:val="style4172"/>
    <w:pPr>
      <w:numPr>
        <w:ilvl w:val="3"/>
        <w:numId w:val="61"/>
      </w:numPr>
      <w:spacing w:lineRule="auto" w:line="264"/>
    </w:pPr>
    <w:rPr>
      <w:rFonts w:ascii="Arial" w:cs="Arial" w:hAnsi="Arial"/>
      <w:sz w:val="20"/>
      <w:szCs w:val="20"/>
      <w:lang w:eastAsia="en-GB"/>
    </w:rPr>
  </w:style>
  <w:style w:type="character" w:customStyle="1" w:styleId="style4173">
    <w:name w:val="IFAD paragraph numbering Char"/>
    <w:next w:val="style4173"/>
    <w:link w:val="style4169"/>
    <w:rPr>
      <w:rFonts w:ascii="Arial" w:eastAsia="MS Mincho" w:hAnsi="Arial"/>
      <w:kern w:val="2"/>
      <w:lang w:eastAsia="en-GB"/>
    </w:rPr>
  </w:style>
  <w:style w:type="numbering" w:customStyle="1" w:styleId="style4174">
    <w:name w:val="LFO7"/>
    <w:basedOn w:val="style107"/>
    <w:next w:val="style4174"/>
    <w:pPr>
      <w:numPr>
        <w:ilvl w:val="0"/>
        <w:numId w:val="91"/>
      </w:numPr>
    </w:pPr>
  </w:style>
  <w:style w:type="paragraph" w:customStyle="1" w:styleId="style4175">
    <w:name w:val="BVI fnr Car Car Car Car Char"/>
    <w:basedOn w:val="style0"/>
    <w:next w:val="style4175"/>
    <w:link w:val="style38"/>
    <w:uiPriority w:val="99"/>
    <w:pPr>
      <w:spacing w:after="160" w:lineRule="exact" w:line="240"/>
      <w:jc w:val="left"/>
    </w:pPr>
    <w:rPr>
      <w:szCs w:val="20"/>
      <w:vertAlign w:val="superscript"/>
      <w:lang w:eastAsia="fr-FR"/>
    </w:rPr>
  </w:style>
  <w:style w:type="character" w:customStyle="1" w:styleId="style4176">
    <w:name w:val="Titre 3 Car1"/>
    <w:next w:val="style4176"/>
    <w:qFormat/>
    <w:rPr>
      <w:rFonts w:ascii="Times New Roman" w:cs="Times New Roman" w:hAnsi="Times New Roman"/>
      <w:sz w:val="22"/>
      <w:szCs w:val="26"/>
    </w:rPr>
  </w:style>
  <w:style w:type="character" w:customStyle="1" w:styleId="style4177">
    <w:name w:val="Titre 1 Car"/>
    <w:next w:val="style4177"/>
    <w:link w:val="style1"/>
    <w:rPr>
      <w:b/>
      <w:bCs/>
      <w:caps/>
      <w:sz w:val="28"/>
      <w:szCs w:val="28"/>
      <w:lang w:eastAsia="en-US"/>
    </w:rPr>
  </w:style>
  <w:style w:type="character" w:customStyle="1" w:styleId="style4178">
    <w:name w:val="Titre 3 Car"/>
    <w:next w:val="style4178"/>
    <w:link w:val="style3"/>
    <w:uiPriority w:val="9"/>
    <w:rPr>
      <w:rFonts w:ascii="Times New Roman Bold" w:hAnsi="Times New Roman Bold"/>
      <w:b/>
      <w:spacing w:val="-3"/>
      <w:sz w:val="23"/>
      <w:szCs w:val="23"/>
      <w:lang w:eastAsia="en-US"/>
    </w:rPr>
  </w:style>
  <w:style w:type="character" w:customStyle="1" w:styleId="style4179">
    <w:name w:val="Titre 4 Car"/>
    <w:next w:val="style4179"/>
    <w:link w:val="style4"/>
    <w:uiPriority w:val="9"/>
    <w:rPr>
      <w:b/>
      <w:bCs/>
      <w:sz w:val="23"/>
      <w:szCs w:val="23"/>
      <w:lang w:eastAsia="en-US"/>
    </w:rPr>
  </w:style>
  <w:style w:type="character" w:customStyle="1" w:styleId="style4180">
    <w:name w:val="Titre 5 Car"/>
    <w:next w:val="style4180"/>
    <w:link w:val="style5"/>
    <w:uiPriority w:val="9"/>
    <w:rPr>
      <w:b/>
      <w:bCs/>
      <w:sz w:val="24"/>
      <w:szCs w:val="22"/>
      <w:lang w:eastAsia="en-US"/>
    </w:rPr>
  </w:style>
  <w:style w:type="character" w:customStyle="1" w:styleId="style4181">
    <w:name w:val="Titre 6 Car"/>
    <w:next w:val="style4181"/>
    <w:link w:val="style6"/>
    <w:uiPriority w:val="9"/>
    <w:rPr>
      <w:b/>
      <w:bCs/>
      <w:lang w:eastAsia="en-US"/>
    </w:rPr>
  </w:style>
  <w:style w:type="character" w:customStyle="1" w:styleId="style4182">
    <w:name w:val="Titre 8 Car"/>
    <w:next w:val="style4182"/>
    <w:link w:val="style8"/>
    <w:uiPriority w:val="9"/>
    <w:rPr>
      <w:rFonts w:ascii="Arial" w:cs="Arial" w:hAnsi="Arial"/>
      <w:color w:val="000000"/>
      <w:u w:val="single"/>
    </w:rPr>
  </w:style>
  <w:style w:type="paragraph" w:styleId="style266">
    <w:name w:val="TOC Heading"/>
    <w:basedOn w:val="style1"/>
    <w:next w:val="style0"/>
    <w:qFormat/>
    <w:uiPriority w:val="39"/>
    <w:pPr>
      <w:keepLines/>
      <w:numPr>
        <w:ilvl w:val="0"/>
        <w:numId w:val="0"/>
      </w:numPr>
      <w:suppressAutoHyphens w:val="false"/>
      <w:spacing w:before="240" w:after="240"/>
      <w:jc w:val="left"/>
      <w:outlineLvl w:val="9"/>
    </w:pPr>
    <w:rPr>
      <w:rFonts w:ascii="Calibri Light" w:hAnsi="Calibri Light"/>
      <w:caps w:val="false"/>
      <w:color w:val="2e74b5"/>
      <w:szCs w:val="20"/>
      <w:lang w:eastAsia="fr-FR"/>
    </w:rPr>
  </w:style>
  <w:style w:type="table" w:customStyle="1" w:styleId="style4183">
    <w:name w:val="Tableau Grille 21"/>
    <w:basedOn w:val="style105"/>
    <w:next w:val="style4183"/>
    <w:uiPriority w:val="47"/>
    <w:pPr/>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pPr/>
      <w:rPr>
        <w:b/>
        <w:bCs/>
      </w:rPr>
      <w:tblPr/>
      <w:tcPr>
        <w:tcBorders>
          <w:top w:val="nil"/>
          <w:bottom w:val="single" w:sz="12" w:space="0" w:color="666666"/>
          <w:insideH w:val="nil"/>
          <w:insideV w:val="nil"/>
        </w:tcBorders>
        <w:shd w:val="clear" w:color="auto" w:fill="ffffff"/>
      </w:tcPr>
    </w:tblStylePr>
    <w:tblStylePr w:type="lastRow">
      <w:pPr/>
      <w:rPr>
        <w:b/>
        <w:bCs/>
      </w:rPr>
      <w:tblPr/>
      <w:tcPr>
        <w:tcBorders>
          <w:top w:val="double" w:sz="2" w:space="0" w:color="666666"/>
          <w:bottom w:val="nil"/>
          <w:insideH w:val="nil"/>
          <w:insideV w:val="nil"/>
        </w:tcBorders>
        <w:shd w:val="clear" w:color="auto" w:fill="ffffff"/>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shd w:val="clear" w:color="auto" w:fill="cccccc"/>
      </w:tcPr>
    </w:tblStylePr>
    <w:tcPr>
      <w:tcBorders/>
    </w:tcPr>
  </w:style>
  <w:style w:type="character" w:customStyle="1" w:styleId="style4184">
    <w:name w:val="Texte de bulles Car"/>
    <w:next w:val="style4184"/>
    <w:link w:val="style153"/>
    <w:uiPriority w:val="99"/>
    <w:rPr>
      <w:rFonts w:ascii="Tahoma" w:cs="Tahoma" w:hAnsi="Tahoma"/>
      <w:sz w:val="16"/>
      <w:szCs w:val="16"/>
      <w:lang w:eastAsia="en-US"/>
    </w:rPr>
  </w:style>
  <w:style w:type="character" w:customStyle="1" w:styleId="style4185">
    <w:name w:val="Corps de texte 2 Car"/>
    <w:next w:val="style4185"/>
    <w:link w:val="style80"/>
    <w:uiPriority w:val="99"/>
    <w:rPr>
      <w:sz w:val="24"/>
      <w:szCs w:val="24"/>
      <w:lang w:eastAsia="en-US"/>
    </w:rPr>
  </w:style>
  <w:style w:type="character" w:customStyle="1" w:styleId="style4186">
    <w:name w:val="titre n3 Car"/>
    <w:next w:val="style4186"/>
    <w:rPr>
      <w:rFonts w:ascii="Arial" w:cs="Arial" w:hAnsi="Arial"/>
      <w:b/>
      <w:bCs/>
      <w:sz w:val="26"/>
      <w:szCs w:val="26"/>
      <w:lang w:val="fr-FR" w:bidi="ar-SA" w:eastAsia="fr-FR"/>
    </w:rPr>
  </w:style>
  <w:style w:type="character" w:customStyle="1" w:styleId="style4187">
    <w:name w:val="Corps du texte + Italique;Espacement 0 pt"/>
    <w:next w:val="style4187"/>
    <w:rPr>
      <w:rFonts w:ascii="Times New Roman" w:cs="Times New Roman" w:eastAsia="Times New Roman" w:hAnsi="Times New Roman"/>
      <w:b w:val="false"/>
      <w:bCs w:val="false"/>
      <w:i/>
      <w:iCs/>
      <w:smallCaps w:val="false"/>
      <w:color w:val="000000"/>
      <w:spacing w:val="-3"/>
      <w:w w:val="100"/>
      <w:position w:val="0"/>
      <w:sz w:val="21"/>
      <w:szCs w:val="21"/>
      <w:u w:val="none"/>
      <w:lang w:val="fr-FR"/>
    </w:rPr>
  </w:style>
  <w:style w:type="character" w:customStyle="1" w:styleId="style4188">
    <w:name w:val="st"/>
    <w:next w:val="style4188"/>
  </w:style>
  <w:style w:type="character" w:customStyle="1" w:styleId="style4189">
    <w:name w:val="Corps du texte_"/>
    <w:next w:val="style4189"/>
    <w:link w:val="style4190"/>
    <w:rPr>
      <w:rFonts w:ascii="Calibri" w:cs="Calibri" w:eastAsia="Calibri" w:hAnsi="Calibri"/>
      <w:spacing w:val="3"/>
      <w:sz w:val="21"/>
      <w:szCs w:val="21"/>
      <w:shd w:val="clear" w:color="auto" w:fill="ffffff"/>
    </w:rPr>
  </w:style>
  <w:style w:type="paragraph" w:customStyle="1" w:styleId="style4190">
    <w:name w:val="Corps du texte"/>
    <w:basedOn w:val="style0"/>
    <w:next w:val="style4190"/>
    <w:link w:val="style4189"/>
    <w:pPr>
      <w:widowControl w:val="false"/>
      <w:shd w:val="clear" w:color="auto" w:fill="ffffff"/>
      <w:spacing w:before="420" w:lineRule="exact" w:line="336"/>
      <w:ind w:hanging="460"/>
    </w:pPr>
    <w:rPr>
      <w:rFonts w:ascii="Calibri" w:cs="Calibri" w:eastAsia="Calibri" w:hAnsi="Calibri"/>
      <w:spacing w:val="3"/>
      <w:sz w:val="21"/>
      <w:szCs w:val="21"/>
      <w:lang w:eastAsia="fr-FR"/>
    </w:rPr>
  </w:style>
  <w:style w:type="character" w:customStyle="1" w:styleId="style4191">
    <w:name w:val="Corps du texte + Gras;Espacement 0 pt"/>
    <w:next w:val="style4191"/>
    <w:rPr>
      <w:rFonts w:ascii="Calibri" w:cs="Calibri" w:eastAsia="Calibri" w:hAnsi="Calibri"/>
      <w:b/>
      <w:bCs/>
      <w:color w:val="000000"/>
      <w:spacing w:val="2"/>
      <w:w w:val="100"/>
      <w:position w:val="0"/>
      <w:sz w:val="21"/>
      <w:szCs w:val="21"/>
      <w:shd w:val="clear" w:color="auto" w:fill="ffffff"/>
      <w:lang w:val="fr-FR"/>
    </w:rPr>
  </w:style>
  <w:style w:type="character" w:customStyle="1" w:styleId="style4192">
    <w:name w:val="Corps du texte (6) + Non Gras;Espacement 0 pt"/>
    <w:next w:val="style4192"/>
    <w:rPr>
      <w:rFonts w:ascii="Calibri" w:cs="Calibri" w:eastAsia="Calibri" w:hAnsi="Calibri"/>
      <w:b/>
      <w:bCs/>
      <w:color w:val="000000"/>
      <w:spacing w:val="3"/>
      <w:w w:val="100"/>
      <w:position w:val="0"/>
      <w:sz w:val="21"/>
      <w:szCs w:val="21"/>
      <w:shd w:val="clear" w:color="auto" w:fill="ffffff"/>
      <w:lang w:val="fr-FR"/>
    </w:rPr>
  </w:style>
  <w:style w:type="paragraph" w:customStyle="1" w:styleId="style4193">
    <w:name w:val="Tab"/>
    <w:basedOn w:val="style0"/>
    <w:next w:val="style4193"/>
    <w:qFormat/>
    <w:pPr>
      <w:spacing w:lineRule="auto" w:line="360"/>
      <w:ind w:firstLine="170"/>
    </w:pPr>
    <w:rPr>
      <w:rFonts w:eastAsia="SimSun"/>
      <w:b/>
      <w:lang w:eastAsia="fr-FR"/>
    </w:rPr>
  </w:style>
  <w:style w:type="character" w:customStyle="1" w:styleId="style4194">
    <w:name w:val="Retrait corps de texte 3 Car"/>
    <w:next w:val="style4194"/>
    <w:link w:val="style83"/>
    <w:rPr>
      <w:sz w:val="16"/>
      <w:szCs w:val="16"/>
      <w:lang w:eastAsia="en-US"/>
    </w:rPr>
  </w:style>
  <w:style w:type="paragraph" w:customStyle="1" w:styleId="style4195">
    <w:name w:val="Tableau n°"/>
    <w:basedOn w:val="style0"/>
    <w:next w:val="style0"/>
    <w:pPr>
      <w:keepNext/>
      <w:numPr>
        <w:ilvl w:val="0"/>
        <w:numId w:val="77"/>
      </w:numPr>
      <w:spacing w:after="120"/>
      <w:jc w:val="left"/>
    </w:pPr>
    <w:rPr>
      <w:rFonts w:ascii="Arial" w:hAnsi="Arial"/>
      <w:b/>
      <w:sz w:val="22"/>
      <w:szCs w:val="20"/>
    </w:rPr>
  </w:style>
  <w:style w:type="paragraph" w:styleId="style84">
    <w:name w:val="Block Text"/>
    <w:basedOn w:val="style0"/>
    <w:next w:val="style84"/>
    <w:pPr>
      <w:spacing w:after="120"/>
      <w:ind w:left="1440" w:right="1440" w:firstLine="170"/>
      <w:jc w:val="left"/>
    </w:pPr>
    <w:rPr>
      <w:rFonts w:ascii="Garamond" w:hAnsi="Garamond"/>
      <w:sz w:val="22"/>
      <w:szCs w:val="20"/>
    </w:rPr>
  </w:style>
  <w:style w:type="paragraph" w:customStyle="1" w:styleId="style4196">
    <w:name w:val="Parag."/>
    <w:basedOn w:val="style0"/>
    <w:next w:val="style4196"/>
    <w:pPr>
      <w:spacing w:before="240" w:lineRule="auto" w:line="360"/>
      <w:ind w:firstLine="709"/>
    </w:pPr>
    <w:rPr>
      <w:rFonts w:ascii="Arial Narrow" w:hAnsi="Arial Narrow"/>
      <w:sz w:val="20"/>
      <w:szCs w:val="20"/>
      <w:lang w:eastAsia="fr-FR"/>
    </w:rPr>
  </w:style>
  <w:style w:type="character" w:customStyle="1" w:styleId="style4197">
    <w:name w:val="textegras1"/>
    <w:next w:val="style4197"/>
    <w:rPr>
      <w:rFonts w:ascii="Arial" w:cs="Arial" w:hAnsi="Arial" w:hint="default"/>
      <w:b/>
      <w:bCs/>
      <w:caps w:val="false"/>
      <w:smallCaps w:val="false"/>
      <w:color w:val="000000"/>
      <w:sz w:val="21"/>
      <w:szCs w:val="21"/>
    </w:rPr>
  </w:style>
  <w:style w:type="character" w:customStyle="1" w:styleId="style4198">
    <w:name w:val="apple-converted-space"/>
    <w:next w:val="style4198"/>
  </w:style>
  <w:style w:type="character" w:styleId="style86">
    <w:name w:val="FollowedHyperlink"/>
    <w:next w:val="style86"/>
    <w:uiPriority w:val="99"/>
    <w:rPr>
      <w:color w:val="954f72"/>
      <w:u w:val="single"/>
    </w:rPr>
  </w:style>
  <w:style w:type="character" w:customStyle="1" w:styleId="style4199">
    <w:name w:val="Titre 7 Car"/>
    <w:next w:val="style4199"/>
    <w:link w:val="style7"/>
    <w:uiPriority w:val="9"/>
    <w:rPr>
      <w:b/>
      <w:bCs/>
      <w:sz w:val="24"/>
      <w:szCs w:val="22"/>
      <w:lang w:eastAsia="en-US"/>
    </w:rPr>
  </w:style>
  <w:style w:type="character" w:customStyle="1" w:styleId="style4200">
    <w:name w:val="Légende Car1"/>
    <w:next w:val="style4200"/>
    <w:link w:val="style34"/>
    <w:rPr>
      <w:b/>
      <w:bCs/>
      <w:sz w:val="24"/>
      <w:szCs w:val="24"/>
      <w:lang w:eastAsia="en-US"/>
    </w:rPr>
  </w:style>
  <w:style w:type="paragraph" w:customStyle="1" w:styleId="style4201">
    <w:name w:val="Liste à puce"/>
    <w:basedOn w:val="style0"/>
    <w:next w:val="style4201"/>
    <w:pPr>
      <w:numPr>
        <w:ilvl w:val="0"/>
        <w:numId w:val="47"/>
      </w:numPr>
      <w:spacing w:lineRule="auto" w:line="360"/>
    </w:pPr>
    <w:rPr>
      <w:rFonts w:ascii="Arial" w:cs="Arial" w:hAnsi="Arial"/>
      <w:color w:val="000000"/>
      <w:lang w:val="fr-CA" w:eastAsia="fr-FR"/>
    </w:rPr>
  </w:style>
  <w:style w:type="character" w:customStyle="1" w:styleId="style4202">
    <w:name w:val="st1"/>
    <w:next w:val="style4202"/>
  </w:style>
  <w:style w:type="paragraph" w:customStyle="1" w:styleId="style4203">
    <w:name w:val="font5"/>
    <w:basedOn w:val="style0"/>
    <w:next w:val="style4203"/>
    <w:pPr>
      <w:spacing w:before="100" w:beforeAutospacing="true" w:after="100" w:afterAutospacing="true"/>
      <w:jc w:val="left"/>
    </w:pPr>
    <w:rPr>
      <w:color w:val="000000"/>
      <w:lang w:eastAsia="fr-FR"/>
    </w:rPr>
  </w:style>
  <w:style w:type="paragraph" w:customStyle="1" w:styleId="style4204">
    <w:name w:val="font6"/>
    <w:basedOn w:val="style0"/>
    <w:next w:val="style4204"/>
    <w:pPr>
      <w:spacing w:before="100" w:beforeAutospacing="true" w:after="100" w:afterAutospacing="true"/>
      <w:jc w:val="left"/>
    </w:pPr>
    <w:rPr>
      <w:color w:val="000000"/>
      <w:sz w:val="20"/>
      <w:szCs w:val="20"/>
      <w:lang w:eastAsia="fr-FR"/>
    </w:rPr>
  </w:style>
  <w:style w:type="paragraph" w:customStyle="1" w:styleId="style4205">
    <w:name w:val="font8"/>
    <w:basedOn w:val="style0"/>
    <w:next w:val="style4205"/>
    <w:pPr>
      <w:spacing w:before="100" w:beforeAutospacing="true" w:after="100" w:afterAutospacing="true"/>
      <w:jc w:val="left"/>
    </w:pPr>
    <w:rPr>
      <w:color w:val="000000"/>
      <w:sz w:val="16"/>
      <w:szCs w:val="16"/>
      <w:lang w:eastAsia="fr-FR"/>
    </w:rPr>
  </w:style>
  <w:style w:type="paragraph" w:customStyle="1" w:styleId="style4206">
    <w:name w:val="xl65"/>
    <w:basedOn w:val="style0"/>
    <w:next w:val="style4206"/>
    <w:pPr>
      <w:pBdr>
        <w:left w:val="single" w:sz="4" w:space="0" w:color="auto"/>
        <w:right w:val="single" w:sz="4" w:space="0" w:color="auto"/>
        <w:top w:val="single" w:sz="4" w:space="0" w:color="auto"/>
        <w:bottom w:val="single" w:sz="4" w:space="0" w:color="auto"/>
      </w:pBdr>
      <w:spacing w:before="100" w:beforeAutospacing="true" w:after="100" w:afterAutospacing="true"/>
      <w:jc w:val="left"/>
      <w:textAlignment w:val="top"/>
    </w:pPr>
    <w:rPr>
      <w:b/>
      <w:bCs/>
      <w:lang w:eastAsia="fr-FR"/>
    </w:rPr>
  </w:style>
  <w:style w:type="paragraph" w:customStyle="1" w:styleId="style4207">
    <w:name w:val="xl66"/>
    <w:basedOn w:val="style0"/>
    <w:next w:val="style4207"/>
    <w:pPr>
      <w:pBdr>
        <w:left w:val="single" w:sz="4" w:space="0" w:color="auto"/>
        <w:right w:val="single" w:sz="4" w:space="0" w:color="auto"/>
        <w:top w:val="single" w:sz="4" w:space="0" w:color="auto"/>
        <w:bottom w:val="single" w:sz="4" w:space="0" w:color="auto"/>
      </w:pBdr>
      <w:spacing w:before="100" w:beforeAutospacing="true" w:after="100" w:afterAutospacing="true"/>
      <w:jc w:val="left"/>
      <w:textAlignment w:val="top"/>
    </w:pPr>
    <w:rPr>
      <w:lang w:eastAsia="fr-FR"/>
    </w:rPr>
  </w:style>
  <w:style w:type="paragraph" w:customStyle="1" w:styleId="style4208">
    <w:name w:val="xl67"/>
    <w:basedOn w:val="style0"/>
    <w:next w:val="style4208"/>
    <w:pPr>
      <w:pBdr>
        <w:left w:val="single" w:sz="4" w:space="0" w:color="auto"/>
        <w:right w:val="single" w:sz="4" w:space="0" w:color="auto"/>
        <w:top w:val="single" w:sz="4" w:space="0" w:color="auto"/>
        <w:bottom w:val="single" w:sz="4" w:space="0" w:color="auto"/>
      </w:pBdr>
      <w:spacing w:before="100" w:beforeAutospacing="true" w:after="100" w:afterAutospacing="true"/>
      <w:jc w:val="left"/>
      <w:textAlignment w:val="top"/>
    </w:pPr>
    <w:rPr>
      <w:lang w:eastAsia="fr-FR"/>
    </w:rPr>
  </w:style>
  <w:style w:type="paragraph" w:customStyle="1" w:styleId="style4209">
    <w:name w:val="xl68"/>
    <w:basedOn w:val="style0"/>
    <w:next w:val="style4209"/>
    <w:pPr>
      <w:spacing w:before="100" w:beforeAutospacing="true" w:after="100" w:afterAutospacing="true"/>
      <w:jc w:val="left"/>
      <w:textAlignment w:val="top"/>
    </w:pPr>
    <w:rPr>
      <w:lang w:eastAsia="fr-FR"/>
    </w:rPr>
  </w:style>
  <w:style w:type="paragraph" w:customStyle="1" w:styleId="style4210">
    <w:name w:val="xl69"/>
    <w:basedOn w:val="style0"/>
    <w:next w:val="style4210"/>
    <w:pPr>
      <w:pBdr>
        <w:left w:val="single" w:sz="4" w:space="0" w:color="auto"/>
        <w:right w:val="single" w:sz="4" w:space="0" w:color="auto"/>
        <w:top w:val="single" w:sz="4" w:space="0" w:color="auto"/>
      </w:pBdr>
      <w:spacing w:before="100" w:beforeAutospacing="true" w:after="100" w:afterAutospacing="true"/>
      <w:jc w:val="left"/>
      <w:textAlignment w:val="top"/>
    </w:pPr>
    <w:rPr>
      <w:lang w:eastAsia="fr-FR"/>
    </w:rPr>
  </w:style>
  <w:style w:type="paragraph" w:customStyle="1" w:styleId="style4211">
    <w:name w:val="xl70"/>
    <w:basedOn w:val="style0"/>
    <w:next w:val="style4211"/>
    <w:pPr>
      <w:pBdr>
        <w:left w:val="single" w:sz="4" w:space="0" w:color="auto"/>
        <w:right w:val="single" w:sz="4" w:space="0" w:color="auto"/>
        <w:top w:val="single" w:sz="4" w:space="0" w:color="auto"/>
      </w:pBdr>
      <w:spacing w:before="100" w:beforeAutospacing="true" w:after="100" w:afterAutospacing="true"/>
      <w:jc w:val="left"/>
      <w:textAlignment w:val="top"/>
    </w:pPr>
    <w:rPr>
      <w:lang w:eastAsia="fr-FR"/>
    </w:rPr>
  </w:style>
  <w:style w:type="paragraph" w:customStyle="1" w:styleId="style4212">
    <w:name w:val="xl71"/>
    <w:basedOn w:val="style0"/>
    <w:next w:val="style4212"/>
    <w:pPr>
      <w:pBdr>
        <w:left w:val="single" w:sz="4" w:space="0" w:color="auto"/>
        <w:right w:val="single" w:sz="4" w:space="0" w:color="auto"/>
        <w:top w:val="single" w:sz="4" w:space="0" w:color="auto"/>
        <w:bottom w:val="single" w:sz="4" w:space="0" w:color="auto"/>
      </w:pBdr>
      <w:spacing w:before="100" w:beforeAutospacing="true" w:after="100" w:afterAutospacing="true"/>
      <w:jc w:val="left"/>
      <w:textAlignment w:val="top"/>
    </w:pPr>
    <w:rPr>
      <w:lang w:eastAsia="fr-FR"/>
    </w:rPr>
  </w:style>
  <w:style w:type="paragraph" w:customStyle="1" w:styleId="style4213">
    <w:name w:val="xl72"/>
    <w:basedOn w:val="style0"/>
    <w:next w:val="style4213"/>
    <w:pPr>
      <w:pBdr>
        <w:left w:val="single" w:sz="4" w:space="0" w:color="auto"/>
        <w:right w:val="single" w:sz="4" w:space="0" w:color="auto"/>
        <w:top w:val="single" w:sz="4" w:space="0" w:color="auto"/>
        <w:bottom w:val="single" w:sz="4" w:space="0" w:color="auto"/>
      </w:pBdr>
      <w:spacing w:before="100" w:beforeAutospacing="true" w:after="100" w:afterAutospacing="true"/>
      <w:jc w:val="left"/>
      <w:textAlignment w:val="top"/>
    </w:pPr>
    <w:rPr>
      <w:lang w:eastAsia="fr-FR"/>
    </w:rPr>
  </w:style>
  <w:style w:type="paragraph" w:customStyle="1" w:styleId="style4214">
    <w:name w:val="xl73"/>
    <w:basedOn w:val="style0"/>
    <w:next w:val="style4214"/>
    <w:pPr>
      <w:spacing w:before="100" w:beforeAutospacing="true" w:after="100" w:afterAutospacing="true"/>
      <w:jc w:val="left"/>
    </w:pPr>
    <w:rPr>
      <w:b/>
      <w:bCs/>
      <w:lang w:eastAsia="fr-FR"/>
    </w:rPr>
  </w:style>
  <w:style w:type="paragraph" w:customStyle="1" w:styleId="style4215">
    <w:name w:val="xl74"/>
    <w:basedOn w:val="style0"/>
    <w:next w:val="style4215"/>
    <w:pPr>
      <w:pBdr>
        <w:left w:val="single" w:sz="4" w:space="0" w:color="auto"/>
        <w:right w:val="single" w:sz="4" w:space="0" w:color="auto"/>
        <w:top w:val="single" w:sz="4" w:space="0" w:color="auto"/>
        <w:bottom w:val="single" w:sz="4" w:space="0" w:color="auto"/>
      </w:pBdr>
      <w:spacing w:before="100" w:beforeAutospacing="true" w:after="100" w:afterAutospacing="true"/>
      <w:jc w:val="left"/>
      <w:textAlignment w:val="top"/>
    </w:pPr>
    <w:rPr>
      <w:lang w:eastAsia="fr-FR"/>
    </w:rPr>
  </w:style>
  <w:style w:type="paragraph" w:customStyle="1" w:styleId="style4216">
    <w:name w:val="xl75"/>
    <w:basedOn w:val="style0"/>
    <w:next w:val="style4216"/>
    <w:pPr>
      <w:pBdr>
        <w:left w:val="single" w:sz="4" w:space="0" w:color="auto"/>
        <w:right w:val="single" w:sz="4" w:space="0" w:color="auto"/>
        <w:top w:val="single" w:sz="4" w:space="0" w:color="auto"/>
        <w:bottom w:val="single" w:sz="4" w:space="0" w:color="auto"/>
      </w:pBdr>
      <w:spacing w:before="100" w:beforeAutospacing="true" w:after="100" w:afterAutospacing="true"/>
      <w:jc w:val="left"/>
      <w:textAlignment w:val="top"/>
    </w:pPr>
    <w:rPr>
      <w:lang w:eastAsia="fr-FR"/>
    </w:rPr>
  </w:style>
  <w:style w:type="paragraph" w:customStyle="1" w:styleId="style4217">
    <w:name w:val="xl76"/>
    <w:basedOn w:val="style0"/>
    <w:next w:val="style4217"/>
    <w:pPr>
      <w:pBdr>
        <w:left w:val="single" w:sz="4" w:space="0" w:color="auto"/>
        <w:right w:val="single" w:sz="4" w:space="0" w:color="auto"/>
        <w:top w:val="single" w:sz="4" w:space="0" w:color="auto"/>
        <w:bottom w:val="single" w:sz="4" w:space="0" w:color="auto"/>
      </w:pBdr>
      <w:spacing w:before="100" w:beforeAutospacing="true" w:after="100" w:afterAutospacing="true"/>
      <w:jc w:val="left"/>
      <w:textAlignment w:val="top"/>
    </w:pPr>
    <w:rPr>
      <w:lang w:eastAsia="fr-FR"/>
    </w:rPr>
  </w:style>
  <w:style w:type="paragraph" w:customStyle="1" w:styleId="style4218">
    <w:name w:val="xl77"/>
    <w:basedOn w:val="style0"/>
    <w:next w:val="style4218"/>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top"/>
    </w:pPr>
    <w:rPr>
      <w:lang w:eastAsia="fr-FR"/>
    </w:rPr>
  </w:style>
  <w:style w:type="paragraph" w:customStyle="1" w:styleId="style4219">
    <w:name w:val="xl78"/>
    <w:basedOn w:val="style0"/>
    <w:next w:val="style4219"/>
    <w:pPr>
      <w:pBdr>
        <w:left w:val="single" w:sz="4" w:space="0" w:color="auto"/>
        <w:right w:val="single" w:sz="4" w:space="0" w:color="auto"/>
        <w:top w:val="single" w:sz="4" w:space="0" w:color="auto"/>
        <w:bottom w:val="single" w:sz="4" w:space="0" w:color="auto"/>
      </w:pBdr>
      <w:spacing w:before="100" w:beforeAutospacing="true" w:after="100" w:afterAutospacing="true"/>
      <w:jc w:val="left"/>
      <w:textAlignment w:val="top"/>
    </w:pPr>
    <w:rPr>
      <w:sz w:val="20"/>
      <w:szCs w:val="20"/>
      <w:lang w:eastAsia="fr-FR"/>
    </w:rPr>
  </w:style>
  <w:style w:type="paragraph" w:customStyle="1" w:styleId="style4220">
    <w:name w:val="xl79"/>
    <w:basedOn w:val="style0"/>
    <w:next w:val="style4220"/>
    <w:pPr>
      <w:pBdr>
        <w:left w:val="single" w:sz="4" w:space="0" w:color="auto"/>
        <w:right w:val="single" w:sz="4" w:space="0" w:color="auto"/>
      </w:pBdr>
      <w:spacing w:before="100" w:beforeAutospacing="true" w:after="100" w:afterAutospacing="true"/>
      <w:jc w:val="left"/>
      <w:textAlignment w:val="top"/>
    </w:pPr>
    <w:rPr>
      <w:lang w:eastAsia="fr-FR"/>
    </w:rPr>
  </w:style>
  <w:style w:type="paragraph" w:customStyle="1" w:styleId="style4221">
    <w:name w:val="xl80"/>
    <w:basedOn w:val="style0"/>
    <w:next w:val="style4221"/>
    <w:pPr>
      <w:pBdr>
        <w:left w:val="single" w:sz="4" w:space="0" w:color="auto"/>
        <w:right w:val="single" w:sz="4" w:space="0" w:color="auto"/>
        <w:top w:val="single" w:sz="4" w:space="0" w:color="auto"/>
        <w:bottom w:val="single" w:sz="4" w:space="0" w:color="auto"/>
      </w:pBdr>
      <w:spacing w:before="100" w:beforeAutospacing="true" w:after="100" w:afterAutospacing="true"/>
      <w:jc w:val="left"/>
      <w:textAlignment w:val="top"/>
    </w:pPr>
    <w:rPr>
      <w:sz w:val="20"/>
      <w:szCs w:val="20"/>
      <w:lang w:eastAsia="fr-FR"/>
    </w:rPr>
  </w:style>
  <w:style w:type="paragraph" w:customStyle="1" w:styleId="style4222">
    <w:name w:val="xl81"/>
    <w:basedOn w:val="style0"/>
    <w:next w:val="style4222"/>
    <w:pPr>
      <w:pBdr>
        <w:left w:val="single" w:sz="4" w:space="0" w:color="auto"/>
        <w:right w:val="single" w:sz="4" w:space="0" w:color="auto"/>
        <w:top w:val="single" w:sz="4" w:space="0" w:color="auto"/>
        <w:bottom w:val="single" w:sz="4" w:space="0" w:color="auto"/>
      </w:pBdr>
      <w:spacing w:before="100" w:beforeAutospacing="true" w:after="100" w:afterAutospacing="true"/>
      <w:jc w:val="left"/>
      <w:textAlignment w:val="top"/>
    </w:pPr>
    <w:rPr>
      <w:lang w:eastAsia="fr-FR"/>
    </w:rPr>
  </w:style>
  <w:style w:type="character" w:customStyle="1" w:styleId="style4223">
    <w:name w:val="Sans interligne Car"/>
    <w:basedOn w:val="style65"/>
    <w:next w:val="style4223"/>
    <w:link w:val="style157"/>
    <w:uiPriority w:val="1"/>
  </w:style>
  <w:style w:type="paragraph" w:styleId="style157">
    <w:name w:val="No Spacing"/>
    <w:next w:val="style157"/>
    <w:link w:val="style4223"/>
    <w:qFormat/>
    <w:uiPriority w:val="1"/>
    <w:pPr/>
  </w:style>
  <w:style w:type="character" w:customStyle="1" w:styleId="style4224">
    <w:name w:val="Default Car"/>
    <w:next w:val="style4224"/>
    <w:link w:val="style4135"/>
    <w:rPr>
      <w:rFonts w:ascii="Arial" w:cs="Arial" w:hAnsi="Arial"/>
      <w:color w:val="000000"/>
      <w:sz w:val="24"/>
      <w:szCs w:val="24"/>
    </w:rPr>
  </w:style>
  <w:style w:type="paragraph" w:customStyle="1" w:styleId="style4225">
    <w:name w:val="Normal1"/>
    <w:basedOn w:val="style0"/>
    <w:next w:val="style4225"/>
    <w:qFormat/>
    <w:pPr>
      <w:tabs>
        <w:tab w:val="left" w:leader="none" w:pos="1134"/>
      </w:tabs>
      <w:spacing w:before="0"/>
    </w:pPr>
    <w:rPr>
      <w:sz w:val="23"/>
      <w:szCs w:val="20"/>
    </w:rPr>
  </w:style>
  <w:style w:type="paragraph" w:customStyle="1" w:styleId="style4226">
    <w:name w:val="Titre2"/>
    <w:basedOn w:val="style2"/>
    <w:next w:val="style4226"/>
    <w:qFormat/>
    <w:pPr>
      <w:numPr>
        <w:ilvl w:val="0"/>
        <w:numId w:val="37"/>
      </w:numPr>
      <w:autoSpaceDE w:val="false"/>
      <w:autoSpaceDN w:val="false"/>
      <w:adjustRightInd w:val="false"/>
      <w:spacing w:before="0" w:lineRule="atLeast" w:line="240"/>
      <w:jc w:val="left"/>
    </w:pPr>
    <w:rPr>
      <w:rFonts w:ascii="Times New Roman" w:hAnsi="Times New Roman"/>
      <w:color w:val="000000"/>
      <w:spacing w:val="0"/>
      <w:szCs w:val="20"/>
      <w:lang w:val="fr-FR" w:eastAsia="fr-FR"/>
    </w:rPr>
  </w:style>
  <w:style w:type="paragraph" w:customStyle="1" w:styleId="style4227">
    <w:name w:val="16 Point Char"/>
    <w:basedOn w:val="style0"/>
    <w:next w:val="style0"/>
    <w:uiPriority w:val="99"/>
    <w:pPr>
      <w:spacing w:before="0" w:after="160" w:lineRule="exact" w:line="240"/>
      <w:jc w:val="left"/>
    </w:pPr>
    <w:rPr>
      <w:sz w:val="20"/>
      <w:szCs w:val="20"/>
      <w:vertAlign w:val="superscript"/>
      <w:lang w:eastAsia="fr-FR"/>
    </w:rPr>
  </w:style>
</w:styles>
</file>

<file path=word/_rels/document.xml.rels><?xml version="1.0" encoding="UTF-8"?>
<Relationships xmlns="http://schemas.openxmlformats.org/package/2006/relationships"><Relationship Id="rId12" Type="http://schemas.openxmlformats.org/officeDocument/2006/relationships/image" Target="media/image8.jpeg"/><Relationship Id="rId38" Type="http://schemas.openxmlformats.org/officeDocument/2006/relationships/image" Target="media/image22.jpeg"/><Relationship Id="rId50" Type="http://schemas.openxmlformats.org/officeDocument/2006/relationships/theme" Target="theme/theme1.xml"/><Relationship Id="rId15" Type="http://schemas.openxmlformats.org/officeDocument/2006/relationships/image" Target="media/image11.jpeg"/><Relationship Id="rId46" Type="http://schemas.openxmlformats.org/officeDocument/2006/relationships/footnotes" Target="footnotes.xml"/><Relationship Id="rId25" Type="http://schemas.openxmlformats.org/officeDocument/2006/relationships/image" Target="media/image2.emf"/><Relationship Id="rId29" Type="http://schemas.openxmlformats.org/officeDocument/2006/relationships/image" Target="media/image17.jpeg"/><Relationship Id="rId8" Type="http://schemas.openxmlformats.org/officeDocument/2006/relationships/image" Target="media/image4.jpeg"/><Relationship Id="rId13" Type="http://schemas.openxmlformats.org/officeDocument/2006/relationships/image" Target="media/image9.jpeg"/><Relationship Id="rId35" Type="http://schemas.openxmlformats.org/officeDocument/2006/relationships/footer" Target="footer5.xml"/><Relationship Id="rId4" Type="http://schemas.openxmlformats.org/officeDocument/2006/relationships/header" Target="header2.xml"/><Relationship Id="rId42" Type="http://schemas.openxmlformats.org/officeDocument/2006/relationships/header" Target="header8.xml"/><Relationship Id="rId9" Type="http://schemas.openxmlformats.org/officeDocument/2006/relationships/image" Target="media/image5.jpeg"/><Relationship Id="rId31" Type="http://schemas.openxmlformats.org/officeDocument/2006/relationships/image" Target="media/image19.jpeg"/><Relationship Id="rId48" Type="http://schemas.openxmlformats.org/officeDocument/2006/relationships/fontTable" Target="fontTable.xml"/><Relationship Id="rId43" Type="http://schemas.openxmlformats.org/officeDocument/2006/relationships/header" Target="header9.xml"/><Relationship Id="rId33" Type="http://schemas.openxmlformats.org/officeDocument/2006/relationships/image" Target="media/image20.jpeg"/><Relationship Id="rId44" Type="http://schemas.openxmlformats.org/officeDocument/2006/relationships/image" Target="media/image9.png"/><Relationship Id="rId5" Type="http://schemas.openxmlformats.org/officeDocument/2006/relationships/footer" Target="footer3.xml"/><Relationship Id="rId24" Type="http://schemas.openxmlformats.org/officeDocument/2006/relationships/image" Target="media/image13.jpeg"/><Relationship Id="rId36" Type="http://schemas.openxmlformats.org/officeDocument/2006/relationships/footer" Target="footer6.xml"/><Relationship Id="rId2" Type="http://schemas.openxmlformats.org/officeDocument/2006/relationships/image" Target="media/image1.png"/><Relationship Id="rId23" Type="http://schemas.openxmlformats.org/officeDocument/2006/relationships/image" Target="media/image8.png"/><Relationship Id="rId45" Type="http://schemas.openxmlformats.org/officeDocument/2006/relationships/image" Target="media/image10.png"/><Relationship Id="rId6" Type="http://schemas.openxmlformats.org/officeDocument/2006/relationships/image" Target="media/image2.jpeg"/><Relationship Id="rId41" Type="http://schemas.openxmlformats.org/officeDocument/2006/relationships/image" Target="media/image25.jpeg"/><Relationship Id="rId51" Type="http://schemas.openxmlformats.org/officeDocument/2006/relationships/customXml" Target="../customXml/item1.xml"/><Relationship Id="rId40" Type="http://schemas.openxmlformats.org/officeDocument/2006/relationships/image" Target="media/image24.jpeg"/><Relationship Id="rId16" Type="http://schemas.openxmlformats.org/officeDocument/2006/relationships/image" Target="media/image12.jpeg"/><Relationship Id="rId28" Type="http://schemas.openxmlformats.org/officeDocument/2006/relationships/image" Target="media/image16.jpeg"/><Relationship Id="rId20" Type="http://schemas.openxmlformats.org/officeDocument/2006/relationships/image" Target="media/image5.png"/><Relationship Id="rId39" Type="http://schemas.openxmlformats.org/officeDocument/2006/relationships/image" Target="media/image23.jpeg"/><Relationship Id="rId11" Type="http://schemas.openxmlformats.org/officeDocument/2006/relationships/image" Target="media/image7.jpeg"/><Relationship Id="rId7" Type="http://schemas.openxmlformats.org/officeDocument/2006/relationships/image" Target="media/image3.jpeg"/><Relationship Id="rId14" Type="http://schemas.openxmlformats.org/officeDocument/2006/relationships/image" Target="media/image10.jpeg"/><Relationship Id="rId27" Type="http://schemas.openxmlformats.org/officeDocument/2006/relationships/image" Target="media/image15.jpeg"/><Relationship Id="rId34" Type="http://schemas.openxmlformats.org/officeDocument/2006/relationships/image" Target="media/image21.jpeg"/><Relationship Id="rId1" Type="http://schemas.openxmlformats.org/officeDocument/2006/relationships/numbering" Target="numbering.xml"/><Relationship Id="rId22" Type="http://schemas.openxmlformats.org/officeDocument/2006/relationships/image" Target="media/image7.png"/><Relationship Id="rId18" Type="http://schemas.openxmlformats.org/officeDocument/2006/relationships/image" Target="media/image3.png"/><Relationship Id="rId30" Type="http://schemas.openxmlformats.org/officeDocument/2006/relationships/image" Target="media/image18.jpeg"/><Relationship Id="rId26" Type="http://schemas.openxmlformats.org/officeDocument/2006/relationships/image" Target="media/image14.jpeg"/><Relationship Id="rId21" Type="http://schemas.openxmlformats.org/officeDocument/2006/relationships/image" Target="media/image6.png"/><Relationship Id="rId49" Type="http://schemas.openxmlformats.org/officeDocument/2006/relationships/settings" Target="settings.xml"/><Relationship Id="rId10" Type="http://schemas.openxmlformats.org/officeDocument/2006/relationships/image" Target="media/image6.jpeg"/><Relationship Id="rId32" Type="http://schemas.openxmlformats.org/officeDocument/2006/relationships/footer" Target="footer4.xml"/><Relationship Id="rId19" Type="http://schemas.openxmlformats.org/officeDocument/2006/relationships/image" Target="media/image4.png"/><Relationship Id="rId17" Type="http://schemas.openxmlformats.org/officeDocument/2006/relationships/image" Target="media/image2.png"/><Relationship Id="rId3" Type="http://schemas.openxmlformats.org/officeDocument/2006/relationships/header" Target="header1.xml"/><Relationship Id="rId37" Type="http://schemas.openxmlformats.org/officeDocument/2006/relationships/footer" Target="footer7.xml"/><Relationship Id="rId47"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8FED2-ED0B-43F5-8E0A-98BC1224B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50182</Words>
  <Pages>139</Pages>
  <Characters>279789</Characters>
  <Application>WPS Office</Application>
  <DocSecurity>0</DocSecurity>
  <Paragraphs>6020</Paragraphs>
  <ScaleCrop>false</ScaleCrop>
  <LinksUpToDate>false</LinksUpToDate>
  <CharactersWithSpaces>327019</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2019-03-07T16:24:10Z</dcterms:created>
  <dc:creator>secretariat</dc:creator>
  <lastModifiedBy>SM-T285</lastModifiedBy>
  <lastPrinted>2019-02-05T19:06:00Z</lastPrinted>
  <dcterms:modified xsi:type="dcterms:W3CDTF">2019-03-07T16:24:15Z</dcterms:modified>
  <revision>2</revision>
  <dc:title>Rapport CGES -PAFASP</dc:title>
</coreProperties>
</file>

<file path=docProps/custom.xml><?xml version="1.0" encoding="utf-8"?>
<Properties xmlns="http://schemas.openxmlformats.org/officeDocument/2006/custom-properties" xmlns:vt="http://schemas.openxmlformats.org/officeDocument/2006/docPropsVTypes"/>
</file>